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BD896" w14:textId="77777777" w:rsidR="00B8302E" w:rsidRPr="00B8302E" w:rsidRDefault="00B8302E" w:rsidP="00B8302E">
      <w:pPr>
        <w:spacing w:line="480" w:lineRule="auto"/>
        <w:rPr>
          <w:rFonts w:ascii="Calibri" w:eastAsia="Calibri" w:hAnsi="Calibri" w:cs="Arial"/>
          <w:kern w:val="0"/>
          <w14:ligatures w14:val="none"/>
        </w:rPr>
      </w:pPr>
      <w:r w:rsidRPr="00B8302E">
        <w:rPr>
          <w:rFonts w:eastAsia="Calibri" w:cs="Times New Roman"/>
          <w:b/>
          <w:bCs/>
          <w:i/>
          <w:iCs/>
          <w:kern w:val="0"/>
          <w14:ligatures w14:val="none"/>
        </w:rPr>
        <w:t>Supplemental Table 2.</w:t>
      </w:r>
      <w:r w:rsidRPr="00B8302E">
        <w:rPr>
          <w:rFonts w:eastAsia="Calibri" w:cs="Times New Roman"/>
          <w:b/>
          <w:bCs/>
          <w:kern w:val="0"/>
          <w14:ligatures w14:val="none"/>
        </w:rPr>
        <w:t xml:space="preserve"> </w:t>
      </w:r>
      <w:r w:rsidRPr="00B8302E">
        <w:rPr>
          <w:rFonts w:eastAsia="Calibri" w:cs="Times New Roman"/>
          <w:kern w:val="0"/>
          <w14:ligatures w14:val="none"/>
        </w:rPr>
        <w:t>The results from VIAVC and Mann Whitney U Test statistical analysis for comparisons of the placental profile of control mothers (HAM-D cutoff of &lt;5) against mother with depression with and without SSRI treatment. The HAM-D cut-off scores utilized for the depression groups were the following: ≥ 8, ≥ 9, and ≥ 10. Also reported for each comparison are the OPLS-DA model’s quality (Q</w:t>
      </w:r>
      <w:r w:rsidRPr="00B8302E">
        <w:rPr>
          <w:rFonts w:eastAsia="Calibri" w:cs="Times New Roman"/>
          <w:kern w:val="0"/>
          <w:vertAlign w:val="superscript"/>
          <w14:ligatures w14:val="none"/>
        </w:rPr>
        <w:t>2</w:t>
      </w:r>
      <w:r w:rsidRPr="00B8302E">
        <w:rPr>
          <w:rFonts w:eastAsia="Calibri" w:cs="Times New Roman"/>
          <w:kern w:val="0"/>
          <w14:ligatures w14:val="none"/>
        </w:rPr>
        <w:t>), amount of variation explained by the model (R</w:t>
      </w:r>
      <w:r w:rsidRPr="00B8302E">
        <w:rPr>
          <w:rFonts w:eastAsia="Calibri" w:cs="Times New Roman"/>
          <w:kern w:val="0"/>
          <w:vertAlign w:val="superscript"/>
          <w14:ligatures w14:val="none"/>
        </w:rPr>
        <w:t>2</w:t>
      </w:r>
      <w:r w:rsidRPr="00B8302E">
        <w:rPr>
          <w:rFonts w:eastAsia="Calibri" w:cs="Times New Roman"/>
          <w:kern w:val="0"/>
          <w14:ligatures w14:val="none"/>
        </w:rPr>
        <w:t>), the p-values associated with both the Q</w:t>
      </w:r>
      <w:r w:rsidRPr="00B8302E">
        <w:rPr>
          <w:rFonts w:eastAsia="Calibri" w:cs="Times New Roman"/>
          <w:kern w:val="0"/>
          <w:vertAlign w:val="superscript"/>
          <w14:ligatures w14:val="none"/>
        </w:rPr>
        <w:t xml:space="preserve">2 </w:t>
      </w:r>
      <w:r w:rsidRPr="00B8302E">
        <w:rPr>
          <w:rFonts w:eastAsia="Calibri" w:cs="Times New Roman"/>
          <w:kern w:val="0"/>
          <w14:ligatures w14:val="none"/>
        </w:rPr>
        <w:t>and R</w:t>
      </w:r>
      <w:r w:rsidRPr="00B8302E">
        <w:rPr>
          <w:rFonts w:eastAsia="Calibri" w:cs="Times New Roman"/>
          <w:kern w:val="0"/>
          <w:vertAlign w:val="superscript"/>
          <w14:ligatures w14:val="none"/>
        </w:rPr>
        <w:t xml:space="preserve">2 </w:t>
      </w:r>
      <w:r w:rsidRPr="00B8302E">
        <w:rPr>
          <w:rFonts w:eastAsia="Calibri" w:cs="Times New Roman"/>
          <w:kern w:val="0"/>
          <w14:ligatures w14:val="none"/>
        </w:rPr>
        <w:t xml:space="preserve">values, area under the receiver operator characteristic curve, and predictive accuracy. The bins found to be significant by either the VIAVC best subset or Mann-Whitney univariate analysis were utilized for all comparisons and modelling, except for the control versus depression 8 with SSRI treatment and 9 with SSRI treatment. In these cases, the VIAVC F-ranked variables were utilized because the total number of bins that were found to be significant by either the VIAVC best subset or Mann-Whitney analysis was too small to allow for multivariate modelling. </w:t>
      </w:r>
    </w:p>
    <w:tbl>
      <w:tblPr>
        <w:tblStyle w:val="GridTable4-Accent31"/>
        <w:tblW w:w="10485" w:type="dxa"/>
        <w:tblLook w:val="04A0" w:firstRow="1" w:lastRow="0" w:firstColumn="1" w:lastColumn="0" w:noHBand="0" w:noVBand="1"/>
      </w:tblPr>
      <w:tblGrid>
        <w:gridCol w:w="2547"/>
        <w:gridCol w:w="965"/>
        <w:gridCol w:w="1162"/>
        <w:gridCol w:w="850"/>
        <w:gridCol w:w="992"/>
        <w:gridCol w:w="992"/>
        <w:gridCol w:w="992"/>
        <w:gridCol w:w="851"/>
        <w:gridCol w:w="1134"/>
      </w:tblGrid>
      <w:tr w:rsidR="00B8302E" w:rsidRPr="00B8302E" w14:paraId="02B45DE8" w14:textId="77777777" w:rsidTr="000519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3880C63A" w14:textId="77777777" w:rsidR="00B8302E" w:rsidRPr="00B8302E" w:rsidRDefault="00B8302E" w:rsidP="00B8302E">
            <w:pPr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Comparison</w:t>
            </w:r>
          </w:p>
        </w:tc>
        <w:tc>
          <w:tcPr>
            <w:tcW w:w="965" w:type="dxa"/>
            <w:noWrap/>
            <w:hideMark/>
          </w:tcPr>
          <w:p w14:paraId="3F41650E" w14:textId="77777777" w:rsidR="00B8302E" w:rsidRPr="00B8302E" w:rsidRDefault="00B8302E" w:rsidP="00B830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Number of MW Bins</w:t>
            </w:r>
          </w:p>
        </w:tc>
        <w:tc>
          <w:tcPr>
            <w:tcW w:w="1162" w:type="dxa"/>
            <w:noWrap/>
            <w:hideMark/>
          </w:tcPr>
          <w:p w14:paraId="4ACE9696" w14:textId="77777777" w:rsidR="00B8302E" w:rsidRPr="00B8302E" w:rsidRDefault="00B8302E" w:rsidP="00B830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Number of VIAVC Best Subset Bins</w:t>
            </w:r>
          </w:p>
        </w:tc>
        <w:tc>
          <w:tcPr>
            <w:tcW w:w="850" w:type="dxa"/>
            <w:noWrap/>
            <w:hideMark/>
          </w:tcPr>
          <w:p w14:paraId="7273E3C9" w14:textId="77777777" w:rsidR="00B8302E" w:rsidRPr="00B8302E" w:rsidRDefault="00B8302E" w:rsidP="00B830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MW + VIAVC OPLS-DA Q2</w:t>
            </w:r>
          </w:p>
        </w:tc>
        <w:tc>
          <w:tcPr>
            <w:tcW w:w="992" w:type="dxa"/>
            <w:noWrap/>
            <w:hideMark/>
          </w:tcPr>
          <w:p w14:paraId="62F69A6B" w14:textId="77777777" w:rsidR="00B8302E" w:rsidRPr="00B8302E" w:rsidRDefault="00B8302E" w:rsidP="00B830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MW + VIAVC OPLS-DA Q2 P value</w:t>
            </w:r>
          </w:p>
        </w:tc>
        <w:tc>
          <w:tcPr>
            <w:tcW w:w="992" w:type="dxa"/>
            <w:noWrap/>
            <w:hideMark/>
          </w:tcPr>
          <w:p w14:paraId="298ED337" w14:textId="77777777" w:rsidR="00B8302E" w:rsidRPr="00B8302E" w:rsidRDefault="00B8302E" w:rsidP="00B830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MW + VIAVC OPLS-DA R2</w:t>
            </w:r>
          </w:p>
        </w:tc>
        <w:tc>
          <w:tcPr>
            <w:tcW w:w="992" w:type="dxa"/>
            <w:noWrap/>
            <w:hideMark/>
          </w:tcPr>
          <w:p w14:paraId="67499E60" w14:textId="77777777" w:rsidR="00B8302E" w:rsidRPr="00B8302E" w:rsidRDefault="00B8302E" w:rsidP="00B830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MW + VIAVC OPLS-DA R2 P value</w:t>
            </w:r>
          </w:p>
        </w:tc>
        <w:tc>
          <w:tcPr>
            <w:tcW w:w="851" w:type="dxa"/>
            <w:noWrap/>
            <w:hideMark/>
          </w:tcPr>
          <w:p w14:paraId="0E4DA7F6" w14:textId="77777777" w:rsidR="00B8302E" w:rsidRPr="00B8302E" w:rsidRDefault="00B8302E" w:rsidP="00B830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VIAVC Best Subset AUC</w:t>
            </w:r>
          </w:p>
        </w:tc>
        <w:tc>
          <w:tcPr>
            <w:tcW w:w="1134" w:type="dxa"/>
            <w:noWrap/>
            <w:hideMark/>
          </w:tcPr>
          <w:p w14:paraId="54314F19" w14:textId="77777777" w:rsidR="00B8302E" w:rsidRPr="00B8302E" w:rsidRDefault="00B8302E" w:rsidP="00B830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 xml:space="preserve">VIAVC Best Subset Predictive Accuracy </w:t>
            </w:r>
          </w:p>
        </w:tc>
      </w:tr>
      <w:tr w:rsidR="00B8302E" w:rsidRPr="00B8302E" w14:paraId="3983C963" w14:textId="77777777" w:rsidTr="00051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C834F5E" w14:textId="77777777" w:rsidR="00B8302E" w:rsidRPr="00B8302E" w:rsidRDefault="00B8302E" w:rsidP="00B8302E">
            <w:pPr>
              <w:jc w:val="center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Control vs Depression 8</w:t>
            </w:r>
          </w:p>
        </w:tc>
        <w:tc>
          <w:tcPr>
            <w:tcW w:w="965" w:type="dxa"/>
            <w:noWrap/>
            <w:hideMark/>
          </w:tcPr>
          <w:p w14:paraId="3488AAEF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11</w:t>
            </w:r>
          </w:p>
        </w:tc>
        <w:tc>
          <w:tcPr>
            <w:tcW w:w="1162" w:type="dxa"/>
            <w:noWrap/>
            <w:hideMark/>
          </w:tcPr>
          <w:p w14:paraId="7A125EE0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20</w:t>
            </w:r>
          </w:p>
        </w:tc>
        <w:tc>
          <w:tcPr>
            <w:tcW w:w="850" w:type="dxa"/>
            <w:noWrap/>
            <w:hideMark/>
          </w:tcPr>
          <w:p w14:paraId="2DCE9F3A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0.238</w:t>
            </w:r>
          </w:p>
        </w:tc>
        <w:tc>
          <w:tcPr>
            <w:tcW w:w="992" w:type="dxa"/>
            <w:noWrap/>
            <w:hideMark/>
          </w:tcPr>
          <w:p w14:paraId="6ABF449E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0.008</w:t>
            </w:r>
          </w:p>
        </w:tc>
        <w:tc>
          <w:tcPr>
            <w:tcW w:w="992" w:type="dxa"/>
            <w:noWrap/>
            <w:hideMark/>
          </w:tcPr>
          <w:p w14:paraId="46B8455A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0.423</w:t>
            </w:r>
          </w:p>
        </w:tc>
        <w:tc>
          <w:tcPr>
            <w:tcW w:w="992" w:type="dxa"/>
            <w:noWrap/>
            <w:hideMark/>
          </w:tcPr>
          <w:p w14:paraId="26497360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0.0335</w:t>
            </w:r>
          </w:p>
        </w:tc>
        <w:tc>
          <w:tcPr>
            <w:tcW w:w="851" w:type="dxa"/>
            <w:noWrap/>
            <w:hideMark/>
          </w:tcPr>
          <w:p w14:paraId="6ADBF001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0.536</w:t>
            </w:r>
          </w:p>
        </w:tc>
        <w:tc>
          <w:tcPr>
            <w:tcW w:w="1134" w:type="dxa"/>
            <w:noWrap/>
            <w:hideMark/>
          </w:tcPr>
          <w:p w14:paraId="1293572B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 54.7%</w:t>
            </w:r>
          </w:p>
        </w:tc>
      </w:tr>
      <w:tr w:rsidR="00B8302E" w:rsidRPr="00B8302E" w14:paraId="36222FC2" w14:textId="77777777" w:rsidTr="0005195B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FD1C0B9" w14:textId="77777777" w:rsidR="00B8302E" w:rsidRPr="00B8302E" w:rsidRDefault="00B8302E" w:rsidP="00B8302E">
            <w:pPr>
              <w:jc w:val="center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Control vs Depression 9</w:t>
            </w:r>
          </w:p>
        </w:tc>
        <w:tc>
          <w:tcPr>
            <w:tcW w:w="965" w:type="dxa"/>
            <w:noWrap/>
            <w:hideMark/>
          </w:tcPr>
          <w:p w14:paraId="7CDB1FF1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1162" w:type="dxa"/>
            <w:noWrap/>
            <w:hideMark/>
          </w:tcPr>
          <w:p w14:paraId="7D655D3A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34B683DD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0.285</w:t>
            </w:r>
          </w:p>
        </w:tc>
        <w:tc>
          <w:tcPr>
            <w:tcW w:w="992" w:type="dxa"/>
            <w:noWrap/>
            <w:hideMark/>
          </w:tcPr>
          <w:p w14:paraId="58ED909F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0.01</w:t>
            </w:r>
          </w:p>
        </w:tc>
        <w:tc>
          <w:tcPr>
            <w:tcW w:w="992" w:type="dxa"/>
            <w:noWrap/>
            <w:hideMark/>
          </w:tcPr>
          <w:p w14:paraId="2CD20DB6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0.444</w:t>
            </w:r>
          </w:p>
        </w:tc>
        <w:tc>
          <w:tcPr>
            <w:tcW w:w="992" w:type="dxa"/>
            <w:noWrap/>
            <w:hideMark/>
          </w:tcPr>
          <w:p w14:paraId="1164D2D1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0.0215</w:t>
            </w:r>
          </w:p>
        </w:tc>
        <w:tc>
          <w:tcPr>
            <w:tcW w:w="851" w:type="dxa"/>
            <w:noWrap/>
            <w:hideMark/>
          </w:tcPr>
          <w:p w14:paraId="63F84B47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0.759</w:t>
            </w:r>
          </w:p>
        </w:tc>
        <w:tc>
          <w:tcPr>
            <w:tcW w:w="1134" w:type="dxa"/>
            <w:noWrap/>
            <w:hideMark/>
          </w:tcPr>
          <w:p w14:paraId="476CDB34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63.7%</w:t>
            </w:r>
          </w:p>
        </w:tc>
      </w:tr>
      <w:tr w:rsidR="00B8302E" w:rsidRPr="00B8302E" w14:paraId="20CDD27D" w14:textId="77777777" w:rsidTr="00051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88F0575" w14:textId="77777777" w:rsidR="00B8302E" w:rsidRPr="00B8302E" w:rsidRDefault="00B8302E" w:rsidP="00B8302E">
            <w:pPr>
              <w:jc w:val="center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Control vs Depression 10</w:t>
            </w:r>
          </w:p>
        </w:tc>
        <w:tc>
          <w:tcPr>
            <w:tcW w:w="965" w:type="dxa"/>
            <w:noWrap/>
            <w:hideMark/>
          </w:tcPr>
          <w:p w14:paraId="01D14D7F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1162" w:type="dxa"/>
            <w:noWrap/>
            <w:hideMark/>
          </w:tcPr>
          <w:p w14:paraId="5596BB81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12A430D0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0.507</w:t>
            </w:r>
          </w:p>
        </w:tc>
        <w:tc>
          <w:tcPr>
            <w:tcW w:w="992" w:type="dxa"/>
            <w:noWrap/>
            <w:hideMark/>
          </w:tcPr>
          <w:p w14:paraId="3FF16A16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0.001</w:t>
            </w:r>
          </w:p>
        </w:tc>
        <w:tc>
          <w:tcPr>
            <w:tcW w:w="992" w:type="dxa"/>
            <w:noWrap/>
            <w:hideMark/>
          </w:tcPr>
          <w:p w14:paraId="2B7FB59F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0.575</w:t>
            </w:r>
          </w:p>
        </w:tc>
        <w:tc>
          <w:tcPr>
            <w:tcW w:w="992" w:type="dxa"/>
            <w:noWrap/>
            <w:hideMark/>
          </w:tcPr>
          <w:p w14:paraId="5D675041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0.005</w:t>
            </w:r>
          </w:p>
        </w:tc>
        <w:tc>
          <w:tcPr>
            <w:tcW w:w="851" w:type="dxa"/>
            <w:noWrap/>
            <w:hideMark/>
          </w:tcPr>
          <w:p w14:paraId="5F7EAFFE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0.964</w:t>
            </w:r>
          </w:p>
        </w:tc>
        <w:tc>
          <w:tcPr>
            <w:tcW w:w="1134" w:type="dxa"/>
            <w:noWrap/>
            <w:hideMark/>
          </w:tcPr>
          <w:p w14:paraId="1A329012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89.5%</w:t>
            </w:r>
          </w:p>
        </w:tc>
      </w:tr>
      <w:tr w:rsidR="00B8302E" w:rsidRPr="00B8302E" w14:paraId="24F396E8" w14:textId="77777777" w:rsidTr="0005195B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1310D7FC" w14:textId="77777777" w:rsidR="00B8302E" w:rsidRPr="00B8302E" w:rsidRDefault="00B8302E" w:rsidP="00B8302E">
            <w:pPr>
              <w:jc w:val="center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Control vs Depression 8 with SSRI treatment</w:t>
            </w:r>
          </w:p>
        </w:tc>
        <w:tc>
          <w:tcPr>
            <w:tcW w:w="965" w:type="dxa"/>
            <w:noWrap/>
          </w:tcPr>
          <w:p w14:paraId="083A9878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162" w:type="dxa"/>
            <w:noWrap/>
          </w:tcPr>
          <w:p w14:paraId="4AF7F6BB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50" w:type="dxa"/>
            <w:noWrap/>
          </w:tcPr>
          <w:p w14:paraId="25C1342F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0.112</w:t>
            </w:r>
          </w:p>
        </w:tc>
        <w:tc>
          <w:tcPr>
            <w:tcW w:w="992" w:type="dxa"/>
            <w:noWrap/>
          </w:tcPr>
          <w:p w14:paraId="7FFBB727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0.092</w:t>
            </w:r>
          </w:p>
        </w:tc>
        <w:tc>
          <w:tcPr>
            <w:tcW w:w="992" w:type="dxa"/>
            <w:noWrap/>
          </w:tcPr>
          <w:p w14:paraId="76AE4954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0.282</w:t>
            </w:r>
          </w:p>
        </w:tc>
        <w:tc>
          <w:tcPr>
            <w:tcW w:w="992" w:type="dxa"/>
            <w:noWrap/>
          </w:tcPr>
          <w:p w14:paraId="17400697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0.092</w:t>
            </w:r>
          </w:p>
        </w:tc>
        <w:tc>
          <w:tcPr>
            <w:tcW w:w="851" w:type="dxa"/>
            <w:noWrap/>
          </w:tcPr>
          <w:p w14:paraId="0E499810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0.490</w:t>
            </w:r>
          </w:p>
        </w:tc>
        <w:tc>
          <w:tcPr>
            <w:tcW w:w="1134" w:type="dxa"/>
            <w:noWrap/>
          </w:tcPr>
          <w:p w14:paraId="385B630C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49.7%</w:t>
            </w:r>
          </w:p>
        </w:tc>
      </w:tr>
      <w:tr w:rsidR="00B8302E" w:rsidRPr="00B8302E" w14:paraId="3134F93D" w14:textId="77777777" w:rsidTr="00051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2FF10A10" w14:textId="77777777" w:rsidR="00B8302E" w:rsidRPr="00B8302E" w:rsidRDefault="00B8302E" w:rsidP="00B8302E">
            <w:pPr>
              <w:jc w:val="center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Control vs Depression 9 with SSRI treatment</w:t>
            </w:r>
          </w:p>
        </w:tc>
        <w:tc>
          <w:tcPr>
            <w:tcW w:w="965" w:type="dxa"/>
            <w:noWrap/>
          </w:tcPr>
          <w:p w14:paraId="4D1BE21A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162" w:type="dxa"/>
            <w:noWrap/>
          </w:tcPr>
          <w:p w14:paraId="41BDD490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50" w:type="dxa"/>
            <w:noWrap/>
          </w:tcPr>
          <w:p w14:paraId="2A907F57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0.112</w:t>
            </w:r>
          </w:p>
        </w:tc>
        <w:tc>
          <w:tcPr>
            <w:tcW w:w="992" w:type="dxa"/>
            <w:noWrap/>
          </w:tcPr>
          <w:p w14:paraId="0471FD15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0.09</w:t>
            </w:r>
          </w:p>
        </w:tc>
        <w:tc>
          <w:tcPr>
            <w:tcW w:w="992" w:type="dxa"/>
            <w:noWrap/>
          </w:tcPr>
          <w:p w14:paraId="2406C541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0.282</w:t>
            </w:r>
          </w:p>
        </w:tc>
        <w:tc>
          <w:tcPr>
            <w:tcW w:w="992" w:type="dxa"/>
            <w:noWrap/>
          </w:tcPr>
          <w:p w14:paraId="32CA120D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0.099</w:t>
            </w:r>
          </w:p>
        </w:tc>
        <w:tc>
          <w:tcPr>
            <w:tcW w:w="851" w:type="dxa"/>
            <w:noWrap/>
          </w:tcPr>
          <w:p w14:paraId="0D23427C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0.433</w:t>
            </w:r>
          </w:p>
        </w:tc>
        <w:tc>
          <w:tcPr>
            <w:tcW w:w="1134" w:type="dxa"/>
            <w:noWrap/>
          </w:tcPr>
          <w:p w14:paraId="1CBA46A5" w14:textId="77777777" w:rsidR="00B8302E" w:rsidRPr="00B8302E" w:rsidRDefault="00B8302E" w:rsidP="00B83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46.7%</w:t>
            </w:r>
          </w:p>
        </w:tc>
      </w:tr>
      <w:tr w:rsidR="00B8302E" w:rsidRPr="00B8302E" w14:paraId="6DF43B2A" w14:textId="77777777" w:rsidTr="0005195B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84A7612" w14:textId="77777777" w:rsidR="00B8302E" w:rsidRPr="00B8302E" w:rsidRDefault="00B8302E" w:rsidP="00B8302E">
            <w:pPr>
              <w:jc w:val="center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Control vs Depression 10 with SSRI treatment</w:t>
            </w:r>
          </w:p>
        </w:tc>
        <w:tc>
          <w:tcPr>
            <w:tcW w:w="965" w:type="dxa"/>
            <w:noWrap/>
            <w:hideMark/>
          </w:tcPr>
          <w:p w14:paraId="3BA0735F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162" w:type="dxa"/>
            <w:noWrap/>
            <w:hideMark/>
          </w:tcPr>
          <w:p w14:paraId="1576CD65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09B252EB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0.0974</w:t>
            </w:r>
          </w:p>
        </w:tc>
        <w:tc>
          <w:tcPr>
            <w:tcW w:w="992" w:type="dxa"/>
            <w:noWrap/>
            <w:hideMark/>
          </w:tcPr>
          <w:p w14:paraId="1923AFD4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0.339</w:t>
            </w:r>
          </w:p>
        </w:tc>
        <w:tc>
          <w:tcPr>
            <w:tcW w:w="992" w:type="dxa"/>
            <w:noWrap/>
            <w:hideMark/>
          </w:tcPr>
          <w:p w14:paraId="091D232C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0.362</w:t>
            </w:r>
          </w:p>
        </w:tc>
        <w:tc>
          <w:tcPr>
            <w:tcW w:w="992" w:type="dxa"/>
            <w:noWrap/>
            <w:hideMark/>
          </w:tcPr>
          <w:p w14:paraId="3DDB0994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0.176</w:t>
            </w:r>
          </w:p>
        </w:tc>
        <w:tc>
          <w:tcPr>
            <w:tcW w:w="851" w:type="dxa"/>
            <w:noWrap/>
            <w:hideMark/>
          </w:tcPr>
          <w:p w14:paraId="170B4E42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0.378</w:t>
            </w:r>
          </w:p>
        </w:tc>
        <w:tc>
          <w:tcPr>
            <w:tcW w:w="1134" w:type="dxa"/>
            <w:noWrap/>
            <w:hideMark/>
          </w:tcPr>
          <w:p w14:paraId="27C5E523" w14:textId="77777777" w:rsidR="00B8302E" w:rsidRPr="00B8302E" w:rsidRDefault="00B8302E" w:rsidP="00B83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</w:rPr>
            </w:pPr>
            <w:r w:rsidRPr="00B8302E">
              <w:rPr>
                <w:rFonts w:eastAsia="Times New Roman" w:cs="Calibri"/>
                <w:color w:val="000000"/>
              </w:rPr>
              <w:t>44.7%</w:t>
            </w:r>
          </w:p>
        </w:tc>
      </w:tr>
    </w:tbl>
    <w:p w14:paraId="4D8EB716" w14:textId="77777777" w:rsidR="00B8302E" w:rsidRPr="00B8302E" w:rsidRDefault="00B8302E" w:rsidP="00B8302E">
      <w:pPr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3901B9FB" w14:textId="77777777" w:rsidR="00643E28" w:rsidRDefault="00643E28"/>
    <w:sectPr w:rsidR="00643E28" w:rsidSect="00B830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02E"/>
    <w:rsid w:val="00446DFE"/>
    <w:rsid w:val="00587944"/>
    <w:rsid w:val="00643E28"/>
    <w:rsid w:val="00B8302E"/>
    <w:rsid w:val="00E0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4BAC7"/>
  <w15:chartTrackingRefBased/>
  <w15:docId w15:val="{362ED3F1-6AB6-4F3E-8E0F-2A8E67EA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0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0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0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0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0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0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0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02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02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02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0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0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0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0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0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0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0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0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0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0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0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0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02E"/>
    <w:rPr>
      <w:b/>
      <w:bCs/>
      <w:smallCaps/>
      <w:color w:val="0F4761" w:themeColor="accent1" w:themeShade="BF"/>
      <w:spacing w:val="5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B8302E"/>
    <w:pPr>
      <w:spacing w:after="0" w:line="240" w:lineRule="auto"/>
    </w:pPr>
    <w:rPr>
      <w:rFonts w:ascii="Calibri" w:hAnsi="Calibr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4-Accent3">
    <w:name w:val="Grid Table 4 Accent 3"/>
    <w:basedOn w:val="TableNormal"/>
    <w:uiPriority w:val="49"/>
    <w:rsid w:val="00B8302E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Kenney, Thomas</dc:creator>
  <cp:keywords/>
  <dc:description/>
  <cp:lastModifiedBy>Kenney, Thomas</cp:lastModifiedBy>
  <cp:revision>1</cp:revision>
  <dcterms:created xsi:type="dcterms:W3CDTF">2026-06-18T03:09:00Z</dcterms:created>
  <dcterms:modified xsi:type="dcterms:W3CDTF">2026-06-18T03:10:00Z</dcterms:modified>
</cp:coreProperties>
</file>