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C529D" w:rsidRPr="002C3398" w:rsidRDefault="00DC529D" w:rsidP="00DC529D">
      <w:pPr>
        <w:jc w:val="center"/>
        <w:rPr>
          <w:rFonts w:ascii="Times New Roman" w:eastAsia="Times New Roman" w:hAnsi="Times New Roman" w:cs="Times New Roman"/>
          <w:b/>
          <w:bCs/>
          <w:snapToGrid w:val="0"/>
          <w:color w:val="000000"/>
          <w:kern w:val="0"/>
          <w:lang w:eastAsia="de-DE" w:bidi="en-US"/>
          <w14:ligatures w14:val="none"/>
        </w:rPr>
      </w:pPr>
      <w:r w:rsidRPr="002C3398">
        <w:rPr>
          <w:rFonts w:ascii="Times New Roman" w:hAnsi="Times New Roman"/>
          <w:b/>
          <w:bCs/>
        </w:rPr>
        <w:t>Appendices</w:t>
      </w:r>
    </w:p>
    <w:p w:rsidR="00DC529D" w:rsidRPr="00054346" w:rsidRDefault="00DC529D" w:rsidP="00DC529D">
      <w:pPr>
        <w:pStyle w:val="MDPI21heading1"/>
        <w:spacing w:before="0" w:after="0" w:line="480" w:lineRule="auto"/>
        <w:ind w:left="0"/>
        <w:jc w:val="center"/>
        <w:rPr>
          <w:rFonts w:ascii="Times New Roman" w:hAnsi="Times New Roman"/>
          <w:szCs w:val="24"/>
        </w:rPr>
      </w:pPr>
      <w:r w:rsidRPr="00054346">
        <w:rPr>
          <w:rFonts w:ascii="Times New Roman" w:hAnsi="Times New Roman"/>
          <w:szCs w:val="24"/>
        </w:rPr>
        <w:t xml:space="preserve">Appendix 1. </w:t>
      </w:r>
      <w:r w:rsidRPr="006F4F46">
        <w:rPr>
          <w:rFonts w:ascii="Times New Roman" w:hAnsi="Times New Roman"/>
          <w:b w:val="0"/>
          <w:bCs/>
          <w:szCs w:val="24"/>
        </w:rPr>
        <w:t>Data Derivative</w:t>
      </w:r>
    </w:p>
    <w:p w:rsidR="00DC529D" w:rsidRPr="00054346" w:rsidRDefault="00DC529D" w:rsidP="00DC529D">
      <w:pPr>
        <w:spacing w:after="0" w:line="480" w:lineRule="auto"/>
        <w:rPr>
          <w:rFonts w:ascii="Times New Roman" w:hAnsi="Times New Roman" w:cs="Times New Roman"/>
          <w:lang w:eastAsia="en-US"/>
        </w:rPr>
      </w:pPr>
      <w:r w:rsidRPr="00054346">
        <w:rPr>
          <w:rFonts w:ascii="Times New Roman" w:hAnsi="Times New Roman" w:cs="Times New Roman"/>
          <w:noProof/>
          <w:lang w:eastAsia="en-US"/>
        </w:rPr>
        <w:drawing>
          <wp:inline distT="0" distB="0" distL="0" distR="0" wp14:anchorId="35BFC7BA" wp14:editId="195DEE4F">
            <wp:extent cx="5934075" cy="5238750"/>
            <wp:effectExtent l="0" t="0" r="9525" b="0"/>
            <wp:docPr id="560285294" name="Picture 1" descr="A diagram of a medical procedure  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285294" name="Picture 1" descr="A diagram of a medical procedure  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29D" w:rsidRPr="00054346" w:rsidRDefault="00DC529D" w:rsidP="00DC529D">
      <w:pPr>
        <w:pStyle w:val="MDPI31text"/>
        <w:spacing w:line="480" w:lineRule="auto"/>
        <w:ind w:left="0" w:firstLine="0"/>
        <w:rPr>
          <w:rFonts w:ascii="Times New Roman" w:hAnsi="Times New Roman"/>
          <w:sz w:val="24"/>
          <w:szCs w:val="24"/>
        </w:rPr>
      </w:pPr>
    </w:p>
    <w:p w:rsidR="00DC529D" w:rsidRPr="00054346" w:rsidRDefault="00DC529D" w:rsidP="00DC529D">
      <w:pPr>
        <w:pStyle w:val="MDPI31text"/>
        <w:spacing w:line="480" w:lineRule="auto"/>
        <w:ind w:left="0" w:firstLine="0"/>
        <w:rPr>
          <w:rFonts w:ascii="Times New Roman" w:hAnsi="Times New Roman"/>
          <w:sz w:val="24"/>
          <w:szCs w:val="24"/>
        </w:rPr>
      </w:pPr>
    </w:p>
    <w:p w:rsidR="00DC529D" w:rsidRPr="00054346" w:rsidRDefault="00DC529D" w:rsidP="00DC529D">
      <w:pPr>
        <w:pStyle w:val="MDPI31text"/>
        <w:spacing w:line="480" w:lineRule="auto"/>
        <w:ind w:left="0" w:firstLine="0"/>
        <w:rPr>
          <w:rFonts w:ascii="Times New Roman" w:hAnsi="Times New Roman"/>
          <w:sz w:val="24"/>
          <w:szCs w:val="24"/>
        </w:rPr>
      </w:pPr>
    </w:p>
    <w:p w:rsidR="00DC529D" w:rsidRPr="00054346" w:rsidRDefault="00DC529D" w:rsidP="00DC529D">
      <w:pPr>
        <w:pStyle w:val="MDPI31text"/>
        <w:spacing w:line="480" w:lineRule="auto"/>
        <w:ind w:left="0" w:firstLine="0"/>
        <w:rPr>
          <w:rFonts w:ascii="Times New Roman" w:hAnsi="Times New Roman"/>
          <w:sz w:val="24"/>
          <w:szCs w:val="24"/>
        </w:rPr>
      </w:pPr>
    </w:p>
    <w:p w:rsidR="00DC529D" w:rsidRPr="00054346" w:rsidRDefault="00DC529D" w:rsidP="00DC529D">
      <w:pPr>
        <w:pStyle w:val="MDPI31text"/>
        <w:spacing w:line="480" w:lineRule="auto"/>
        <w:ind w:left="0" w:firstLine="0"/>
        <w:rPr>
          <w:rFonts w:ascii="Times New Roman" w:hAnsi="Times New Roman"/>
          <w:sz w:val="24"/>
          <w:szCs w:val="24"/>
        </w:rPr>
      </w:pPr>
    </w:p>
    <w:p w:rsidR="00DC529D" w:rsidRDefault="00DC529D" w:rsidP="00DC529D">
      <w:pPr>
        <w:rPr>
          <w:rFonts w:ascii="Times New Roman" w:eastAsia="Times New Roman" w:hAnsi="Times New Roman" w:cs="Times New Roman"/>
          <w:b/>
          <w:snapToGrid w:val="0"/>
          <w:color w:val="000000"/>
          <w:kern w:val="0"/>
          <w:lang w:eastAsia="de-DE" w:bidi="en-US"/>
          <w14:ligatures w14:val="none"/>
        </w:rPr>
      </w:pPr>
      <w:r>
        <w:rPr>
          <w:rFonts w:ascii="Times New Roman" w:hAnsi="Times New Roman"/>
        </w:rPr>
        <w:br w:type="page"/>
      </w:r>
    </w:p>
    <w:p w:rsidR="00DC529D" w:rsidRPr="002C3398" w:rsidRDefault="00DC529D" w:rsidP="00DC529D">
      <w:pPr>
        <w:jc w:val="center"/>
        <w:rPr>
          <w:rFonts w:ascii="Times New Roman" w:hAnsi="Times New Roman" w:cs="Times New Roman"/>
          <w:bCs/>
        </w:rPr>
      </w:pPr>
      <w:r w:rsidRPr="002C3398">
        <w:rPr>
          <w:rFonts w:ascii="Times New Roman" w:hAnsi="Times New Roman" w:cs="Times New Roman"/>
          <w:b/>
        </w:rPr>
        <w:lastRenderedPageBreak/>
        <w:t xml:space="preserve">Appendix 2. </w:t>
      </w:r>
      <w:r w:rsidRPr="002C3398">
        <w:rPr>
          <w:rFonts w:ascii="Times New Roman" w:hAnsi="Times New Roman" w:cs="Times New Roman"/>
          <w:bCs/>
        </w:rPr>
        <w:t>AHA Definitions of Physician-Hospital Integration (PHI) Models</w:t>
      </w:r>
    </w:p>
    <w:tbl>
      <w:tblPr>
        <w:tblStyle w:val="TableGrid"/>
        <w:tblW w:w="0" w:type="auto"/>
        <w:jc w:val="center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8"/>
        <w:gridCol w:w="6098"/>
      </w:tblGrid>
      <w:tr w:rsidR="00DC529D" w:rsidRPr="00C02842" w:rsidTr="008D3FC1">
        <w:trPr>
          <w:trHeight w:val="375"/>
          <w:jc w:val="center"/>
        </w:trPr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529D" w:rsidRPr="00C02842" w:rsidRDefault="00DC529D" w:rsidP="008D3FC1">
            <w:pPr>
              <w:spacing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C02842">
              <w:rPr>
                <w:rFonts w:ascii="Times New Roman" w:eastAsia="Calibri" w:hAnsi="Times New Roman"/>
                <w:b/>
              </w:rPr>
              <w:t>PHI Model</w:t>
            </w:r>
          </w:p>
        </w:tc>
        <w:tc>
          <w:tcPr>
            <w:tcW w:w="62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529D" w:rsidRPr="00C02842" w:rsidRDefault="00DC529D" w:rsidP="008D3FC1">
            <w:pPr>
              <w:spacing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C02842">
              <w:rPr>
                <w:rFonts w:ascii="Times New Roman" w:eastAsia="Calibri" w:hAnsi="Times New Roman"/>
                <w:b/>
              </w:rPr>
              <w:t>AHA Definition</w:t>
            </w:r>
          </w:p>
        </w:tc>
      </w:tr>
      <w:tr w:rsidR="00DC529D" w:rsidRPr="00C02842" w:rsidTr="008D3FC1">
        <w:trPr>
          <w:jc w:val="center"/>
        </w:trPr>
        <w:tc>
          <w:tcPr>
            <w:tcW w:w="2970" w:type="dxa"/>
            <w:tcBorders>
              <w:top w:val="single" w:sz="4" w:space="0" w:color="auto"/>
            </w:tcBorders>
            <w:vAlign w:val="center"/>
          </w:tcPr>
          <w:p w:rsidR="00DC529D" w:rsidRPr="00C02842" w:rsidRDefault="00DC529D" w:rsidP="008D3FC1">
            <w:pPr>
              <w:spacing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C02842">
              <w:rPr>
                <w:rFonts w:ascii="Times New Roman" w:eastAsia="Calibri" w:hAnsi="Times New Roman"/>
              </w:rPr>
              <w:t>Independent Practice Association</w:t>
            </w:r>
          </w:p>
        </w:tc>
        <w:tc>
          <w:tcPr>
            <w:tcW w:w="6210" w:type="dxa"/>
            <w:tcBorders>
              <w:top w:val="single" w:sz="4" w:space="0" w:color="auto"/>
            </w:tcBorders>
            <w:vAlign w:val="center"/>
          </w:tcPr>
          <w:p w:rsidR="00DC529D" w:rsidRPr="00C02842" w:rsidRDefault="00DC529D" w:rsidP="008D3FC1">
            <w:pPr>
              <w:spacing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C02842">
              <w:rPr>
                <w:rFonts w:ascii="Times New Roman" w:eastAsia="Calibri" w:hAnsi="Times New Roman"/>
              </w:rPr>
              <w:t>“A legal entity that holds managed care contracts, which then contracts with physicians</w:t>
            </w:r>
            <w:r w:rsidRPr="00C02842">
              <w:rPr>
                <w:rFonts w:ascii="Times New Roman" w:hAnsi="Times New Roman"/>
              </w:rPr>
              <w:t>.</w:t>
            </w:r>
            <w:r w:rsidRPr="00C02842">
              <w:rPr>
                <w:rFonts w:ascii="Times New Roman" w:eastAsia="Calibri" w:hAnsi="Times New Roman"/>
              </w:rPr>
              <w:t>” (AHA, 201</w:t>
            </w:r>
            <w:r w:rsidRPr="00C02842">
              <w:rPr>
                <w:rFonts w:ascii="Times New Roman" w:hAnsi="Times New Roman"/>
              </w:rPr>
              <w:t>9</w:t>
            </w:r>
            <w:r w:rsidRPr="00C02842">
              <w:rPr>
                <w:rFonts w:ascii="Times New Roman" w:eastAsia="Calibri" w:hAnsi="Times New Roman"/>
              </w:rPr>
              <w:t>, p.26).</w:t>
            </w:r>
          </w:p>
        </w:tc>
      </w:tr>
      <w:tr w:rsidR="00DC529D" w:rsidRPr="00C02842" w:rsidTr="008D3FC1">
        <w:trPr>
          <w:jc w:val="center"/>
        </w:trPr>
        <w:tc>
          <w:tcPr>
            <w:tcW w:w="2970" w:type="dxa"/>
            <w:vAlign w:val="center"/>
          </w:tcPr>
          <w:p w:rsidR="00DC529D" w:rsidRPr="00C02842" w:rsidRDefault="00DC529D" w:rsidP="008D3FC1">
            <w:pPr>
              <w:spacing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C02842">
              <w:rPr>
                <w:rFonts w:ascii="Times New Roman" w:eastAsia="Calibri" w:hAnsi="Times New Roman"/>
              </w:rPr>
              <w:t>Group Practice without Walls</w:t>
            </w:r>
          </w:p>
        </w:tc>
        <w:tc>
          <w:tcPr>
            <w:tcW w:w="6210" w:type="dxa"/>
            <w:vAlign w:val="center"/>
          </w:tcPr>
          <w:p w:rsidR="00DC529D" w:rsidRPr="00C02842" w:rsidRDefault="00DC529D" w:rsidP="008D3FC1">
            <w:pPr>
              <w:spacing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C02842">
              <w:rPr>
                <w:rFonts w:ascii="Times New Roman" w:eastAsia="Calibri" w:hAnsi="Times New Roman"/>
              </w:rPr>
              <w:t>“Hospital sponsors the formation of, or provides capital to physicians to establish, a "quasi" group to share administrative expenses while remaining independent practitioners</w:t>
            </w:r>
            <w:r w:rsidRPr="00C02842">
              <w:rPr>
                <w:rFonts w:ascii="Times New Roman" w:hAnsi="Times New Roman"/>
              </w:rPr>
              <w:t>.</w:t>
            </w:r>
            <w:r w:rsidRPr="00C02842">
              <w:rPr>
                <w:rFonts w:ascii="Times New Roman" w:eastAsia="Calibri" w:hAnsi="Times New Roman"/>
              </w:rPr>
              <w:t>” (AHA, 201</w:t>
            </w:r>
            <w:r w:rsidRPr="00C02842">
              <w:rPr>
                <w:rFonts w:ascii="Times New Roman" w:hAnsi="Times New Roman"/>
              </w:rPr>
              <w:t>9</w:t>
            </w:r>
            <w:r w:rsidRPr="00C02842">
              <w:rPr>
                <w:rFonts w:ascii="Times New Roman" w:eastAsia="Calibri" w:hAnsi="Times New Roman"/>
              </w:rPr>
              <w:t>, p.26).</w:t>
            </w:r>
          </w:p>
        </w:tc>
      </w:tr>
      <w:tr w:rsidR="00DC529D" w:rsidRPr="00C02842" w:rsidTr="008D3FC1">
        <w:trPr>
          <w:jc w:val="center"/>
        </w:trPr>
        <w:tc>
          <w:tcPr>
            <w:tcW w:w="2970" w:type="dxa"/>
            <w:vAlign w:val="center"/>
          </w:tcPr>
          <w:p w:rsidR="00DC529D" w:rsidRPr="00C02842" w:rsidRDefault="00DC529D" w:rsidP="008D3FC1">
            <w:pPr>
              <w:spacing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C02842">
              <w:rPr>
                <w:rFonts w:ascii="Times New Roman" w:eastAsia="Calibri" w:hAnsi="Times New Roman"/>
              </w:rPr>
              <w:t>Open Physician-Hospital Organization</w:t>
            </w:r>
          </w:p>
        </w:tc>
        <w:tc>
          <w:tcPr>
            <w:tcW w:w="6210" w:type="dxa"/>
          </w:tcPr>
          <w:p w:rsidR="00DC529D" w:rsidRPr="00C02842" w:rsidRDefault="00DC529D" w:rsidP="008D3FC1">
            <w:pPr>
              <w:spacing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C02842">
              <w:rPr>
                <w:rFonts w:ascii="Times New Roman" w:eastAsia="Calibri" w:hAnsi="Times New Roman"/>
              </w:rPr>
              <w:t>“A joint venture between the hospital and all members of the medical staff who wish to participate,” which “acts as a unified agent</w:t>
            </w:r>
            <w:r w:rsidRPr="00C02842">
              <w:rPr>
                <w:rFonts w:ascii="Times New Roman" w:hAnsi="Times New Roman"/>
              </w:rPr>
              <w:t>.</w:t>
            </w:r>
            <w:r w:rsidRPr="00C02842">
              <w:rPr>
                <w:rFonts w:ascii="Times New Roman" w:eastAsia="Calibri" w:hAnsi="Times New Roman"/>
              </w:rPr>
              <w:t>” (AHA, 201</w:t>
            </w:r>
            <w:r w:rsidRPr="00C02842">
              <w:rPr>
                <w:rFonts w:ascii="Times New Roman" w:hAnsi="Times New Roman"/>
              </w:rPr>
              <w:t>9</w:t>
            </w:r>
            <w:r w:rsidRPr="00C02842">
              <w:rPr>
                <w:rFonts w:ascii="Times New Roman" w:eastAsia="Calibri" w:hAnsi="Times New Roman"/>
              </w:rPr>
              <w:t>, p.26).</w:t>
            </w:r>
          </w:p>
        </w:tc>
      </w:tr>
      <w:tr w:rsidR="00DC529D" w:rsidRPr="00C02842" w:rsidTr="008D3FC1">
        <w:trPr>
          <w:jc w:val="center"/>
        </w:trPr>
        <w:tc>
          <w:tcPr>
            <w:tcW w:w="2970" w:type="dxa"/>
            <w:vAlign w:val="center"/>
          </w:tcPr>
          <w:p w:rsidR="00DC529D" w:rsidRPr="00C02842" w:rsidRDefault="00DC529D" w:rsidP="008D3FC1">
            <w:pPr>
              <w:spacing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C02842">
              <w:rPr>
                <w:rFonts w:ascii="Times New Roman" w:eastAsia="Calibri" w:hAnsi="Times New Roman"/>
              </w:rPr>
              <w:t>Closed Physician-Hospital Organization</w:t>
            </w:r>
          </w:p>
        </w:tc>
        <w:tc>
          <w:tcPr>
            <w:tcW w:w="6210" w:type="dxa"/>
            <w:vAlign w:val="center"/>
          </w:tcPr>
          <w:p w:rsidR="00DC529D" w:rsidRPr="00C02842" w:rsidRDefault="00DC529D" w:rsidP="008D3FC1">
            <w:pPr>
              <w:spacing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C02842">
              <w:rPr>
                <w:rFonts w:ascii="Times New Roman" w:eastAsia="Calibri" w:hAnsi="Times New Roman"/>
              </w:rPr>
              <w:t>“A PHO that restricts physician membership to those practitioners who meet criteria for cost effectiveness and/or high quality</w:t>
            </w:r>
            <w:r w:rsidRPr="00C02842">
              <w:rPr>
                <w:rFonts w:ascii="Times New Roman" w:hAnsi="Times New Roman"/>
              </w:rPr>
              <w:t>.</w:t>
            </w:r>
            <w:r w:rsidRPr="00C02842">
              <w:rPr>
                <w:rFonts w:ascii="Times New Roman" w:eastAsia="Calibri" w:hAnsi="Times New Roman"/>
              </w:rPr>
              <w:t>” (AHA, 201</w:t>
            </w:r>
            <w:r w:rsidRPr="00C02842">
              <w:rPr>
                <w:rFonts w:ascii="Times New Roman" w:hAnsi="Times New Roman"/>
              </w:rPr>
              <w:t>9</w:t>
            </w:r>
            <w:r w:rsidRPr="00C02842">
              <w:rPr>
                <w:rFonts w:ascii="Times New Roman" w:eastAsia="Calibri" w:hAnsi="Times New Roman"/>
              </w:rPr>
              <w:t>, p.26).</w:t>
            </w:r>
          </w:p>
        </w:tc>
      </w:tr>
      <w:tr w:rsidR="00DC529D" w:rsidRPr="00C02842" w:rsidTr="008D3FC1">
        <w:trPr>
          <w:jc w:val="center"/>
        </w:trPr>
        <w:tc>
          <w:tcPr>
            <w:tcW w:w="2970" w:type="dxa"/>
            <w:vAlign w:val="center"/>
          </w:tcPr>
          <w:p w:rsidR="00DC529D" w:rsidRPr="00C02842" w:rsidRDefault="00DC529D" w:rsidP="008D3FC1">
            <w:pPr>
              <w:spacing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C02842">
              <w:rPr>
                <w:rFonts w:ascii="Times New Roman" w:eastAsia="Calibri" w:hAnsi="Times New Roman"/>
              </w:rPr>
              <w:t>Management Service Organization</w:t>
            </w:r>
          </w:p>
        </w:tc>
        <w:tc>
          <w:tcPr>
            <w:tcW w:w="6210" w:type="dxa"/>
            <w:vAlign w:val="center"/>
          </w:tcPr>
          <w:p w:rsidR="00DC529D" w:rsidRPr="00C02842" w:rsidRDefault="00DC529D" w:rsidP="008D3FC1">
            <w:pPr>
              <w:spacing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C02842">
              <w:rPr>
                <w:rFonts w:ascii="Times New Roman" w:hAnsi="Times New Roman"/>
                <w:shd w:val="clear" w:color="auto" w:fill="FFFFFF"/>
              </w:rPr>
              <w:t>“</w:t>
            </w:r>
            <w:r w:rsidRPr="00C02842">
              <w:rPr>
                <w:rFonts w:ascii="Times New Roman" w:eastAsia="Calibri" w:hAnsi="Times New Roman"/>
              </w:rPr>
              <w:t>A corporation, owned by the hospital or a physician/hospital joint venture, that provides management services to one or more medical group practices</w:t>
            </w:r>
            <w:r w:rsidRPr="00C02842">
              <w:rPr>
                <w:rFonts w:ascii="Times New Roman" w:hAnsi="Times New Roman"/>
              </w:rPr>
              <w:t>.</w:t>
            </w:r>
            <w:r w:rsidRPr="00C02842">
              <w:rPr>
                <w:rFonts w:ascii="Times New Roman" w:hAnsi="Times New Roman"/>
                <w:shd w:val="clear" w:color="auto" w:fill="FFFFFF"/>
              </w:rPr>
              <w:t>”</w:t>
            </w:r>
            <w:r w:rsidRPr="00C02842">
              <w:rPr>
                <w:rFonts w:ascii="Times New Roman" w:eastAsia="Calibri" w:hAnsi="Times New Roman"/>
              </w:rPr>
              <w:t xml:space="preserve"> (AHA, 201</w:t>
            </w:r>
            <w:r w:rsidRPr="00C02842">
              <w:rPr>
                <w:rFonts w:ascii="Times New Roman" w:hAnsi="Times New Roman"/>
              </w:rPr>
              <w:t>9</w:t>
            </w:r>
            <w:r w:rsidRPr="00C02842">
              <w:rPr>
                <w:rFonts w:ascii="Times New Roman" w:eastAsia="Calibri" w:hAnsi="Times New Roman"/>
              </w:rPr>
              <w:t>, p.26).</w:t>
            </w:r>
          </w:p>
        </w:tc>
      </w:tr>
      <w:tr w:rsidR="00DC529D" w:rsidRPr="00C02842" w:rsidTr="008D3FC1">
        <w:trPr>
          <w:jc w:val="center"/>
        </w:trPr>
        <w:tc>
          <w:tcPr>
            <w:tcW w:w="2970" w:type="dxa"/>
            <w:vAlign w:val="center"/>
          </w:tcPr>
          <w:p w:rsidR="00DC529D" w:rsidRPr="00C02842" w:rsidRDefault="00DC529D" w:rsidP="008D3FC1">
            <w:pPr>
              <w:spacing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C02842">
              <w:rPr>
                <w:rFonts w:ascii="Times New Roman" w:eastAsia="Calibri" w:hAnsi="Times New Roman"/>
              </w:rPr>
              <w:t>Integrated Salary Model</w:t>
            </w:r>
          </w:p>
        </w:tc>
        <w:tc>
          <w:tcPr>
            <w:tcW w:w="6210" w:type="dxa"/>
          </w:tcPr>
          <w:p w:rsidR="00DC529D" w:rsidRPr="00C02842" w:rsidRDefault="00DC529D" w:rsidP="008D3FC1">
            <w:pPr>
              <w:spacing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C02842">
              <w:rPr>
                <w:rFonts w:ascii="Times New Roman" w:eastAsia="Calibri" w:hAnsi="Times New Roman"/>
              </w:rPr>
              <w:t>“Physicians are salaried by the hospital or another entity of a health system to provide medical services for primary care and specialty care</w:t>
            </w:r>
            <w:r w:rsidRPr="00C02842">
              <w:rPr>
                <w:rFonts w:ascii="Times New Roman" w:hAnsi="Times New Roman"/>
              </w:rPr>
              <w:t>.</w:t>
            </w:r>
            <w:r w:rsidRPr="00C02842">
              <w:rPr>
                <w:rFonts w:ascii="Times New Roman" w:eastAsia="Calibri" w:hAnsi="Times New Roman"/>
              </w:rPr>
              <w:t>” (AHA, 201</w:t>
            </w:r>
            <w:r w:rsidRPr="00C02842">
              <w:rPr>
                <w:rFonts w:ascii="Times New Roman" w:hAnsi="Times New Roman"/>
              </w:rPr>
              <w:t>9</w:t>
            </w:r>
            <w:r w:rsidRPr="00C02842">
              <w:rPr>
                <w:rFonts w:ascii="Times New Roman" w:eastAsia="Calibri" w:hAnsi="Times New Roman"/>
              </w:rPr>
              <w:t>, p.26).</w:t>
            </w:r>
          </w:p>
        </w:tc>
      </w:tr>
      <w:tr w:rsidR="00DC529D" w:rsidRPr="00C02842" w:rsidTr="008D3FC1">
        <w:trPr>
          <w:jc w:val="center"/>
        </w:trPr>
        <w:tc>
          <w:tcPr>
            <w:tcW w:w="2970" w:type="dxa"/>
            <w:tcBorders>
              <w:bottom w:val="nil"/>
            </w:tcBorders>
            <w:vAlign w:val="center"/>
          </w:tcPr>
          <w:p w:rsidR="00DC529D" w:rsidRPr="00C02842" w:rsidRDefault="00DC529D" w:rsidP="008D3FC1">
            <w:pPr>
              <w:spacing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C02842">
              <w:rPr>
                <w:rFonts w:ascii="Times New Roman" w:eastAsia="Calibri" w:hAnsi="Times New Roman"/>
              </w:rPr>
              <w:t>Equity Model</w:t>
            </w:r>
          </w:p>
        </w:tc>
        <w:tc>
          <w:tcPr>
            <w:tcW w:w="6210" w:type="dxa"/>
            <w:tcBorders>
              <w:bottom w:val="nil"/>
            </w:tcBorders>
            <w:vAlign w:val="center"/>
          </w:tcPr>
          <w:p w:rsidR="00DC529D" w:rsidRPr="00C02842" w:rsidRDefault="00DC529D" w:rsidP="008D3FC1">
            <w:pPr>
              <w:spacing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C02842">
              <w:rPr>
                <w:rFonts w:ascii="Times New Roman" w:hAnsi="Times New Roman"/>
                <w:shd w:val="clear" w:color="auto" w:fill="FFFFFF"/>
              </w:rPr>
              <w:t>“</w:t>
            </w:r>
            <w:r w:rsidRPr="00C02842">
              <w:rPr>
                <w:rFonts w:ascii="Times New Roman" w:eastAsia="Calibri" w:hAnsi="Times New Roman"/>
              </w:rPr>
              <w:t>Allows established practitioners to become shareholders in a professional corporation in exchange for tangible and intangible assets of their existing practices</w:t>
            </w:r>
            <w:r w:rsidRPr="00C02842">
              <w:rPr>
                <w:rFonts w:ascii="Times New Roman" w:hAnsi="Times New Roman"/>
              </w:rPr>
              <w:t>.</w:t>
            </w:r>
            <w:r w:rsidRPr="00C02842">
              <w:rPr>
                <w:rFonts w:ascii="Times New Roman" w:hAnsi="Times New Roman"/>
                <w:shd w:val="clear" w:color="auto" w:fill="FFFFFF"/>
              </w:rPr>
              <w:t>”</w:t>
            </w:r>
            <w:r w:rsidRPr="00C02842">
              <w:rPr>
                <w:rFonts w:ascii="Times New Roman" w:eastAsia="Calibri" w:hAnsi="Times New Roman"/>
              </w:rPr>
              <w:t xml:space="preserve"> (AHA, 201</w:t>
            </w:r>
            <w:r w:rsidRPr="00C02842">
              <w:rPr>
                <w:rFonts w:ascii="Times New Roman" w:hAnsi="Times New Roman"/>
              </w:rPr>
              <w:t>9</w:t>
            </w:r>
            <w:r w:rsidRPr="00C02842">
              <w:rPr>
                <w:rFonts w:ascii="Times New Roman" w:eastAsia="Calibri" w:hAnsi="Times New Roman"/>
              </w:rPr>
              <w:t>, p.26).</w:t>
            </w:r>
          </w:p>
        </w:tc>
      </w:tr>
      <w:tr w:rsidR="00DC529D" w:rsidRPr="00C02842" w:rsidTr="008D3FC1">
        <w:trPr>
          <w:trHeight w:val="1260"/>
          <w:jc w:val="center"/>
        </w:trPr>
        <w:tc>
          <w:tcPr>
            <w:tcW w:w="2970" w:type="dxa"/>
            <w:tcBorders>
              <w:top w:val="nil"/>
              <w:bottom w:val="single" w:sz="4" w:space="0" w:color="auto"/>
            </w:tcBorders>
            <w:vAlign w:val="center"/>
          </w:tcPr>
          <w:p w:rsidR="00DC529D" w:rsidRPr="00C02842" w:rsidRDefault="00DC529D" w:rsidP="008D3FC1">
            <w:pPr>
              <w:spacing w:line="240" w:lineRule="auto"/>
              <w:jc w:val="center"/>
              <w:rPr>
                <w:rFonts w:ascii="Times New Roman" w:eastAsia="Calibri" w:hAnsi="Times New Roman"/>
              </w:rPr>
            </w:pPr>
            <w:r w:rsidRPr="00C02842">
              <w:rPr>
                <w:rFonts w:ascii="Times New Roman" w:eastAsia="Calibri" w:hAnsi="Times New Roman"/>
              </w:rPr>
              <w:t>Foundation Model</w:t>
            </w:r>
          </w:p>
        </w:tc>
        <w:tc>
          <w:tcPr>
            <w:tcW w:w="6210" w:type="dxa"/>
            <w:tcBorders>
              <w:top w:val="nil"/>
              <w:bottom w:val="single" w:sz="4" w:space="0" w:color="auto"/>
            </w:tcBorders>
            <w:vAlign w:val="center"/>
          </w:tcPr>
          <w:p w:rsidR="00DC529D" w:rsidRPr="00C02842" w:rsidRDefault="00DC529D" w:rsidP="008D3FC1">
            <w:pPr>
              <w:spacing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C02842">
              <w:rPr>
                <w:rFonts w:ascii="Times New Roman" w:eastAsia="Calibri" w:hAnsi="Times New Roman"/>
              </w:rPr>
              <w:t>“A corporation, organized either as a hospital affiliate or subsidiary, which purchases both the tangible and intangible assets of one or more medical group practices. Physicians remain in a separate corporate entity but sign a professional services arrangement with the foundation</w:t>
            </w:r>
            <w:r w:rsidRPr="00C02842">
              <w:rPr>
                <w:rFonts w:ascii="Times New Roman" w:hAnsi="Times New Roman"/>
              </w:rPr>
              <w:t>.</w:t>
            </w:r>
            <w:r w:rsidRPr="00C02842">
              <w:rPr>
                <w:rFonts w:ascii="Times New Roman" w:eastAsia="Calibri" w:hAnsi="Times New Roman"/>
              </w:rPr>
              <w:t>”</w:t>
            </w:r>
            <w:r w:rsidRPr="00C02842">
              <w:rPr>
                <w:rFonts w:ascii="Times New Roman" w:hAnsi="Times New Roman"/>
              </w:rPr>
              <w:t xml:space="preserve"> </w:t>
            </w:r>
            <w:r w:rsidRPr="00C02842">
              <w:rPr>
                <w:rFonts w:ascii="Times New Roman" w:eastAsia="Calibri" w:hAnsi="Times New Roman"/>
              </w:rPr>
              <w:t>(AHA, 201</w:t>
            </w:r>
            <w:r w:rsidRPr="00C02842">
              <w:rPr>
                <w:rFonts w:ascii="Times New Roman" w:hAnsi="Times New Roman"/>
              </w:rPr>
              <w:t>9</w:t>
            </w:r>
            <w:r w:rsidRPr="00C02842">
              <w:rPr>
                <w:rFonts w:ascii="Times New Roman" w:eastAsia="Calibri" w:hAnsi="Times New Roman"/>
              </w:rPr>
              <w:t>, p.26).</w:t>
            </w:r>
          </w:p>
        </w:tc>
      </w:tr>
    </w:tbl>
    <w:p w:rsidR="00DC529D" w:rsidRPr="00054346" w:rsidRDefault="00DC529D" w:rsidP="00DC529D">
      <w:pPr>
        <w:pStyle w:val="MDPI21heading1"/>
        <w:spacing w:before="0" w:after="0" w:line="480" w:lineRule="auto"/>
        <w:ind w:left="0"/>
        <w:rPr>
          <w:rFonts w:ascii="Times New Roman" w:hAnsi="Times New Roman"/>
          <w:szCs w:val="24"/>
        </w:rPr>
      </w:pPr>
    </w:p>
    <w:p w:rsidR="00DC529D" w:rsidRPr="00054346" w:rsidRDefault="00DC529D" w:rsidP="00DC529D">
      <w:pPr>
        <w:pStyle w:val="MDPI21heading1"/>
        <w:spacing w:before="0" w:after="0" w:line="480" w:lineRule="auto"/>
        <w:ind w:left="0"/>
        <w:rPr>
          <w:rFonts w:ascii="Times New Roman" w:hAnsi="Times New Roman"/>
          <w:szCs w:val="24"/>
        </w:rPr>
      </w:pPr>
    </w:p>
    <w:p w:rsidR="00DC529D" w:rsidRDefault="00DC529D" w:rsidP="00DC529D">
      <w:pPr>
        <w:rPr>
          <w:rFonts w:ascii="Times New Roman" w:eastAsia="Times New Roman" w:hAnsi="Times New Roman" w:cs="Times New Roman"/>
          <w:b/>
          <w:snapToGrid w:val="0"/>
          <w:color w:val="000000"/>
          <w:kern w:val="0"/>
          <w:lang w:eastAsia="de-DE" w:bidi="en-US"/>
          <w14:ligatures w14:val="none"/>
        </w:rPr>
      </w:pPr>
      <w:r>
        <w:rPr>
          <w:rFonts w:ascii="Times New Roman" w:hAnsi="Times New Roman"/>
        </w:rPr>
        <w:br w:type="page"/>
      </w:r>
    </w:p>
    <w:p w:rsidR="00DC529D" w:rsidRPr="002C3398" w:rsidRDefault="00DC529D" w:rsidP="00DC529D">
      <w:pPr>
        <w:jc w:val="center"/>
        <w:rPr>
          <w:rFonts w:ascii="Times New Roman" w:hAnsi="Times New Roman" w:cs="Times New Roman"/>
          <w:bCs/>
        </w:rPr>
      </w:pPr>
      <w:r w:rsidRPr="002C3398">
        <w:rPr>
          <w:rFonts w:ascii="Times New Roman" w:hAnsi="Times New Roman" w:cs="Times New Roman"/>
          <w:b/>
        </w:rPr>
        <w:lastRenderedPageBreak/>
        <w:t xml:space="preserve">Appendix 3. </w:t>
      </w:r>
      <w:r w:rsidRPr="002C3398">
        <w:rPr>
          <w:rFonts w:ascii="Times New Roman" w:hAnsi="Times New Roman" w:cs="Times New Roman"/>
          <w:bCs/>
        </w:rPr>
        <w:t>PLS-SEM Individual Predictor Model Results</w:t>
      </w:r>
    </w:p>
    <w:p w:rsidR="00DC529D" w:rsidRPr="00054346" w:rsidRDefault="00DC529D" w:rsidP="00DC529D">
      <w:pPr>
        <w:spacing w:after="0" w:line="480" w:lineRule="auto"/>
        <w:rPr>
          <w:rFonts w:ascii="Times New Roman" w:hAnsi="Times New Roman" w:cs="Times New Roman"/>
        </w:rPr>
      </w:pPr>
      <w:r w:rsidRPr="00054346">
        <w:rPr>
          <w:rFonts w:ascii="Times New Roman" w:hAnsi="Times New Roman" w:cs="Times New Roman"/>
          <w:noProof/>
        </w:rPr>
        <w:drawing>
          <wp:inline distT="0" distB="0" distL="0" distR="0" wp14:anchorId="438C07F8" wp14:editId="6E1A8291">
            <wp:extent cx="6645910" cy="5343752"/>
            <wp:effectExtent l="0" t="0" r="2540" b="9525"/>
            <wp:docPr id="1301003888" name="Picture 1" descr="A diagram of a structure  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417639" name="Picture 1" descr="A diagram of a structure  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343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29D" w:rsidRPr="00054346" w:rsidRDefault="00DC529D" w:rsidP="00DC529D">
      <w:pPr>
        <w:spacing w:after="0" w:line="480" w:lineRule="auto"/>
        <w:rPr>
          <w:rFonts w:ascii="Times New Roman" w:hAnsi="Times New Roman" w:cs="Times New Roman"/>
        </w:rPr>
      </w:pPr>
      <w:r w:rsidRPr="00054346"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0A0FEDD7" wp14:editId="2023F9A5">
            <wp:extent cx="6645910" cy="5196657"/>
            <wp:effectExtent l="0" t="0" r="2540" b="4445"/>
            <wp:docPr id="1449848045" name="Picture 2" descr="A diagram of a software company  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848045" name="Picture 2" descr="A diagram of a software company  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196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29D" w:rsidRPr="00054346" w:rsidRDefault="00DC529D" w:rsidP="00DC529D">
      <w:pPr>
        <w:pStyle w:val="MDPI21heading1"/>
        <w:spacing w:before="0" w:after="0" w:line="480" w:lineRule="auto"/>
        <w:ind w:left="0"/>
        <w:rPr>
          <w:rFonts w:ascii="Times New Roman" w:hAnsi="Times New Roman"/>
          <w:szCs w:val="24"/>
        </w:rPr>
      </w:pPr>
    </w:p>
    <w:p w:rsidR="00DC529D" w:rsidRPr="00054346" w:rsidRDefault="00DC529D" w:rsidP="00DC529D">
      <w:pPr>
        <w:pStyle w:val="MDPI21heading1"/>
        <w:spacing w:before="0" w:after="0" w:line="480" w:lineRule="auto"/>
        <w:ind w:left="0"/>
        <w:rPr>
          <w:rFonts w:ascii="Times New Roman" w:hAnsi="Times New Roman"/>
          <w:szCs w:val="24"/>
        </w:rPr>
      </w:pPr>
    </w:p>
    <w:p w:rsidR="00DC529D" w:rsidRPr="00054346" w:rsidRDefault="00DC529D" w:rsidP="00DC529D">
      <w:pPr>
        <w:pStyle w:val="MDPI21heading1"/>
        <w:spacing w:before="0" w:after="0" w:line="480" w:lineRule="auto"/>
        <w:ind w:left="0"/>
        <w:rPr>
          <w:rFonts w:ascii="Times New Roman" w:hAnsi="Times New Roman"/>
          <w:szCs w:val="24"/>
        </w:rPr>
      </w:pPr>
    </w:p>
    <w:p w:rsidR="00DC529D" w:rsidRPr="00054346" w:rsidRDefault="00DC529D" w:rsidP="00DC529D">
      <w:pPr>
        <w:pStyle w:val="MDPI21heading1"/>
        <w:spacing w:before="0" w:after="0" w:line="480" w:lineRule="auto"/>
        <w:ind w:left="0"/>
        <w:rPr>
          <w:rFonts w:ascii="Times New Roman" w:hAnsi="Times New Roman"/>
          <w:szCs w:val="24"/>
        </w:rPr>
      </w:pPr>
    </w:p>
    <w:p w:rsidR="00DC529D" w:rsidRPr="00054346" w:rsidRDefault="00DC529D" w:rsidP="00DC529D">
      <w:pPr>
        <w:pStyle w:val="MDPI21heading1"/>
        <w:spacing w:before="0" w:after="0" w:line="480" w:lineRule="auto"/>
        <w:ind w:left="0"/>
        <w:rPr>
          <w:rFonts w:ascii="Times New Roman" w:hAnsi="Times New Roman"/>
          <w:szCs w:val="24"/>
        </w:rPr>
      </w:pPr>
    </w:p>
    <w:p w:rsidR="00DC529D" w:rsidRPr="00054346" w:rsidRDefault="00DC529D" w:rsidP="00DC529D">
      <w:pPr>
        <w:pStyle w:val="MDPI21heading1"/>
        <w:spacing w:before="0" w:after="0" w:line="480" w:lineRule="auto"/>
        <w:ind w:left="0"/>
        <w:rPr>
          <w:rFonts w:ascii="Times New Roman" w:hAnsi="Times New Roman"/>
          <w:szCs w:val="24"/>
        </w:rPr>
      </w:pPr>
    </w:p>
    <w:p w:rsidR="00DC529D" w:rsidRPr="00054346" w:rsidRDefault="00DC529D" w:rsidP="00DC529D">
      <w:pPr>
        <w:pStyle w:val="MDPI21heading1"/>
        <w:spacing w:before="0" w:after="0" w:line="480" w:lineRule="auto"/>
        <w:ind w:left="0"/>
        <w:rPr>
          <w:rFonts w:ascii="Times New Roman" w:hAnsi="Times New Roman"/>
          <w:szCs w:val="24"/>
        </w:rPr>
      </w:pPr>
    </w:p>
    <w:p w:rsidR="00DC529D" w:rsidRPr="00054346" w:rsidRDefault="00DC529D" w:rsidP="00DC529D">
      <w:pPr>
        <w:pStyle w:val="MDPI21heading1"/>
        <w:spacing w:before="0" w:after="0" w:line="480" w:lineRule="auto"/>
        <w:ind w:left="0"/>
        <w:rPr>
          <w:rFonts w:ascii="Times New Roman" w:hAnsi="Times New Roman"/>
          <w:szCs w:val="24"/>
        </w:rPr>
      </w:pPr>
    </w:p>
    <w:p w:rsidR="00DC529D" w:rsidRPr="002C3398" w:rsidRDefault="00DC529D" w:rsidP="00DC529D">
      <w:pPr>
        <w:jc w:val="center"/>
        <w:rPr>
          <w:rFonts w:ascii="Times New Roman" w:hAnsi="Times New Roman" w:cs="Times New Roman"/>
          <w:bCs/>
        </w:rPr>
      </w:pPr>
      <w:r w:rsidRPr="002C3398">
        <w:rPr>
          <w:rFonts w:ascii="Times New Roman" w:hAnsi="Times New Roman" w:cs="Times New Roman"/>
          <w:b/>
        </w:rPr>
        <w:t xml:space="preserve">Appendix 4. </w:t>
      </w:r>
      <w:r w:rsidRPr="002C3398">
        <w:rPr>
          <w:rFonts w:ascii="Times New Roman" w:hAnsi="Times New Roman" w:cs="Times New Roman"/>
          <w:bCs/>
        </w:rPr>
        <w:t>PLS-SEM Group Predictor Model Results</w:t>
      </w:r>
    </w:p>
    <w:p w:rsidR="00DC529D" w:rsidRPr="00054346" w:rsidRDefault="00DC529D" w:rsidP="00DC529D">
      <w:pPr>
        <w:pStyle w:val="MDPI21heading1"/>
        <w:spacing w:before="0" w:after="0" w:line="480" w:lineRule="auto"/>
        <w:ind w:left="0"/>
        <w:rPr>
          <w:rFonts w:ascii="Times New Roman" w:hAnsi="Times New Roman"/>
          <w:szCs w:val="24"/>
        </w:rPr>
      </w:pPr>
      <w:r w:rsidRPr="00054346">
        <w:rPr>
          <w:rFonts w:ascii="Times New Roman" w:hAnsi="Times New Roman"/>
          <w:b w:val="0"/>
          <w:bCs/>
          <w:noProof/>
          <w:szCs w:val="24"/>
        </w:rPr>
        <w:lastRenderedPageBreak/>
        <w:drawing>
          <wp:inline distT="0" distB="0" distL="0" distR="0" wp14:anchorId="1F2CECAF" wp14:editId="1980C2D4">
            <wp:extent cx="6645910" cy="2769129"/>
            <wp:effectExtent l="0" t="0" r="2540" b="0"/>
            <wp:docPr id="679390166" name="Picture 4" descr="A diagram of a model  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390166" name="Picture 4" descr="A diagram of a model  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769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29D" w:rsidRPr="00054346" w:rsidRDefault="00DC529D" w:rsidP="00DC529D">
      <w:pPr>
        <w:spacing w:after="0" w:line="480" w:lineRule="auto"/>
        <w:rPr>
          <w:rFonts w:ascii="Times New Roman" w:hAnsi="Times New Roman" w:cs="Times New Roman"/>
        </w:rPr>
      </w:pPr>
      <w:r w:rsidRPr="00054346">
        <w:rPr>
          <w:rFonts w:ascii="Times New Roman" w:hAnsi="Times New Roman" w:cs="Times New Roman"/>
          <w:noProof/>
        </w:rPr>
        <w:drawing>
          <wp:inline distT="0" distB="0" distL="0" distR="0" wp14:anchorId="7BBEFCE7" wp14:editId="68F92B78">
            <wp:extent cx="6645910" cy="2561444"/>
            <wp:effectExtent l="0" t="0" r="2540" b="0"/>
            <wp:docPr id="1689257769" name="Picture 6" descr="A diagram of a flowchart  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9257769" name="Picture 6" descr="A diagram of a flowchart  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561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3F9" w:rsidRDefault="00DC529D" w:rsidP="00DC529D">
      <w:r>
        <w:rPr>
          <w:rFonts w:ascii="Times New Roman" w:hAnsi="Times New Roman"/>
        </w:rPr>
        <w:br w:type="page"/>
      </w:r>
    </w:p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29D"/>
    <w:rsid w:val="000C4033"/>
    <w:rsid w:val="00173ED8"/>
    <w:rsid w:val="002F50B1"/>
    <w:rsid w:val="004B42CB"/>
    <w:rsid w:val="005F2B46"/>
    <w:rsid w:val="006E1731"/>
    <w:rsid w:val="00866D74"/>
    <w:rsid w:val="00882A73"/>
    <w:rsid w:val="00906905"/>
    <w:rsid w:val="0095305D"/>
    <w:rsid w:val="00B10170"/>
    <w:rsid w:val="00B260B7"/>
    <w:rsid w:val="00B85331"/>
    <w:rsid w:val="00C94D66"/>
    <w:rsid w:val="00DC529D"/>
    <w:rsid w:val="00DE7E69"/>
    <w:rsid w:val="00E023F9"/>
    <w:rsid w:val="00FD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938A299-F7B9-4E3F-BE54-9810011B2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529D"/>
    <w:rPr>
      <w:rFonts w:eastAsiaTheme="minorEastAsia"/>
      <w:lang w:val="en-US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52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52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52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52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IN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52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IN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52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IN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52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IN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52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IN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52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IN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52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52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52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52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52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52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52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52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52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52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</w:rPr>
  </w:style>
  <w:style w:type="character" w:customStyle="1" w:styleId="TitleChar">
    <w:name w:val="Title Char"/>
    <w:basedOn w:val="DefaultParagraphFont"/>
    <w:link w:val="Title"/>
    <w:uiPriority w:val="10"/>
    <w:rsid w:val="00DC52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52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DC52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529D"/>
    <w:pPr>
      <w:spacing w:before="160"/>
      <w:jc w:val="center"/>
    </w:pPr>
    <w:rPr>
      <w:rFonts w:eastAsiaTheme="minorHAnsi"/>
      <w:i/>
      <w:iCs/>
      <w:color w:val="404040" w:themeColor="text1" w:themeTint="BF"/>
      <w:lang w:val="en-IN" w:eastAsia="en-US"/>
    </w:rPr>
  </w:style>
  <w:style w:type="character" w:customStyle="1" w:styleId="QuoteChar">
    <w:name w:val="Quote Char"/>
    <w:basedOn w:val="DefaultParagraphFont"/>
    <w:link w:val="Quote"/>
    <w:uiPriority w:val="29"/>
    <w:rsid w:val="00DC52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529D"/>
    <w:pPr>
      <w:ind w:left="720"/>
      <w:contextualSpacing/>
    </w:pPr>
    <w:rPr>
      <w:rFonts w:eastAsiaTheme="minorHAnsi"/>
      <w:lang w:val="en-IN" w:eastAsia="en-US"/>
    </w:rPr>
  </w:style>
  <w:style w:type="character" w:styleId="IntenseEmphasis">
    <w:name w:val="Intense Emphasis"/>
    <w:basedOn w:val="DefaultParagraphFont"/>
    <w:uiPriority w:val="21"/>
    <w:qFormat/>
    <w:rsid w:val="00DC52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52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lang w:val="en-IN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52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529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C529D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kern w:val="0"/>
      <w:sz w:val="20"/>
      <w:szCs w:val="20"/>
      <w:lang w:val="en-US"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31text">
    <w:name w:val="MDPI_3.1_text"/>
    <w:qFormat/>
    <w:rsid w:val="00DC529D"/>
    <w:pPr>
      <w:adjustRightInd w:val="0"/>
      <w:snapToGrid w:val="0"/>
      <w:spacing w:after="0" w:line="280" w:lineRule="atLeast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val="en-US" w:eastAsia="de-DE" w:bidi="en-US"/>
      <w14:ligatures w14:val="none"/>
    </w:rPr>
  </w:style>
  <w:style w:type="paragraph" w:customStyle="1" w:styleId="MDPI21heading1">
    <w:name w:val="MDPI_2.1_heading1"/>
    <w:qFormat/>
    <w:rsid w:val="00DC529D"/>
    <w:pPr>
      <w:adjustRightInd w:val="0"/>
      <w:snapToGrid w:val="0"/>
      <w:spacing w:before="240" w:after="60" w:line="280" w:lineRule="atLeast"/>
      <w:ind w:left="2608"/>
      <w:outlineLvl w:val="0"/>
    </w:pPr>
    <w:rPr>
      <w:rFonts w:ascii="Palatino Linotype" w:eastAsia="Times New Roman" w:hAnsi="Palatino Linotype" w:cs="Times New Roman"/>
      <w:b/>
      <w:snapToGrid w:val="0"/>
      <w:color w:val="000000"/>
      <w:kern w:val="0"/>
      <w:szCs w:val="22"/>
      <w:lang w:val="en-US" w:eastAsia="de-DE"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288</Words>
  <Characters>1647</Characters>
  <Application>Microsoft Office Word</Application>
  <DocSecurity>0</DocSecurity>
  <Lines>13</Lines>
  <Paragraphs>3</Paragraphs>
  <ScaleCrop>false</ScaleCrop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2026-08-14T11:29:00Z</dcterms:created>
  <dcterms:modified xsi:type="dcterms:W3CDTF">2026-08-14T11:29:00Z</dcterms:modified>
</cp:coreProperties>
</file>