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490"/>
        <w:gridCol w:w="2790"/>
        <w:gridCol w:w="1470"/>
      </w:tblGrid>
      <w:tr w:rsidR="00732C4A" w:rsidRPr="00BD3457" w14:paraId="0CCEDC40" w14:textId="77777777" w:rsidTr="00A4334C">
        <w:trPr>
          <w:trHeight w:val="900"/>
        </w:trPr>
        <w:tc>
          <w:tcPr>
            <w:tcW w:w="93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79D00" w14:textId="77777777" w:rsidR="00732C4A" w:rsidRPr="00BD3457" w:rsidRDefault="00732C4A" w:rsidP="00A4334C">
            <w:pPr>
              <w:spacing w:after="160" w:line="360" w:lineRule="auto"/>
              <w:jc w:val="both"/>
              <w:rPr>
                <w:b/>
                <w:bCs/>
                <w:color w:val="1C1E29"/>
              </w:rPr>
            </w:pPr>
            <w:r w:rsidRPr="00BD3457">
              <w:rPr>
                <w:b/>
                <w:bCs/>
                <w:color w:val="1C1E29"/>
              </w:rPr>
              <w:t>Table 6. Comparison of Operative Outcomes between Biochemical and Non-Biochemical Adrenalectomy Groups</w:t>
            </w:r>
          </w:p>
        </w:tc>
      </w:tr>
      <w:tr w:rsidR="00732C4A" w:rsidRPr="00BD3457" w14:paraId="77BB442B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42F28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Outcome Measure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1FC4E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Functional Diagnosis (n=82)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91008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Non-Functional Diagnosis (n=57)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8D89F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p-value</w:t>
            </w:r>
          </w:p>
        </w:tc>
      </w:tr>
      <w:tr w:rsidR="00732C4A" w:rsidRPr="00BD3457" w14:paraId="3ACEA5FA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321ED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rPr>
                <w:b/>
                <w:bCs/>
              </w:rPr>
              <w:t>Operative Duration</w:t>
            </w:r>
            <w:r w:rsidRPr="00BD3457">
              <w:t>(min)*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96820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145 (110–180)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C6419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147 (120–195)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8F012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0.406</w:t>
            </w:r>
          </w:p>
        </w:tc>
      </w:tr>
      <w:tr w:rsidR="00732C4A" w:rsidRPr="00BD3457" w14:paraId="3C9571C8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22D95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Blood Transfusion During OR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B64BA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6 (7.3%)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404DD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4 (7.0%)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B958F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0.950</w:t>
            </w:r>
          </w:p>
        </w:tc>
      </w:tr>
      <w:tr w:rsidR="00732C4A" w:rsidRPr="00BD3457" w14:paraId="1FDDACCA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ACF89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Conversion to Open Surgery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8985C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3 (3.7%)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9AFE1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1 (1.8%)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D15E4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0.644</w:t>
            </w:r>
          </w:p>
        </w:tc>
      </w:tr>
      <w:tr w:rsidR="00732C4A" w:rsidRPr="00BD3457" w14:paraId="0664BC6E" w14:textId="77777777" w:rsidTr="00A4334C">
        <w:trPr>
          <w:trHeight w:val="39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A7683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Need for ICU Stay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12ABF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28 (34.1%)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1D333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11 (19.3%)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0485B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0.059</w:t>
            </w:r>
          </w:p>
        </w:tc>
      </w:tr>
      <w:tr w:rsidR="00732C4A" w:rsidRPr="00BD3457" w14:paraId="7963968E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D749E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rPr>
                <w:b/>
                <w:bCs/>
              </w:rPr>
              <w:t>Postoperative Stay</w:t>
            </w:r>
            <w:r w:rsidRPr="00BD3457">
              <w:t>(days)*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FB520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2 (2–3)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483C3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2 (2–4)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FA257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0.381</w:t>
            </w:r>
          </w:p>
        </w:tc>
      </w:tr>
      <w:tr w:rsidR="00732C4A" w:rsidRPr="00BD3457" w14:paraId="5D8F2531" w14:textId="77777777" w:rsidTr="00A4334C">
        <w:trPr>
          <w:trHeight w:val="750"/>
        </w:trPr>
        <w:tc>
          <w:tcPr>
            <w:tcW w:w="2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3B334" w14:textId="77777777" w:rsidR="00732C4A" w:rsidRPr="00BD3457" w:rsidRDefault="00732C4A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Postoperative Complications</w:t>
            </w:r>
          </w:p>
        </w:tc>
        <w:tc>
          <w:tcPr>
            <w:tcW w:w="2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EC834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9 (11.0%)</w:t>
            </w:r>
          </w:p>
        </w:tc>
        <w:tc>
          <w:tcPr>
            <w:tcW w:w="27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34589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13 (22.8%)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F8005" w14:textId="77777777" w:rsidR="00732C4A" w:rsidRPr="00BD3457" w:rsidRDefault="00732C4A" w:rsidP="00A4334C">
            <w:pPr>
              <w:spacing w:line="360" w:lineRule="auto"/>
              <w:jc w:val="both"/>
            </w:pPr>
            <w:r w:rsidRPr="00BD3457">
              <w:t>0.060</w:t>
            </w:r>
          </w:p>
        </w:tc>
      </w:tr>
    </w:tbl>
    <w:p w14:paraId="5792BFDC" w14:textId="77777777" w:rsidR="00732C4A" w:rsidRPr="00BD3457" w:rsidRDefault="00732C4A" w:rsidP="00732C4A">
      <w:pPr>
        <w:spacing w:after="160" w:line="360" w:lineRule="auto"/>
        <w:jc w:val="both"/>
        <w:rPr>
          <w:i/>
          <w:iCs/>
          <w:color w:val="1C1E29"/>
        </w:rPr>
      </w:pPr>
      <w:r w:rsidRPr="00BD3457">
        <w:rPr>
          <w:i/>
          <w:iCs/>
          <w:color w:val="1C1E29"/>
        </w:rPr>
        <w:t>Categorical variables are presented as n (%); Continuous variables (*) are presented as Median (Interquartile Range).</w:t>
      </w:r>
    </w:p>
    <w:p w14:paraId="372B579B" w14:textId="33D74CD0" w:rsidR="00B26D2F" w:rsidRPr="0016375C" w:rsidRDefault="00732C4A" w:rsidP="00732C4A">
      <w:r w:rsidRPr="00BD3457">
        <w:rPr>
          <w:i/>
          <w:iCs/>
          <w:color w:val="1C1E29"/>
        </w:rPr>
        <w:t>p &lt; 0.05 is considered statistically significant</w:t>
      </w:r>
    </w:p>
    <w:sectPr w:rsidR="00B26D2F" w:rsidRPr="001637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16375C"/>
    <w:rsid w:val="00331703"/>
    <w:rsid w:val="00511F24"/>
    <w:rsid w:val="00706E8F"/>
    <w:rsid w:val="007231FB"/>
    <w:rsid w:val="00732C4A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2026-06-15T14:53:00Z</dcterms:created>
  <dcterms:modified xsi:type="dcterms:W3CDTF">2026-06-15T14:53:00Z</dcterms:modified>
</cp:coreProperties>
</file>