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937C" w14:textId="508B19DF" w:rsidR="001C7DA6" w:rsidRDefault="0010064B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  <w:t>Supplementa</w:t>
      </w:r>
      <w:r w:rsidR="00A02CA4"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  <w:t>ry</w:t>
      </w: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  <w:t xml:space="preserve"> </w:t>
      </w:r>
      <w:r w:rsidR="00311889"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  <w:t>Figures/Tables</w:t>
      </w:r>
      <w:r w:rsidR="001C7DA6"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  <w:t xml:space="preserve">: </w:t>
      </w:r>
      <w:r w:rsidR="001C7DA6" w:rsidRPr="0066363A"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  <w:t xml:space="preserve">Identifying long-term effects of SARS-CoV-2 and their association with social determinants of health </w:t>
      </w:r>
      <w:r w:rsidR="001C7DA6" w:rsidRPr="279A3478"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  <w:t>in a cohort of over one million COVID-19 survivors</w:t>
      </w:r>
    </w:p>
    <w:p w14:paraId="3BDEEE11" w14:textId="18C20A4B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  <w:r w:rsidRPr="0066363A">
        <w:rPr>
          <w:color w:val="000000" w:themeColor="text1"/>
          <w:sz w:val="24"/>
          <w:szCs w:val="24"/>
        </w:rPr>
        <w:t xml:space="preserve">Authors: </w:t>
      </w:r>
      <w:r w:rsidR="004F294A" w:rsidRPr="0066363A">
        <w:rPr>
          <w:color w:val="000000" w:themeColor="text1"/>
          <w:sz w:val="24"/>
          <w:szCs w:val="24"/>
        </w:rPr>
        <w:t>Sumit Mukherjee</w:t>
      </w:r>
      <w:r w:rsidR="004F294A" w:rsidRPr="0066363A">
        <w:rPr>
          <w:color w:val="000000" w:themeColor="text1"/>
          <w:sz w:val="24"/>
          <w:szCs w:val="24"/>
          <w:vertAlign w:val="superscript"/>
        </w:rPr>
        <w:t>1</w:t>
      </w:r>
      <w:r w:rsidR="004F294A" w:rsidRPr="0066363A">
        <w:rPr>
          <w:color w:val="000000" w:themeColor="text1"/>
          <w:sz w:val="24"/>
          <w:szCs w:val="24"/>
        </w:rPr>
        <w:t>* (BS, MS, PHD),</w:t>
      </w:r>
      <w:r w:rsidR="004F294A">
        <w:rPr>
          <w:color w:val="000000" w:themeColor="text1"/>
          <w:sz w:val="24"/>
          <w:szCs w:val="24"/>
        </w:rPr>
        <w:t xml:space="preserve"> </w:t>
      </w:r>
      <w:r w:rsidRPr="0066363A">
        <w:rPr>
          <w:color w:val="000000" w:themeColor="text1"/>
          <w:sz w:val="24"/>
          <w:szCs w:val="24"/>
        </w:rPr>
        <w:t>Meghana Kshirsagar</w:t>
      </w:r>
      <w:r w:rsidRPr="0066363A">
        <w:rPr>
          <w:color w:val="000000" w:themeColor="text1"/>
          <w:sz w:val="24"/>
          <w:szCs w:val="24"/>
          <w:vertAlign w:val="superscript"/>
        </w:rPr>
        <w:t>1</w:t>
      </w:r>
      <w:r w:rsidRPr="0066363A">
        <w:rPr>
          <w:color w:val="000000" w:themeColor="text1"/>
          <w:sz w:val="24"/>
          <w:szCs w:val="24"/>
        </w:rPr>
        <w:t>* (BS, MS, PHD), Nicholas Becker</w:t>
      </w:r>
      <w:r w:rsidRPr="0066363A">
        <w:rPr>
          <w:color w:val="000000" w:themeColor="text1"/>
          <w:sz w:val="24"/>
          <w:szCs w:val="24"/>
          <w:vertAlign w:val="superscript"/>
        </w:rPr>
        <w:t>1,2</w:t>
      </w:r>
      <w:r w:rsidRPr="0066363A">
        <w:rPr>
          <w:color w:val="000000" w:themeColor="text1"/>
          <w:sz w:val="24"/>
          <w:szCs w:val="24"/>
        </w:rPr>
        <w:t xml:space="preserve"> (BS, MS), Yixi Xu</w:t>
      </w:r>
      <w:r w:rsidRPr="0066363A">
        <w:rPr>
          <w:color w:val="000000" w:themeColor="text1"/>
          <w:sz w:val="24"/>
          <w:szCs w:val="24"/>
          <w:vertAlign w:val="superscript"/>
        </w:rPr>
        <w:t>1</w:t>
      </w:r>
      <w:r w:rsidRPr="0066363A">
        <w:rPr>
          <w:color w:val="000000" w:themeColor="text1"/>
          <w:sz w:val="24"/>
          <w:szCs w:val="24"/>
        </w:rPr>
        <w:t xml:space="preserve"> (BS, PHD), William B Weeks</w:t>
      </w:r>
      <w:r w:rsidRPr="0066363A">
        <w:rPr>
          <w:color w:val="000000" w:themeColor="text1"/>
          <w:sz w:val="24"/>
          <w:szCs w:val="24"/>
          <w:vertAlign w:val="superscript"/>
        </w:rPr>
        <w:t>3</w:t>
      </w:r>
      <w:r w:rsidRPr="0066363A">
        <w:rPr>
          <w:color w:val="000000" w:themeColor="text1"/>
          <w:sz w:val="24"/>
          <w:szCs w:val="24"/>
        </w:rPr>
        <w:t xml:space="preserve"> (BS, MD, MBA, PHD), </w:t>
      </w:r>
      <w:proofErr w:type="spellStart"/>
      <w:r w:rsidRPr="0066363A">
        <w:rPr>
          <w:color w:val="000000" w:themeColor="text1"/>
          <w:sz w:val="24"/>
          <w:szCs w:val="24"/>
        </w:rPr>
        <w:t>Shwetak</w:t>
      </w:r>
      <w:proofErr w:type="spellEnd"/>
      <w:r w:rsidRPr="0066363A">
        <w:rPr>
          <w:color w:val="000000" w:themeColor="text1"/>
          <w:sz w:val="24"/>
          <w:szCs w:val="24"/>
        </w:rPr>
        <w:t xml:space="preserve"> Patel</w:t>
      </w:r>
      <w:r w:rsidRPr="0066363A">
        <w:rPr>
          <w:color w:val="000000" w:themeColor="text1"/>
          <w:sz w:val="24"/>
          <w:szCs w:val="24"/>
          <w:vertAlign w:val="superscript"/>
        </w:rPr>
        <w:t>2</w:t>
      </w:r>
      <w:r w:rsidRPr="0066363A">
        <w:rPr>
          <w:color w:val="000000" w:themeColor="text1"/>
          <w:sz w:val="24"/>
          <w:szCs w:val="24"/>
        </w:rPr>
        <w:t xml:space="preserve"> (BS, PHD), Juan Lavista Ferres</w:t>
      </w:r>
      <w:r w:rsidRPr="0066363A">
        <w:rPr>
          <w:color w:val="000000" w:themeColor="text1"/>
          <w:sz w:val="24"/>
          <w:szCs w:val="24"/>
          <w:vertAlign w:val="superscript"/>
        </w:rPr>
        <w:t>1</w:t>
      </w:r>
      <w:r w:rsidRPr="0066363A">
        <w:rPr>
          <w:color w:val="000000" w:themeColor="text1"/>
          <w:sz w:val="24"/>
          <w:szCs w:val="24"/>
        </w:rPr>
        <w:t xml:space="preserve"> (BS, MS), Michael L. Jackson</w:t>
      </w:r>
      <w:r w:rsidRPr="0066363A">
        <w:rPr>
          <w:color w:val="000000" w:themeColor="text1"/>
          <w:sz w:val="24"/>
          <w:szCs w:val="24"/>
          <w:vertAlign w:val="superscript"/>
        </w:rPr>
        <w:t>4</w:t>
      </w:r>
      <w:r w:rsidRPr="0066363A">
        <w:rPr>
          <w:color w:val="000000" w:themeColor="text1"/>
          <w:sz w:val="24"/>
          <w:szCs w:val="24"/>
        </w:rPr>
        <w:t xml:space="preserve"> (BA, MPH, PHD). </w:t>
      </w:r>
    </w:p>
    <w:p w14:paraId="725FCF6D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  <w:r w:rsidRPr="0066363A">
        <w:rPr>
          <w:color w:val="000000" w:themeColor="text1"/>
          <w:sz w:val="24"/>
          <w:szCs w:val="24"/>
        </w:rPr>
        <w:t>*Equal contributing authors in random order of names</w:t>
      </w:r>
    </w:p>
    <w:p w14:paraId="60A56CDA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  <w:r w:rsidRPr="0066363A">
        <w:rPr>
          <w:color w:val="000000" w:themeColor="text1"/>
          <w:sz w:val="24"/>
          <w:szCs w:val="24"/>
          <w:vertAlign w:val="superscript"/>
        </w:rPr>
        <w:t>1</w:t>
      </w:r>
      <w:r w:rsidRPr="0066363A">
        <w:rPr>
          <w:color w:val="000000" w:themeColor="text1"/>
          <w:sz w:val="24"/>
          <w:szCs w:val="24"/>
        </w:rPr>
        <w:t>AI for Good Research Lab, Microsoft Corporation, Redmond, USA.</w:t>
      </w:r>
    </w:p>
    <w:p w14:paraId="454DC288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  <w:r w:rsidRPr="0066363A">
        <w:rPr>
          <w:color w:val="000000" w:themeColor="text1"/>
          <w:sz w:val="24"/>
          <w:szCs w:val="24"/>
          <w:vertAlign w:val="superscript"/>
        </w:rPr>
        <w:t>2</w:t>
      </w:r>
      <w:r w:rsidRPr="0066363A">
        <w:rPr>
          <w:color w:val="000000" w:themeColor="text1"/>
          <w:sz w:val="24"/>
          <w:szCs w:val="24"/>
        </w:rPr>
        <w:t>University of Washington, Seattle, USA.</w:t>
      </w:r>
    </w:p>
    <w:p w14:paraId="532CC55B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  <w:r w:rsidRPr="0066363A">
        <w:rPr>
          <w:color w:val="000000" w:themeColor="text1"/>
          <w:sz w:val="24"/>
          <w:szCs w:val="24"/>
          <w:vertAlign w:val="superscript"/>
        </w:rPr>
        <w:t>3</w:t>
      </w:r>
      <w:r w:rsidRPr="0066363A">
        <w:rPr>
          <w:color w:val="000000" w:themeColor="text1"/>
          <w:sz w:val="24"/>
          <w:szCs w:val="24"/>
        </w:rPr>
        <w:t xml:space="preserve">Microsoft Corporation, Paris, France. </w:t>
      </w:r>
    </w:p>
    <w:p w14:paraId="779C07C0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  <w:r w:rsidRPr="0066363A">
        <w:rPr>
          <w:color w:val="000000" w:themeColor="text1"/>
          <w:sz w:val="24"/>
          <w:szCs w:val="24"/>
          <w:vertAlign w:val="superscript"/>
        </w:rPr>
        <w:t>4</w:t>
      </w:r>
      <w:r w:rsidRPr="2803539A">
        <w:rPr>
          <w:color w:val="000000" w:themeColor="text1"/>
          <w:sz w:val="24"/>
          <w:szCs w:val="24"/>
        </w:rPr>
        <w:t>Kaiser Permanente Washington,</w:t>
      </w:r>
      <w:r w:rsidRPr="0066363A">
        <w:rPr>
          <w:color w:val="000000" w:themeColor="text1"/>
          <w:sz w:val="24"/>
          <w:szCs w:val="24"/>
        </w:rPr>
        <w:t xml:space="preserve"> Seattle, USA. </w:t>
      </w:r>
    </w:p>
    <w:p w14:paraId="37E24CD5" w14:textId="77777777" w:rsidR="001C7DA6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7FAA596C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Corresponding author: Dr. </w:t>
      </w:r>
      <w:r w:rsidRPr="0066363A">
        <w:rPr>
          <w:color w:val="000000" w:themeColor="text1"/>
          <w:sz w:val="24"/>
          <w:szCs w:val="24"/>
        </w:rPr>
        <w:t>Meghana Kshirsagar</w:t>
      </w:r>
      <w:r>
        <w:rPr>
          <w:color w:val="000000" w:themeColor="text1"/>
          <w:sz w:val="24"/>
          <w:szCs w:val="24"/>
        </w:rPr>
        <w:t xml:space="preserve">, email: </w:t>
      </w:r>
      <w:hyperlink r:id="rId7" w:history="1">
        <w:r w:rsidRPr="00C13159">
          <w:rPr>
            <w:rStyle w:val="Hyperlink"/>
            <w:sz w:val="24"/>
            <w:szCs w:val="24"/>
          </w:rPr>
          <w:t>Meghana.Kshirsagar@microsoft.com</w:t>
        </w:r>
      </w:hyperlink>
      <w:r>
        <w:rPr>
          <w:color w:val="000000" w:themeColor="text1"/>
          <w:sz w:val="24"/>
          <w:szCs w:val="24"/>
        </w:rPr>
        <w:t xml:space="preserve">, postal address: </w:t>
      </w:r>
      <w:r w:rsidRPr="002743A0">
        <w:rPr>
          <w:color w:val="000000" w:themeColor="text1"/>
          <w:sz w:val="24"/>
          <w:szCs w:val="24"/>
        </w:rPr>
        <w:t>1 Microsoft Way, Redmond, WA 98052</w:t>
      </w:r>
      <w:r>
        <w:rPr>
          <w:color w:val="000000" w:themeColor="text1"/>
          <w:sz w:val="24"/>
          <w:szCs w:val="24"/>
        </w:rPr>
        <w:t xml:space="preserve">, phone: </w:t>
      </w:r>
      <w:r w:rsidRPr="002743A0">
        <w:rPr>
          <w:color w:val="000000" w:themeColor="text1"/>
          <w:sz w:val="24"/>
          <w:szCs w:val="24"/>
        </w:rPr>
        <w:t>+1 (425) 4218258</w:t>
      </w:r>
      <w:r>
        <w:rPr>
          <w:color w:val="000000" w:themeColor="text1"/>
          <w:sz w:val="24"/>
          <w:szCs w:val="24"/>
        </w:rPr>
        <w:t>.</w:t>
      </w:r>
    </w:p>
    <w:p w14:paraId="3F4CA10C" w14:textId="1AAE4C6F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2BB70C40" w14:textId="48E93D30" w:rsidR="002A6E9A" w:rsidRDefault="002A6E9A" w:rsidP="002A6E9A">
      <w:pPr>
        <w:pStyle w:val="Heading2"/>
      </w:pPr>
      <w:r>
        <w:t>Contents</w:t>
      </w:r>
    </w:p>
    <w:p w14:paraId="78EAF5C2" w14:textId="404925CB" w:rsidR="001C7DA6" w:rsidRDefault="004D4CD4" w:rsidP="001C7DA6">
      <w:r>
        <w:t>Supplementary F</w:t>
      </w:r>
      <w:r w:rsidR="002A6E9A" w:rsidRPr="002A6E9A">
        <w:t>igure 1: Study design showing the time periods for defining the co-morbidities, the outcome and control periods with respect to the COVID-19 onset date. A) Study design for identification of long-term effects and their association with SDOH variables. B) Study design for identification of long-term effects in different one-month windows post-diagnosis.</w:t>
      </w:r>
    </w:p>
    <w:p w14:paraId="0D03A2CA" w14:textId="2239BAB9" w:rsidR="002A6E9A" w:rsidRDefault="004D4CD4" w:rsidP="001C7DA6">
      <w:bookmarkStart w:id="0" w:name="_Hlk86415946"/>
      <w:r>
        <w:t xml:space="preserve">Supplementary </w:t>
      </w:r>
      <w:bookmarkEnd w:id="0"/>
      <w:r w:rsidR="002A6E9A" w:rsidRPr="002A6E9A">
        <w:t>Table 1: 4 digit ICD10 codes (in the D</w:t>
      </w:r>
      <w:proofErr w:type="gramStart"/>
      <w:r w:rsidR="002A6E9A" w:rsidRPr="002A6E9A">
        <w:t>84.*</w:t>
      </w:r>
      <w:proofErr w:type="gramEnd"/>
      <w:r w:rsidR="002A6E9A" w:rsidRPr="002A6E9A">
        <w:t xml:space="preserve"> and G93.* range) that were observed in a significantly higher proportion in the post-covid window compared to the control window.</w:t>
      </w:r>
    </w:p>
    <w:p w14:paraId="1E4C51ED" w14:textId="668611A7" w:rsidR="0010064B" w:rsidRDefault="004D4CD4" w:rsidP="001C7DA6">
      <w:r>
        <w:t xml:space="preserve">Supplementary </w:t>
      </w:r>
      <w:r w:rsidR="0010064B" w:rsidRPr="0010064B">
        <w:t>Table 2: Co-occurring patterns whose presence was significantly higher in the post-COVID period compared to the control period. Reported statistics and p-values computed on the non-SDOH cohort.</w:t>
      </w:r>
    </w:p>
    <w:p w14:paraId="61C2570B" w14:textId="446272D1" w:rsidR="0010064B" w:rsidRDefault="004D4CD4" w:rsidP="001C7DA6">
      <w:r>
        <w:t xml:space="preserve">Supplementary </w:t>
      </w:r>
      <w:r w:rsidR="0010064B" w:rsidRPr="0010064B">
        <w:t>Figure 2: Association analysis of comorbidity and past conditions with ICD10 codes corresponding to long term effects of COVID-19. Green indicates no association, blue indicates a negative association, yellow indicates a positive association.</w:t>
      </w:r>
    </w:p>
    <w:p w14:paraId="5D26F414" w14:textId="77777777" w:rsidR="0010064B" w:rsidRDefault="0010064B" w:rsidP="001C7DA6"/>
    <w:p w14:paraId="56BB1EB4" w14:textId="6395C225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0345EEB8" w14:textId="2CE3C430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38EA39E3" w14:textId="0CBB78C8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0F1556CB" w14:textId="40AF5DD2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22AF2459" w14:textId="341222C1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36CC1756" w14:textId="4EA8142F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211B3607" w14:textId="2BF4740D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5C14D177" w14:textId="25B4ABA8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1F2A1550" w14:textId="2C806A44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55798220" w14:textId="3181F425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61800635" w14:textId="77777777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6B2BE3E2" w14:textId="77777777" w:rsidR="001C7DA6" w:rsidRDefault="001C7DA6" w:rsidP="001C7DA6">
      <w:pPr>
        <w:spacing w:after="0" w:line="256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00433684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482AE2EC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  <w:r w:rsidRPr="0066363A">
        <w:rPr>
          <w:noProof/>
          <w:color w:val="000000" w:themeColor="text1"/>
        </w:rPr>
        <w:drawing>
          <wp:inline distT="0" distB="0" distL="0" distR="0" wp14:anchorId="1E8F9794" wp14:editId="05B6C589">
            <wp:extent cx="4172164" cy="2552831"/>
            <wp:effectExtent l="0" t="0" r="0" b="0"/>
            <wp:docPr id="6" name="Picture 6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164" cy="255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060B6" w14:textId="4436D0E4" w:rsidR="001C7DA6" w:rsidRPr="0066363A" w:rsidRDefault="004D4CD4" w:rsidP="001C7DA6">
      <w:pPr>
        <w:spacing w:after="0" w:line="256" w:lineRule="auto"/>
        <w:rPr>
          <w:b/>
          <w:bCs/>
          <w:color w:val="000000" w:themeColor="text1"/>
          <w:sz w:val="20"/>
          <w:szCs w:val="20"/>
        </w:rPr>
      </w:pPr>
      <w:r w:rsidRPr="004D4CD4">
        <w:rPr>
          <w:b/>
          <w:bCs/>
          <w:color w:val="000000" w:themeColor="text1"/>
          <w:sz w:val="20"/>
          <w:szCs w:val="20"/>
        </w:rPr>
        <w:t xml:space="preserve">Supplementary </w:t>
      </w:r>
      <w:r w:rsidR="001C7DA6" w:rsidRPr="0066363A">
        <w:rPr>
          <w:b/>
          <w:bCs/>
          <w:color w:val="000000" w:themeColor="text1"/>
          <w:sz w:val="20"/>
          <w:szCs w:val="20"/>
        </w:rPr>
        <w:t>Figure 1: Study design showing the time periods for defining the co-morbidities, the outcome and control periods w</w:t>
      </w:r>
      <w:r w:rsidR="002A6E9A">
        <w:rPr>
          <w:b/>
          <w:bCs/>
          <w:color w:val="000000" w:themeColor="text1"/>
          <w:sz w:val="20"/>
          <w:szCs w:val="20"/>
        </w:rPr>
        <w:t>ith respect to</w:t>
      </w:r>
      <w:r w:rsidR="001C7DA6" w:rsidRPr="0066363A">
        <w:rPr>
          <w:b/>
          <w:bCs/>
          <w:color w:val="000000" w:themeColor="text1"/>
          <w:sz w:val="20"/>
          <w:szCs w:val="20"/>
        </w:rPr>
        <w:t xml:space="preserve"> the COVID-19 onset date. A) Study design for identification of </w:t>
      </w:r>
      <w:r w:rsidR="001C7DA6" w:rsidRPr="6D3658BD">
        <w:rPr>
          <w:b/>
          <w:bCs/>
          <w:color w:val="000000" w:themeColor="text1"/>
          <w:sz w:val="20"/>
          <w:szCs w:val="20"/>
        </w:rPr>
        <w:t>long-term</w:t>
      </w:r>
      <w:r w:rsidR="001C7DA6" w:rsidRPr="0066363A">
        <w:rPr>
          <w:b/>
          <w:bCs/>
          <w:color w:val="000000" w:themeColor="text1"/>
          <w:sz w:val="20"/>
          <w:szCs w:val="20"/>
        </w:rPr>
        <w:t xml:space="preserve"> effects and their association with SDOH variables. B) Study design for identification of </w:t>
      </w:r>
      <w:r w:rsidR="001C7DA6" w:rsidRPr="6D3658BD">
        <w:rPr>
          <w:b/>
          <w:bCs/>
          <w:color w:val="000000" w:themeColor="text1"/>
          <w:sz w:val="20"/>
          <w:szCs w:val="20"/>
        </w:rPr>
        <w:t>long-term</w:t>
      </w:r>
      <w:r w:rsidR="001C7DA6" w:rsidRPr="0066363A">
        <w:rPr>
          <w:b/>
          <w:bCs/>
          <w:color w:val="000000" w:themeColor="text1"/>
          <w:sz w:val="20"/>
          <w:szCs w:val="20"/>
        </w:rPr>
        <w:t xml:space="preserve"> effects in different </w:t>
      </w:r>
      <w:r w:rsidR="001C7DA6" w:rsidRPr="6D3658BD">
        <w:rPr>
          <w:b/>
          <w:bCs/>
          <w:color w:val="000000" w:themeColor="text1"/>
          <w:sz w:val="20"/>
          <w:szCs w:val="20"/>
        </w:rPr>
        <w:t>one-month</w:t>
      </w:r>
      <w:r w:rsidR="001C7DA6" w:rsidRPr="0066363A">
        <w:rPr>
          <w:b/>
          <w:bCs/>
          <w:color w:val="000000" w:themeColor="text1"/>
          <w:sz w:val="20"/>
          <w:szCs w:val="20"/>
        </w:rPr>
        <w:t xml:space="preserve"> windows post-diagnosis.</w:t>
      </w:r>
    </w:p>
    <w:p w14:paraId="169AEBF4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505AAE35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41D9F46E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6182FD3F" w14:textId="77777777" w:rsidR="001C7DA6" w:rsidRPr="0066363A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793A3931" w14:textId="31A5E3AF" w:rsidR="001C7DA6" w:rsidRDefault="001C7DA6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441C8D09" w14:textId="165B71A8" w:rsidR="0010064B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4D23F646" w14:textId="77ABB6C4" w:rsidR="0010064B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118F6728" w14:textId="45751703" w:rsidR="0010064B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3800B1BF" w14:textId="0DAFB632" w:rsidR="0010064B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28ED4C6B" w14:textId="32997DD0" w:rsidR="0010064B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457C5F57" w14:textId="4F627115" w:rsidR="0010064B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0E9922BA" w14:textId="23D5E2DC" w:rsidR="0010064B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5F6CC89E" w14:textId="6B59462A" w:rsidR="0010064B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5AE5A142" w14:textId="36683F50" w:rsidR="0010064B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5851ADD6" w14:textId="5086D969" w:rsidR="0010064B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604F75D9" w14:textId="6368E477" w:rsidR="0010064B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p w14:paraId="4A1192E1" w14:textId="77777777" w:rsidR="0010064B" w:rsidRPr="0066363A" w:rsidRDefault="0010064B" w:rsidP="001C7DA6">
      <w:pPr>
        <w:spacing w:after="0" w:line="256" w:lineRule="auto"/>
        <w:rPr>
          <w:color w:val="000000" w:themeColor="text1"/>
          <w:sz w:val="24"/>
          <w:szCs w:val="24"/>
        </w:rPr>
      </w:pPr>
    </w:p>
    <w:tbl>
      <w:tblPr>
        <w:tblW w:w="7171" w:type="dxa"/>
        <w:tblLook w:val="04A0" w:firstRow="1" w:lastRow="0" w:firstColumn="1" w:lastColumn="0" w:noHBand="0" w:noVBand="1"/>
      </w:tblPr>
      <w:tblGrid>
        <w:gridCol w:w="960"/>
        <w:gridCol w:w="3280"/>
        <w:gridCol w:w="977"/>
        <w:gridCol w:w="977"/>
        <w:gridCol w:w="977"/>
      </w:tblGrid>
      <w:tr w:rsidR="001C7DA6" w:rsidRPr="0066363A" w14:paraId="03B9B7EE" w14:textId="77777777" w:rsidTr="00000A2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9B10ECD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lastRenderedPageBreak/>
              <w:t>ICD10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891AE02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Condition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7CD4CE7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Control%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A0C3361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Post%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11BD4A5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1C7DA6" w:rsidRPr="0066363A" w14:paraId="50F35D0A" w14:textId="77777777" w:rsidTr="00000A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CDDA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D84.9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D400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Immunodeficiency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D97E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9A48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7806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3.11E-09</w:t>
            </w:r>
          </w:p>
        </w:tc>
      </w:tr>
      <w:tr w:rsidR="001C7DA6" w:rsidRPr="0066363A" w14:paraId="3821FB15" w14:textId="77777777" w:rsidTr="00000A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20D3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G93.1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107A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Anoxic brain damage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D949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8B80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A05E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6.20E-08</w:t>
            </w:r>
          </w:p>
        </w:tc>
      </w:tr>
      <w:tr w:rsidR="001C7DA6" w:rsidRPr="0066363A" w14:paraId="1AF7BCDD" w14:textId="77777777" w:rsidTr="00000A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32AB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G93.3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7C06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Postviral</w:t>
            </w:r>
            <w:proofErr w:type="spellEnd"/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fatigue syndrome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CAF7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6F4D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0.066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A355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1.92E-55</w:t>
            </w:r>
          </w:p>
        </w:tc>
      </w:tr>
      <w:tr w:rsidR="001C7DA6" w:rsidRPr="0066363A" w14:paraId="7886BC75" w14:textId="77777777" w:rsidTr="00000A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1A9E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G93.4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D8F2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Unspecified encephalopathy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8292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0.492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FFE4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0.605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BA66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9.03E-22</w:t>
            </w:r>
          </w:p>
        </w:tc>
      </w:tr>
      <w:tr w:rsidR="001C7DA6" w:rsidRPr="0066363A" w14:paraId="70BE6993" w14:textId="77777777" w:rsidTr="00000A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D9CD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G93.6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CB5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Cerebral edema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306D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82D0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4EC4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2.79E-04</w:t>
            </w:r>
          </w:p>
        </w:tc>
      </w:tr>
    </w:tbl>
    <w:p w14:paraId="53E52B54" w14:textId="1D032A05" w:rsidR="001C7DA6" w:rsidRDefault="004D4CD4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  <w:r w:rsidRPr="004D4CD4">
        <w:rPr>
          <w:b/>
          <w:bCs/>
          <w:color w:val="000000" w:themeColor="text1"/>
          <w:sz w:val="20"/>
          <w:szCs w:val="20"/>
        </w:rPr>
        <w:t xml:space="preserve">Supplementary </w:t>
      </w:r>
      <w:r w:rsidR="001C7DA6" w:rsidRPr="0066363A">
        <w:rPr>
          <w:b/>
          <w:bCs/>
          <w:color w:val="000000" w:themeColor="text1"/>
          <w:sz w:val="20"/>
          <w:szCs w:val="20"/>
        </w:rPr>
        <w:t>Table 1: 4 digit ICD10 codes (in the D</w:t>
      </w:r>
      <w:proofErr w:type="gramStart"/>
      <w:r w:rsidR="001C7DA6" w:rsidRPr="0066363A">
        <w:rPr>
          <w:b/>
          <w:bCs/>
          <w:color w:val="000000" w:themeColor="text1"/>
          <w:sz w:val="20"/>
          <w:szCs w:val="20"/>
        </w:rPr>
        <w:t>84.*</w:t>
      </w:r>
      <w:proofErr w:type="gramEnd"/>
      <w:r w:rsidR="001C7DA6" w:rsidRPr="0066363A">
        <w:rPr>
          <w:b/>
          <w:bCs/>
          <w:color w:val="000000" w:themeColor="text1"/>
          <w:sz w:val="20"/>
          <w:szCs w:val="20"/>
        </w:rPr>
        <w:t xml:space="preserve"> and G93.* range) that were observed in a significantly higher proportion in the post-covid window compared to the control window. </w:t>
      </w:r>
    </w:p>
    <w:p w14:paraId="73D006EF" w14:textId="0EA6F5BD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362E1154" w14:textId="205B89CD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72C23F7B" w14:textId="210A52DD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2419A175" w14:textId="0653CFB0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58533FAB" w14:textId="0CBE6DD3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0087DDF2" w14:textId="775A396B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5B59BA07" w14:textId="1C42832D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3EAF06A7" w14:textId="5B9EFC13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7D3942B6" w14:textId="18C129D8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456F0255" w14:textId="4EB95FEE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38A1FA43" w14:textId="390ABD26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6C07285A" w14:textId="69A404D2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5459DD81" w14:textId="16938950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350787AC" w14:textId="7CECA181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1CFCD1C5" w14:textId="2A082871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16044188" w14:textId="3C52C703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4EA9984E" w14:textId="5B44B67C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76199E31" w14:textId="4FD6B443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7ACE4EEB" w14:textId="57B692BE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12286927" w14:textId="3356C6C0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23137577" w14:textId="3C8E152C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31CF02A4" w14:textId="6DA51642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7153C328" w14:textId="3572C600" w:rsidR="0010064B" w:rsidRDefault="0010064B" w:rsidP="001C7DA6">
      <w:pPr>
        <w:spacing w:line="256" w:lineRule="auto"/>
        <w:rPr>
          <w:b/>
          <w:bCs/>
          <w:color w:val="000000" w:themeColor="text1"/>
          <w:sz w:val="20"/>
          <w:szCs w:val="20"/>
        </w:rPr>
      </w:pPr>
    </w:p>
    <w:p w14:paraId="0F22BA35" w14:textId="77777777" w:rsidR="0010064B" w:rsidRPr="0066363A" w:rsidRDefault="0010064B" w:rsidP="001C7DA6">
      <w:pPr>
        <w:spacing w:line="256" w:lineRule="auto"/>
        <w:rPr>
          <w:color w:val="000000" w:themeColor="text1"/>
        </w:rPr>
      </w:pPr>
    </w:p>
    <w:p w14:paraId="19BC2A55" w14:textId="77777777" w:rsidR="001C7DA6" w:rsidRPr="0066363A" w:rsidRDefault="001C7DA6" w:rsidP="001C7DA6">
      <w:pPr>
        <w:spacing w:after="0" w:line="256" w:lineRule="auto"/>
        <w:rPr>
          <w:b/>
          <w:bCs/>
          <w:color w:val="000000" w:themeColor="text1"/>
          <w:sz w:val="24"/>
          <w:szCs w:val="24"/>
        </w:rPr>
      </w:pPr>
    </w:p>
    <w:tbl>
      <w:tblPr>
        <w:tblW w:w="4045" w:type="dxa"/>
        <w:tblLook w:val="04A0" w:firstRow="1" w:lastRow="0" w:firstColumn="1" w:lastColumn="0" w:noHBand="0" w:noVBand="1"/>
      </w:tblPr>
      <w:tblGrid>
        <w:gridCol w:w="960"/>
        <w:gridCol w:w="977"/>
        <w:gridCol w:w="1028"/>
        <w:gridCol w:w="1080"/>
      </w:tblGrid>
      <w:tr w:rsidR="001C7DA6" w:rsidRPr="0066363A" w14:paraId="26651692" w14:textId="77777777" w:rsidTr="00000A2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2B0B92C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lastRenderedPageBreak/>
              <w:t>ICD10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0BCB2F7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Control%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22A695F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Post%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01951D4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1C7DA6" w:rsidRPr="0066363A" w14:paraId="3896225F" w14:textId="77777777" w:rsidTr="00000A2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AFBD" w14:textId="77777777" w:rsidR="001C7DA6" w:rsidRPr="0066363A" w:rsidRDefault="001C7DA6" w:rsidP="00000A2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D64, I10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B130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1.126794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5BDF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1.15878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6742" w14:textId="77777777" w:rsidR="001C7DA6" w:rsidRPr="0066363A" w:rsidRDefault="001C7DA6" w:rsidP="00000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6363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3.1E-02</w:t>
            </w:r>
          </w:p>
        </w:tc>
      </w:tr>
    </w:tbl>
    <w:p w14:paraId="72B176B8" w14:textId="1C3CF8E1" w:rsidR="001C7DA6" w:rsidRPr="0066363A" w:rsidRDefault="004D4CD4" w:rsidP="001C7DA6">
      <w:pPr>
        <w:spacing w:after="0" w:line="256" w:lineRule="auto"/>
        <w:rPr>
          <w:b/>
          <w:bCs/>
          <w:color w:val="000000" w:themeColor="text1"/>
          <w:sz w:val="24"/>
          <w:szCs w:val="24"/>
        </w:rPr>
      </w:pPr>
      <w:r w:rsidRPr="004D4CD4">
        <w:rPr>
          <w:b/>
          <w:bCs/>
          <w:color w:val="000000" w:themeColor="text1"/>
          <w:sz w:val="20"/>
          <w:szCs w:val="20"/>
        </w:rPr>
        <w:t xml:space="preserve">Supplementary </w:t>
      </w:r>
      <w:r w:rsidR="001C7DA6" w:rsidRPr="0066363A">
        <w:rPr>
          <w:b/>
          <w:bCs/>
          <w:color w:val="000000" w:themeColor="text1"/>
          <w:sz w:val="20"/>
          <w:szCs w:val="20"/>
        </w:rPr>
        <w:t xml:space="preserve">Table 2: </w:t>
      </w:r>
      <w:r w:rsidR="001C7DA6" w:rsidRPr="6D3658BD">
        <w:rPr>
          <w:b/>
          <w:bCs/>
          <w:color w:val="000000" w:themeColor="text1"/>
          <w:sz w:val="20"/>
          <w:szCs w:val="20"/>
        </w:rPr>
        <w:t>Co-occurring</w:t>
      </w:r>
      <w:r w:rsidR="001C7DA6" w:rsidRPr="0066363A">
        <w:rPr>
          <w:b/>
          <w:bCs/>
          <w:color w:val="000000" w:themeColor="text1"/>
          <w:sz w:val="20"/>
          <w:szCs w:val="20"/>
        </w:rPr>
        <w:t xml:space="preserve"> patterns whose presence was significantly higher in the post-COVID period compared to the control period. Reported statistics and p-values computed on the non-SDOH cohort.</w:t>
      </w:r>
    </w:p>
    <w:p w14:paraId="1D245360" w14:textId="77777777" w:rsidR="001C7DA6" w:rsidRPr="0066363A" w:rsidRDefault="001C7DA6" w:rsidP="001C7DA6">
      <w:pPr>
        <w:spacing w:after="0" w:line="256" w:lineRule="auto"/>
        <w:rPr>
          <w:b/>
          <w:bCs/>
          <w:color w:val="000000" w:themeColor="text1"/>
          <w:sz w:val="24"/>
          <w:szCs w:val="24"/>
        </w:rPr>
      </w:pPr>
      <w:r w:rsidRPr="0066363A">
        <w:rPr>
          <w:b/>
          <w:bCs/>
          <w:color w:val="000000" w:themeColor="text1"/>
          <w:sz w:val="24"/>
          <w:szCs w:val="24"/>
        </w:rPr>
        <w:t xml:space="preserve"> </w:t>
      </w:r>
    </w:p>
    <w:p w14:paraId="159F5E52" w14:textId="77777777" w:rsidR="001C7DA6" w:rsidRPr="0066363A" w:rsidRDefault="001C7DA6" w:rsidP="001C7DA6">
      <w:pPr>
        <w:spacing w:after="0" w:line="256" w:lineRule="auto"/>
        <w:rPr>
          <w:b/>
          <w:bCs/>
          <w:color w:val="000000" w:themeColor="text1"/>
          <w:sz w:val="24"/>
          <w:szCs w:val="24"/>
        </w:rPr>
      </w:pPr>
    </w:p>
    <w:p w14:paraId="1DF23E77" w14:textId="77777777" w:rsidR="001C7DA6" w:rsidRPr="0066363A" w:rsidRDefault="001C7DA6" w:rsidP="001C7DA6">
      <w:pPr>
        <w:spacing w:after="0" w:line="256" w:lineRule="auto"/>
        <w:rPr>
          <w:b/>
          <w:bCs/>
          <w:color w:val="000000" w:themeColor="text1"/>
          <w:sz w:val="24"/>
          <w:szCs w:val="24"/>
        </w:rPr>
      </w:pPr>
      <w:r w:rsidRPr="0066363A">
        <w:rPr>
          <w:noProof/>
          <w:color w:val="000000" w:themeColor="text1"/>
        </w:rPr>
        <w:lastRenderedPageBreak/>
        <w:drawing>
          <wp:inline distT="0" distB="0" distL="0" distR="0" wp14:anchorId="4FC4D829" wp14:editId="4DA569FF">
            <wp:extent cx="6226788" cy="8794750"/>
            <wp:effectExtent l="0" t="0" r="3175" b="635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5506" cy="882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A34B" w14:textId="7833B49A" w:rsidR="00EB18EC" w:rsidRDefault="001C7DA6" w:rsidP="001C7DA6">
      <w:proofErr w:type="spellStart"/>
      <w:r>
        <w:rPr>
          <w:b/>
          <w:bCs/>
          <w:color w:val="000000" w:themeColor="text1"/>
          <w:sz w:val="20"/>
          <w:szCs w:val="20"/>
        </w:rPr>
        <w:lastRenderedPageBreak/>
        <w:t>e</w:t>
      </w:r>
      <w:r w:rsidRPr="0066363A">
        <w:rPr>
          <w:b/>
          <w:bCs/>
          <w:color w:val="000000" w:themeColor="text1"/>
          <w:sz w:val="20"/>
          <w:szCs w:val="20"/>
        </w:rPr>
        <w:t>Figure</w:t>
      </w:r>
      <w:proofErr w:type="spellEnd"/>
      <w:r w:rsidRPr="0066363A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 xml:space="preserve">2: </w:t>
      </w:r>
      <w:r w:rsidRPr="0066363A">
        <w:rPr>
          <w:b/>
          <w:bCs/>
          <w:color w:val="000000" w:themeColor="text1"/>
          <w:sz w:val="20"/>
          <w:szCs w:val="20"/>
        </w:rPr>
        <w:t>Association analysis of comorbidity and past conditions with ICD10 codes corresponding to long term effects of COVID-19. Green indicates no association, blue indicates a negative association, yellow indicates a positive association.</w:t>
      </w:r>
    </w:p>
    <w:sectPr w:rsidR="00EB1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A6"/>
    <w:rsid w:val="0010064B"/>
    <w:rsid w:val="001C7DA6"/>
    <w:rsid w:val="002A6E9A"/>
    <w:rsid w:val="00311889"/>
    <w:rsid w:val="00457558"/>
    <w:rsid w:val="004D4CD4"/>
    <w:rsid w:val="004F294A"/>
    <w:rsid w:val="00A02CA4"/>
    <w:rsid w:val="00EB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1881"/>
  <w15:chartTrackingRefBased/>
  <w15:docId w15:val="{D8F521F3-D7BB-4227-9CE1-D10AED3E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A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DA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6E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Meghana.Kshirsagar@microsof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C852E275A8F47827A4736309E769E" ma:contentTypeVersion="12" ma:contentTypeDescription="Create a new document." ma:contentTypeScope="" ma:versionID="dc7b778a83ce30c9208be58cd60f3ab2">
  <xsd:schema xmlns:xsd="http://www.w3.org/2001/XMLSchema" xmlns:xs="http://www.w3.org/2001/XMLSchema" xmlns:p="http://schemas.microsoft.com/office/2006/metadata/properties" xmlns:ns3="c48eb395-f6c2-4c16-b6d9-6a3d79541b62" xmlns:ns4="36706f59-2223-4fe4-b7fb-a0319df17ebe" targetNamespace="http://schemas.microsoft.com/office/2006/metadata/properties" ma:root="true" ma:fieldsID="4c82cf64b56c15984394fe8b2d39acc9" ns3:_="" ns4:_="">
    <xsd:import namespace="c48eb395-f6c2-4c16-b6d9-6a3d79541b62"/>
    <xsd:import namespace="36706f59-2223-4fe4-b7fb-a0319df17e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395-f6c2-4c16-b6d9-6a3d79541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06f59-2223-4fe4-b7fb-a0319df17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58BE8-8139-47BA-A5F0-ED28E97D362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36706f59-2223-4fe4-b7fb-a0319df17ebe"/>
    <ds:schemaRef ds:uri="c48eb395-f6c2-4c16-b6d9-6a3d79541b6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7B760B9-F7FD-46C2-9180-C172C91C8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D82FA-214E-4965-8997-DD9AA10EA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395-f6c2-4c16-b6d9-6a3d79541b62"/>
    <ds:schemaRef ds:uri="36706f59-2223-4fe4-b7fb-a0319df1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Mukherjee</dc:creator>
  <cp:keywords/>
  <dc:description/>
  <cp:lastModifiedBy>Sumit Mukherjee</cp:lastModifiedBy>
  <cp:revision>2</cp:revision>
  <dcterms:created xsi:type="dcterms:W3CDTF">2021-10-29T23:10:00Z</dcterms:created>
  <dcterms:modified xsi:type="dcterms:W3CDTF">2021-10-29T23:10:00Z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0x010100779C852E275A8F47827A4736309E769E</vt:lpwstr>
  </property>
</Properties>
</file>