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48" w:rsidRPr="007B43A6" w:rsidRDefault="003E65F7" w:rsidP="00BC4079">
      <w:pPr>
        <w:pStyle w:val="Heading1"/>
        <w:jc w:val="center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CONSORT 2010 Checklist</w:t>
      </w:r>
    </w:p>
    <w:p w:rsidR="006D4E48" w:rsidRPr="007B43A6" w:rsidRDefault="003E65F7">
      <w:pPr>
        <w:spacing w:after="100"/>
        <w:rPr>
          <w:sz w:val="24"/>
          <w:szCs w:val="24"/>
        </w:rPr>
      </w:pPr>
      <w:r>
        <w:rPr>
          <w:i/>
          <w:iCs/>
          <w:sz w:val="24"/>
          <w:szCs w:val="24"/>
        </w:rPr>
        <w:t>Manuscript: Outcomes of Co-Designed, Place-Based Nutrition Interventions on the Nutritional Status of Women and Young Children in Rural North-Eastern Ghana: A Cluster-Randomized Controlled Trial</w:t>
      </w:r>
    </w:p>
    <w:p w:rsidR="006D4E48" w:rsidRPr="007B43A6" w:rsidRDefault="003E65F7">
      <w:pPr>
        <w:spacing w:after="200"/>
        <w:rPr>
          <w:sz w:val="24"/>
          <w:szCs w:val="24"/>
        </w:rPr>
      </w:pPr>
      <w:r>
        <w:rPr>
          <w:sz w:val="24"/>
          <w:szCs w:val="24"/>
        </w:rPr>
        <w:t>Authors: Vincent Adocta A</w:t>
      </w:r>
      <w:bookmarkStart w:id="0" w:name="_GoBack"/>
      <w:bookmarkEnd w:id="0"/>
      <w:r>
        <w:rPr>
          <w:sz w:val="24"/>
          <w:szCs w:val="24"/>
        </w:rPr>
        <w:t>wuuh, Charles Apprey, Reginald Adjetey Annan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298"/>
        <w:gridCol w:w="7158"/>
        <w:gridCol w:w="1916"/>
      </w:tblGrid>
      <w:tr w:rsidR="003E65F7" w:rsidRPr="007B43A6" w:rsidTr="003E65F7">
        <w:trPr>
          <w:trHeight w:val="140"/>
          <w:tblHeader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CONSORT 2010 checklist item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Extension for cluster-randomised designs (Campbell et al., 2012)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Reported on page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as a randomised trial in the title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as a cluster randomised trial in the title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Structured summary of trial design, methods, results and conclusions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Cluster design, number of communities/participants per arm, and randomisation level reported in structured abstract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Scientific background and explanation of rationale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BE151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Rationale for the trial 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BE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pp.3–6; p.12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objectives or hypotheses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 are framed at the individual participant (mother/child) level; not explicitly distinguished from the cluster level in the objective statement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p.2, p.7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trial design (e.g., parallel, factorial), including allocation ratio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of the cluster (community) and description of how design features apply to clusters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p.7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changes to methods after trial commencement, with reasons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criteria for participants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criteria for clusters: East Mamprusi purposively selected for high burden; 10 communities across 5 sub-districts randomly included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p.7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Settings and locations where data were collected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p.7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interventions for each group with sufficient detail to allow replication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 (MCNFHI) operates at multiple levels community, household, group/economic, and institutional described per TIDieR checklist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pp.9–11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Completely defined pre-specified primary and secondary outcomes, incl. how/when assessed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Outcomes explicitly defined at the individual (mother/child) level, not the cluster level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changes to trial outcomes after the trial commenced, with reasons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sample size was determined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 of calculation, number of clusters (10; 5 per arm), average cluster size (~25 households), assumed ICC (0.05) and resulting design effect (2.2) reported; authors note the base calculation was for individual randomisation with a post-hoc clustering adjustment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pp.7–8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 of any interim analyses and stopping guidelines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 used to generate the random allocation sequence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“fish-bowl” (lottery) draw of community names, witnessed by community leaders and research team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randomisation; details of any restriction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Stratified by 5 sub-districts; one community per stratum allocated to each arm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Mechanism used to implement the random allocation sequence, describing steps to conceal the sequence until assignment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Allocation was at the cluster (community), not individual, level; explicitly no formal concealment procedure beyond a blind public draw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generated the random allocation sequence, who enrolled clusters, and who assigned clusters to interventions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leaders/representatives and research team members conducted and witnessed the draw; roles of “generating” vs “enrolling” are not separately distinguished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Mechanism by which individual participants were included in clusters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households randomly selected within each of the 10 communities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10c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AB7D72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whom consent was sought, and whether before or after randomisation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AB7D72" w:rsidRDefault="00AB7D72" w:rsidP="00AB7D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 written informed consent was obtained from mothers (parental consent for children); the manuscript does not explicitly state whether household consent was sought before or after community-level </w:t>
            </w:r>
            <w:r>
              <w:rPr>
                <w:sz w:val="24"/>
                <w:szCs w:val="24"/>
              </w:rPr>
              <w:lastRenderedPageBreak/>
              <w:t>randomization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AB7D72" w:rsidRDefault="00AB7D72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p.14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done, who was blinded after assignment to interventions, and how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Participants, CNVs, and field data collectors not blinded (not practicable given intervention nature); laboratory staff analysing blood samples were blinded to allocation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p.12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relevant, description of the similarity of interventions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applicable, open, community-embedded behavioural/economic intervention vs standard Ghana Health Service care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Statistical methods used to compare groups for primary and secondary outcomes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AF12A2" w:rsidRDefault="00AF12A2" w:rsidP="00AF12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statistically adjusted for in the primary analysis. Due to the small number of clusters randomized (n = 10), mixed-effects modelling at the cluster level was judged underpowered and not conducted; non-parametric tests were therefore run at the individual level and are reported as exploratory comparisons rather than cluster-adjusted estimates. No formal intra-cluster correlation coefficient or covariate adjustment for clustering was performed, and this is discussed as a limitation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p.13–14; limitation p.32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for additional analyses, such as subgroup and adjusted analyses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Absolute and relative effect sizes (risk ratios, 95% CI) calculated for principal binary outcomes; no cluster-adjusted or subgroup analyses performed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pp.22–23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group: numbers randomly assigned, receiving intended treatment, analysed for primary outcome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of clusters (5 intervention / 5 control communities) and participants (124/124 randomised; 109/102 analysed) given in Figure 1 and its legend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group, losses and exclusions after randomisation, with reasons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Individual-level losses reported (15 intervention, 22 control lost to follow-up); no cluster-level losses — all 10 communities were retained throughout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defining periods of recruitment and follow-up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2023 – May 2024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pp.7–8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the trial ended or was stopped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table showing baseline demographic and clinical characteristics for each group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1 gives individual-level baseline characteristics; a significant baseline imbalance across arms (ethnicity, water/sanitation source, food security) attributable to whole-community randomisation is reported and discussed as a limitation. No separate cluster-level baseline table is provided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1, pp.15–16; limitation p.32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group, number of participants included in each analysis, and whether by original assigned group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participant numbers given for each analysis (Tables 4–9); the number of clusters contributing to each analysis (5 per arm throughout) is not restated table-by-table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pp.16–28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17a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outcome: results for each group and the estimated effect size with precision (e.g., 95% CI)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presented at the individual level; no intracluster correlation coefficient (ICC) is reported for the observed outcomes (only the assumed ICC of 0.05 used a priori in the sample-size calculation is given)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pp.16–23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17b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binary outcomes, presentation of both absolute and relative effect sizes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5a reports absolute and relative effect sizes (risk ratios, 95% CI) for the principal binary outcomes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pp.22–23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of any other analyses performed, distinguishing pre-specified from exploratory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Mann–Whitney U and Wilcoxon signed-rank within- and between-group comparisons (Tables 6–9)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pp.23–28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important harms or unintended effects in each group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1C00CE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adverse events or unintended harms related to the intervention or study procedures were reported by participants or Community Nutrition Volunteers during the six-month intervention period; participants identified with anaemia or malnutrition through screening were referred for standard clinical care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7B43A6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pp.28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Trial limitations, addressing sources of potential bias, imprecision, and multiplicity of analyses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Discusses short intervention duration; small number of clusters increasing residual-confounding risk; baseline imbalance from whole-community </w:t>
            </w:r>
            <w:r>
              <w:rPr>
                <w:sz w:val="24"/>
                <w:szCs w:val="24"/>
              </w:rPr>
              <w:lastRenderedPageBreak/>
              <w:t>randomisation; no ICC/covariate adjustment for clustering; lack of blinding; no cost-effectiveness analysis; seasonal timing of food-security data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pp.32–33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Generalisability (external validity, applicability) of trial findings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for similar high-burden rural districts in Ghana and comparable LMIC settings, with a seasonal-timing caveat; not separately distinguished for cluster- vs individual-level generalisability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p.33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 consistent with results, balancing benefits and harms, considering other evidence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pp.29–33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number and name of trial registry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PACTR202412697952932, Pan African Clinical Trial Registry; retrospective registration explicitly disclosed in the abstract and Declarations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p.2, p.14, p.34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the full trial protocol can be accessed, if available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trial protocol stated as available from the corresponding author on reasonable request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p.34</w:t>
            </w:r>
          </w:p>
        </w:tc>
      </w:tr>
      <w:tr w:rsidR="003E65F7" w:rsidRPr="007B43A6" w:rsidTr="003E65F7">
        <w:trPr>
          <w:trHeight w:val="140"/>
        </w:trPr>
        <w:tc>
          <w:tcPr>
            <w:tcW w:w="845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9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Sources of funding and other support, role of funders</w:t>
            </w:r>
          </w:p>
        </w:tc>
        <w:tc>
          <w:tcPr>
            <w:tcW w:w="7158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direct financial support for the study; in-kind logistical support from the College of Nursing and Midwifery, Nalerigu, disclosed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3E65F7" w:rsidRPr="007B43A6" w:rsidRDefault="003E65F7" w:rsidP="003E65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p.34</w:t>
            </w:r>
          </w:p>
        </w:tc>
      </w:tr>
    </w:tbl>
    <w:p w:rsidR="006D4E48" w:rsidRPr="007B43A6" w:rsidRDefault="003E65F7">
      <w:pPr>
        <w:spacing w:before="200"/>
        <w:rPr>
          <w:sz w:val="24"/>
          <w:szCs w:val="24"/>
        </w:rPr>
      </w:pPr>
      <w:r>
        <w:rPr>
          <w:i/>
          <w:iCs/>
          <w:sz w:val="24"/>
          <w:szCs w:val="24"/>
        </w:rPr>
        <w:t>Campbell MK, Piaggio G, Elbourne DR, Altman DG; for the CONSORT Group. CONSORT 2010 statement: extension to cluster randomised trials. BMJ. 2012;345:e5661. This checklist reports against the parallel-group CONSORT 2010 items (Schulz KF, Altman DG, Moher D; CONSORT Group. CONSORT 2010 Statement: updated guidelines for reporting parallel group randomised trials. BMJ 2010;340:c332) together with the cluster-trial extensions specific to items 1a, 2a, 2b, 3a, 4a, 5, 6a, 7a, 8b, 9, 10 (replaced by 10a–10c), 12a, 13a, 13b, 15, 16, 17a, and 21.</w:t>
      </w:r>
    </w:p>
    <w:p w:rsidR="006D4E48" w:rsidRPr="007B43A6" w:rsidRDefault="003E65F7">
      <w:pPr>
        <w:spacing w:before="10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6D4E48" w:rsidRPr="007B43A6" w:rsidSect="003E65F7">
      <w:pgSz w:w="16838" w:h="11906" w:orient="landscape"/>
      <w:pgMar w:top="720" w:right="700" w:bottom="72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F6C"/>
    <w:multiLevelType w:val="hybridMultilevel"/>
    <w:tmpl w:val="DD70AB22"/>
    <w:lvl w:ilvl="0" w:tplc="EAF2F1AA">
      <w:start w:val="1"/>
      <w:numFmt w:val="bullet"/>
      <w:lvlText w:val="●"/>
      <w:lvlJc w:val="left"/>
      <w:pPr>
        <w:ind w:left="720" w:hanging="360"/>
      </w:pPr>
    </w:lvl>
    <w:lvl w:ilvl="1" w:tplc="A0DA5F44">
      <w:start w:val="1"/>
      <w:numFmt w:val="bullet"/>
      <w:lvlText w:val="○"/>
      <w:lvlJc w:val="left"/>
      <w:pPr>
        <w:ind w:left="1440" w:hanging="360"/>
      </w:pPr>
    </w:lvl>
    <w:lvl w:ilvl="2" w:tplc="489015AC">
      <w:start w:val="1"/>
      <w:numFmt w:val="bullet"/>
      <w:lvlText w:val="■"/>
      <w:lvlJc w:val="left"/>
      <w:pPr>
        <w:ind w:left="2160" w:hanging="360"/>
      </w:pPr>
    </w:lvl>
    <w:lvl w:ilvl="3" w:tplc="A510DBC0">
      <w:start w:val="1"/>
      <w:numFmt w:val="bullet"/>
      <w:lvlText w:val="●"/>
      <w:lvlJc w:val="left"/>
      <w:pPr>
        <w:ind w:left="2880" w:hanging="360"/>
      </w:pPr>
    </w:lvl>
    <w:lvl w:ilvl="4" w:tplc="0C42974C">
      <w:start w:val="1"/>
      <w:numFmt w:val="bullet"/>
      <w:lvlText w:val="○"/>
      <w:lvlJc w:val="left"/>
      <w:pPr>
        <w:ind w:left="3600" w:hanging="360"/>
      </w:pPr>
    </w:lvl>
    <w:lvl w:ilvl="5" w:tplc="B63A881E">
      <w:start w:val="1"/>
      <w:numFmt w:val="bullet"/>
      <w:lvlText w:val="■"/>
      <w:lvlJc w:val="left"/>
      <w:pPr>
        <w:ind w:left="4320" w:hanging="360"/>
      </w:pPr>
    </w:lvl>
    <w:lvl w:ilvl="6" w:tplc="4AAE4C20">
      <w:start w:val="1"/>
      <w:numFmt w:val="bullet"/>
      <w:lvlText w:val="●"/>
      <w:lvlJc w:val="left"/>
      <w:pPr>
        <w:ind w:left="5040" w:hanging="360"/>
      </w:pPr>
    </w:lvl>
    <w:lvl w:ilvl="7" w:tplc="DF52CC4C">
      <w:start w:val="1"/>
      <w:numFmt w:val="bullet"/>
      <w:lvlText w:val="●"/>
      <w:lvlJc w:val="left"/>
      <w:pPr>
        <w:ind w:left="5760" w:hanging="360"/>
      </w:pPr>
    </w:lvl>
    <w:lvl w:ilvl="8" w:tplc="0C628B7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4E48"/>
    <w:rsid w:val="001C00CE"/>
    <w:rsid w:val="003E65F7"/>
    <w:rsid w:val="006D4E48"/>
    <w:rsid w:val="007B43A6"/>
    <w:rsid w:val="00AB7D72"/>
    <w:rsid w:val="00AF12A2"/>
    <w:rsid w:val="00BC4079"/>
    <w:rsid w:val="00B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cursor-pointer">
    <w:name w:val="cursor-pointer"/>
    <w:basedOn w:val="DefaultParagraphFont"/>
    <w:rsid w:val="001C0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cursor-pointer">
    <w:name w:val="cursor-pointer"/>
    <w:basedOn w:val="DefaultParagraphFont"/>
    <w:rsid w:val="001C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 c</cp:lastModifiedBy>
  <cp:revision>2</cp:revision>
  <dcterms:created xsi:type="dcterms:W3CDTF">2026-07-11T13:34:00Z</dcterms:created>
  <dcterms:modified xsi:type="dcterms:W3CDTF">2026-07-11T13:34:00Z</dcterms:modified>
</cp:coreProperties>
</file>