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DBE6A">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1B1B1B"/>
          <w:sz w:val="24"/>
          <w:szCs w:val="24"/>
          <w:shd w:val="clear" w:color="auto" w:fill="FFFFFF"/>
        </w:rPr>
        <w:t xml:space="preserve">Supplementary Figures </w:t>
      </w:r>
      <w:r>
        <w:rPr>
          <w:rFonts w:hint="default" w:ascii="Times New Roman" w:hAnsi="Times New Roman" w:eastAsia="宋体" w:cs="Times New Roman"/>
          <w:b/>
          <w:bCs/>
          <w:color w:val="1B1B1B"/>
          <w:sz w:val="24"/>
          <w:szCs w:val="24"/>
          <w:shd w:val="clear" w:color="auto" w:fill="FFFFFF"/>
          <w:lang w:val="en-US" w:eastAsia="zh-CN"/>
        </w:rPr>
        <w:t>1</w:t>
      </w:r>
      <w:r>
        <w:rPr>
          <w:rFonts w:hint="eastAsia" w:ascii="Times New Roman" w:hAnsi="Times New Roman" w:eastAsia="宋体" w:cs="Times New Roman"/>
          <w:b/>
          <w:bCs/>
          <w:color w:val="1B1B1B"/>
          <w:sz w:val="24"/>
          <w:szCs w:val="24"/>
          <w:shd w:val="clear" w:color="auto" w:fill="FFFFFF"/>
          <w:lang w:val="en-US" w:eastAsia="zh-CN"/>
        </w:rPr>
        <w:t xml:space="preserve"> </w:t>
      </w:r>
      <w:r>
        <w:rPr>
          <w:rFonts w:hint="default" w:ascii="Times New Roman" w:hAnsi="Times New Roman" w:eastAsia="宋体" w:cs="Times New Roman"/>
          <w:color w:val="000000" w:themeColor="text1"/>
          <w:sz w:val="24"/>
          <w:szCs w:val="24"/>
          <w14:textFill>
            <w14:solidFill>
              <w14:schemeClr w14:val="tx1"/>
            </w14:solidFill>
          </w14:textFill>
        </w:rPr>
        <w:t>ROI delineation on CT images and fECV calculation in a typical case of colon cancer with lymph node metastasis.</w:t>
      </w:r>
    </w:p>
    <w:p w14:paraId="2DF22D30">
      <w:pPr>
        <w:rPr>
          <w:rFonts w:hint="default" w:ascii="Times New Roman" w:hAnsi="Times New Roman" w:eastAsia="宋体" w:cs="Times New Roman"/>
          <w:color w:val="000000" w:themeColor="text1"/>
          <w:sz w:val="24"/>
          <w:szCs w:val="24"/>
          <w14:textFill>
            <w14:solidFill>
              <w14:schemeClr w14:val="tx1"/>
            </w14:solidFill>
          </w14:textFill>
        </w:rPr>
      </w:pPr>
    </w:p>
    <w:p w14:paraId="5A8D072A">
      <w:pPr>
        <w:rPr>
          <w:rFonts w:hint="eastAsia" w:ascii="Times New Roman" w:hAnsi="Times New Roman" w:eastAsia="宋体" w:cs="Times New Roman"/>
          <w:color w:val="000000" w:themeColor="text1"/>
          <w:sz w:val="24"/>
          <w:szCs w:val="24"/>
          <w:lang w:eastAsia="zh-CN"/>
          <w14:textFill>
            <w14:solidFill>
              <w14:schemeClr w14:val="tx1"/>
            </w14:solidFill>
          </w14:textFill>
        </w:rPr>
      </w:pPr>
    </w:p>
    <w:p w14:paraId="33136930">
      <w:pPr>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drawing>
          <wp:inline distT="0" distB="0" distL="114300" distR="114300">
            <wp:extent cx="2343150" cy="1619885"/>
            <wp:effectExtent l="0" t="0" r="6350" b="5715"/>
            <wp:docPr id="3" name="图片 3" descr="00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00505."/>
                    <pic:cNvPicPr>
                      <a:picLocks noChangeAspect="1"/>
                    </pic:cNvPicPr>
                  </pic:nvPicPr>
                  <pic:blipFill>
                    <a:blip r:embed="rId4"/>
                    <a:srcRect l="6432" t="16159" r="3372" b="22682"/>
                    <a:stretch>
                      <a:fillRect/>
                    </a:stretch>
                  </pic:blipFill>
                  <pic:spPr>
                    <a:xfrm>
                      <a:off x="0" y="0"/>
                      <a:ext cx="2343150" cy="1619885"/>
                    </a:xfrm>
                    <a:prstGeom prst="rect">
                      <a:avLst/>
                    </a:prstGeom>
                  </pic:spPr>
                </pic:pic>
              </a:graphicData>
            </a:graphic>
          </wp:inline>
        </w:drawing>
      </w:r>
      <w:r>
        <w:rPr>
          <w:rFonts w:hint="eastAsia" w:ascii="Times New Roman" w:hAnsi="Times New Roman" w:eastAsia="宋体" w:cs="Times New Roman"/>
          <w:color w:val="000000" w:themeColor="text1"/>
          <w:sz w:val="24"/>
          <w:szCs w:val="24"/>
          <w:lang w:eastAsia="zh-CN"/>
          <w14:textFill>
            <w14:solidFill>
              <w14:schemeClr w14:val="tx1"/>
            </w14:solidFill>
          </w14:textFill>
        </w:rPr>
        <w:drawing>
          <wp:inline distT="0" distB="0" distL="114300" distR="114300">
            <wp:extent cx="2359025" cy="1619885"/>
            <wp:effectExtent l="0" t="0" r="3175" b="5715"/>
            <wp:docPr id="1" name="图片 1" descr="00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0401."/>
                    <pic:cNvPicPr>
                      <a:picLocks noChangeAspect="1"/>
                    </pic:cNvPicPr>
                  </pic:nvPicPr>
                  <pic:blipFill>
                    <a:blip r:embed="rId5"/>
                    <a:srcRect l="5833" t="14831" r="3255" b="22747"/>
                    <a:stretch>
                      <a:fillRect/>
                    </a:stretch>
                  </pic:blipFill>
                  <pic:spPr>
                    <a:xfrm>
                      <a:off x="0" y="0"/>
                      <a:ext cx="2359025" cy="1619885"/>
                    </a:xfrm>
                    <a:prstGeom prst="rect">
                      <a:avLst/>
                    </a:prstGeom>
                  </pic:spPr>
                </pic:pic>
              </a:graphicData>
            </a:graphic>
          </wp:inline>
        </w:drawing>
      </w:r>
    </w:p>
    <w:p w14:paraId="28DA7495">
      <w:pPr>
        <w:ind w:firstLine="1680" w:firstLineChars="7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B</w:t>
      </w:r>
    </w:p>
    <w:p w14:paraId="3BE83370">
      <w:pPr>
        <w:rPr>
          <w:rFonts w:hint="default" w:ascii="Times New Roman" w:hAnsi="Times New Roman" w:eastAsia="宋体" w:cs="Times New Roman"/>
          <w:sz w:val="24"/>
          <w:szCs w:val="24"/>
        </w:rPr>
      </w:pPr>
    </w:p>
    <w:p w14:paraId="707AA0B7">
      <w:pPr>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sz w:val="24"/>
          <w:szCs w:val="24"/>
        </w:rPr>
        <w:drawing>
          <wp:inline distT="0" distB="0" distL="114300" distR="114300">
            <wp:extent cx="2346960" cy="1621155"/>
            <wp:effectExtent l="0" t="0" r="2540" b="4445"/>
            <wp:docPr id="4" name="图片 4" descr="000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00406."/>
                    <pic:cNvPicPr>
                      <a:picLocks noChangeAspect="1"/>
                    </pic:cNvPicPr>
                  </pic:nvPicPr>
                  <pic:blipFill>
                    <a:blip r:embed="rId6"/>
                    <a:srcRect l="6901" t="16354" r="5117" b="22943"/>
                    <a:stretch>
                      <a:fillRect/>
                    </a:stretch>
                  </pic:blipFill>
                  <pic:spPr>
                    <a:xfrm>
                      <a:off x="0" y="0"/>
                      <a:ext cx="2346960" cy="1621155"/>
                    </a:xfrm>
                    <a:prstGeom prst="rect">
                      <a:avLst/>
                    </a:prstGeom>
                  </pic:spPr>
                </pic:pic>
              </a:graphicData>
            </a:graphic>
          </wp:inline>
        </w:drawing>
      </w:r>
      <w:r>
        <w:rPr>
          <w:rFonts w:hint="eastAsia" w:ascii="Times New Roman" w:hAnsi="Times New Roman" w:eastAsia="宋体" w:cs="Times New Roman"/>
          <w:color w:val="000000" w:themeColor="text1"/>
          <w:sz w:val="24"/>
          <w:szCs w:val="24"/>
          <w:lang w:eastAsia="zh-CN"/>
          <w14:textFill>
            <w14:solidFill>
              <w14:schemeClr w14:val="tx1"/>
            </w14:solidFill>
          </w14:textFill>
        </w:rPr>
        <w:drawing>
          <wp:inline distT="0" distB="0" distL="114300" distR="114300">
            <wp:extent cx="2343150" cy="1619885"/>
            <wp:effectExtent l="0" t="0" r="6350" b="5715"/>
            <wp:docPr id="5" name="图片 5" descr="批注 2026-06-08 100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批注 2026-06-08 100942"/>
                    <pic:cNvPicPr>
                      <a:picLocks noChangeAspect="1"/>
                    </pic:cNvPicPr>
                  </pic:nvPicPr>
                  <pic:blipFill>
                    <a:blip r:embed="rId7"/>
                    <a:stretch>
                      <a:fillRect/>
                    </a:stretch>
                  </pic:blipFill>
                  <pic:spPr>
                    <a:xfrm>
                      <a:off x="0" y="0"/>
                      <a:ext cx="2343150" cy="1619885"/>
                    </a:xfrm>
                    <a:prstGeom prst="rect">
                      <a:avLst/>
                    </a:prstGeom>
                  </pic:spPr>
                </pic:pic>
              </a:graphicData>
            </a:graphic>
          </wp:inline>
        </w:drawing>
      </w:r>
    </w:p>
    <w:p w14:paraId="31F47272">
      <w:pPr>
        <w:ind w:firstLine="1680" w:firstLineChars="7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C</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sz w:val="24"/>
          <w:szCs w:val="24"/>
        </w:rPr>
        <w:t>D</w:t>
      </w:r>
    </w:p>
    <w:p w14:paraId="706CDAD7">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 male patient aged 8</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14:textFill>
            <w14:solidFill>
              <w14:schemeClr w14:val="tx1"/>
            </w14:solidFill>
          </w14:textFill>
        </w:rPr>
        <w:t xml:space="preserve"> years with a hematocrit of 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476</w:t>
      </w:r>
      <w:r>
        <w:rPr>
          <w:rFonts w:hint="default" w:ascii="Times New Roman" w:hAnsi="Times New Roman" w:eastAsia="宋体" w:cs="Times New Roman"/>
          <w:color w:val="000000" w:themeColor="text1"/>
          <w:sz w:val="24"/>
          <w:szCs w:val="24"/>
          <w14:textFill>
            <w14:solidFill>
              <w14:schemeClr w14:val="tx1"/>
            </w14:solidFill>
          </w14:textFill>
        </w:rPr>
        <w:t>. A. Conventional unenhanced CT image of the lesion; B. Conventional arterial-phase CT image of the lesion; C. Conventional delayed-phase CT image of the lesion. The red and green regions represent the regions of interest (ROIs) of the lesion and the aorta, respectively. The CT values of the red and green ROIs on unenhanced CT were 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14:textFill>
            <w14:solidFill>
              <w14:schemeClr w14:val="tx1"/>
            </w14:solidFill>
          </w14:textFill>
        </w:rPr>
        <w:t xml:space="preserve"> HU and 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14:textFill>
            <w14:solidFill>
              <w14:schemeClr w14:val="tx1"/>
            </w14:solidFill>
          </w14:textFill>
        </w:rPr>
        <w:t xml:space="preserve"> HU, respectively; the corresponding values on delayed-phase CT were </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81</w:t>
      </w:r>
      <w:r>
        <w:rPr>
          <w:rFonts w:hint="default" w:ascii="Times New Roman" w:hAnsi="Times New Roman" w:eastAsia="宋体" w:cs="Times New Roman"/>
          <w:color w:val="000000" w:themeColor="text1"/>
          <w:sz w:val="24"/>
          <w:szCs w:val="24"/>
          <w14:textFill>
            <w14:solidFill>
              <w14:schemeClr w14:val="tx1"/>
            </w14:solidFill>
          </w14:textFill>
        </w:rPr>
        <w:t xml:space="preserve"> HU and </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108</w:t>
      </w:r>
      <w:r>
        <w:rPr>
          <w:rFonts w:hint="default" w:ascii="Times New Roman" w:hAnsi="Times New Roman" w:eastAsia="宋体" w:cs="Times New Roman"/>
          <w:color w:val="000000" w:themeColor="text1"/>
          <w:sz w:val="24"/>
          <w:szCs w:val="24"/>
          <w14:textFill>
            <w14:solidFill>
              <w14:schemeClr w14:val="tx1"/>
            </w14:solidFill>
          </w14:textFill>
        </w:rPr>
        <w:t xml:space="preserve"> HU, respectively. The fECV of the lesion ROI was calculated as </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36</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94</w:t>
      </w:r>
      <w:r>
        <w:rPr>
          <w:rFonts w:hint="default" w:ascii="Times New Roman" w:hAnsi="Times New Roman" w:eastAsia="宋体" w:cs="Times New Roman"/>
          <w:color w:val="000000" w:themeColor="text1"/>
          <w:sz w:val="24"/>
          <w:szCs w:val="24"/>
          <w14:textFill>
            <w14:solidFill>
              <w14:schemeClr w14:val="tx1"/>
            </w14:solidFill>
          </w14:textFill>
        </w:rPr>
        <w:t>. D. Postoperative pathological diagnosis: colon cancer with lymph node metastasis.</w:t>
      </w:r>
    </w:p>
    <w:p w14:paraId="7BBC4224">
      <w:pPr>
        <w:rPr>
          <w:rFonts w:hint="default" w:ascii="Times New Roman" w:hAnsi="Times New Roman" w:eastAsia="宋体" w:cs="Times New Roman"/>
          <w:b/>
          <w:bCs/>
          <w:color w:val="000000" w:themeColor="text1"/>
          <w:sz w:val="24"/>
          <w:szCs w:val="24"/>
          <w14:textFill>
            <w14:solidFill>
              <w14:schemeClr w14:val="tx1"/>
            </w14:solidFill>
          </w14:textFill>
        </w:rPr>
      </w:pPr>
    </w:p>
    <w:p w14:paraId="0788F65C">
      <w:pPr>
        <w:rPr>
          <w:rFonts w:hint="default" w:ascii="Times New Roman" w:hAnsi="Times New Roman" w:eastAsia="宋体" w:cs="Times New Roman"/>
          <w:b/>
          <w:bCs/>
          <w:color w:val="000000" w:themeColor="text1"/>
          <w:sz w:val="24"/>
          <w:szCs w:val="24"/>
          <w14:textFill>
            <w14:solidFill>
              <w14:schemeClr w14:val="tx1"/>
            </w14:solidFill>
          </w14:textFill>
        </w:rPr>
      </w:pPr>
    </w:p>
    <w:p w14:paraId="661F30FA">
      <w:pPr>
        <w:rPr>
          <w:rFonts w:hint="default" w:ascii="Times New Roman" w:hAnsi="Times New Roman" w:eastAsia="宋体" w:cs="Times New Roman"/>
          <w:b/>
          <w:bCs/>
          <w:color w:val="000000" w:themeColor="text1"/>
          <w:sz w:val="24"/>
          <w:szCs w:val="24"/>
          <w14:textFill>
            <w14:solidFill>
              <w14:schemeClr w14:val="tx1"/>
            </w14:solidFill>
          </w14:textFill>
        </w:rPr>
      </w:pPr>
    </w:p>
    <w:p w14:paraId="3A3DB3E5">
      <w:pPr>
        <w:rPr>
          <w:rFonts w:hint="default" w:ascii="Times New Roman" w:hAnsi="Times New Roman" w:eastAsia="宋体" w:cs="Times New Roman"/>
          <w:b/>
          <w:bCs/>
          <w:color w:val="000000" w:themeColor="text1"/>
          <w:sz w:val="24"/>
          <w:szCs w:val="24"/>
          <w14:textFill>
            <w14:solidFill>
              <w14:schemeClr w14:val="tx1"/>
            </w14:solidFill>
          </w14:textFill>
        </w:rPr>
      </w:pPr>
    </w:p>
    <w:p w14:paraId="7171C96B">
      <w:pPr>
        <w:rPr>
          <w:rFonts w:hint="default" w:ascii="Times New Roman" w:hAnsi="Times New Roman" w:eastAsia="宋体" w:cs="Times New Roman"/>
          <w:b/>
          <w:bCs/>
          <w:color w:val="000000" w:themeColor="text1"/>
          <w:sz w:val="24"/>
          <w:szCs w:val="24"/>
          <w14:textFill>
            <w14:solidFill>
              <w14:schemeClr w14:val="tx1"/>
            </w14:solidFill>
          </w14:textFill>
        </w:rPr>
      </w:pPr>
    </w:p>
    <w:p w14:paraId="729FB612">
      <w:pPr>
        <w:rPr>
          <w:rFonts w:hint="default" w:ascii="Times New Roman" w:hAnsi="Times New Roman" w:eastAsia="宋体" w:cs="Times New Roman"/>
          <w:b/>
          <w:bCs/>
          <w:color w:val="000000" w:themeColor="text1"/>
          <w:sz w:val="24"/>
          <w:szCs w:val="24"/>
          <w14:textFill>
            <w14:solidFill>
              <w14:schemeClr w14:val="tx1"/>
            </w14:solidFill>
          </w14:textFill>
        </w:rPr>
      </w:pPr>
    </w:p>
    <w:p w14:paraId="59F04B26">
      <w:pPr>
        <w:rPr>
          <w:rFonts w:hint="default" w:ascii="Times New Roman" w:hAnsi="Times New Roman" w:eastAsia="宋体" w:cs="Times New Roman"/>
          <w:b/>
          <w:bCs/>
          <w:color w:val="000000" w:themeColor="text1"/>
          <w:sz w:val="24"/>
          <w:szCs w:val="24"/>
          <w14:textFill>
            <w14:solidFill>
              <w14:schemeClr w14:val="tx1"/>
            </w14:solidFill>
          </w14:textFill>
        </w:rPr>
      </w:pPr>
    </w:p>
    <w:p w14:paraId="19FC4713">
      <w:pPr>
        <w:rPr>
          <w:rFonts w:hint="default" w:ascii="Times New Roman" w:hAnsi="Times New Roman" w:eastAsia="宋体" w:cs="Times New Roman"/>
          <w:b/>
          <w:bCs/>
          <w:color w:val="000000" w:themeColor="text1"/>
          <w:sz w:val="24"/>
          <w:szCs w:val="24"/>
          <w14:textFill>
            <w14:solidFill>
              <w14:schemeClr w14:val="tx1"/>
            </w14:solidFill>
          </w14:textFill>
        </w:rPr>
      </w:pPr>
    </w:p>
    <w:p w14:paraId="6FB8FA3A">
      <w:pPr>
        <w:rPr>
          <w:rFonts w:hint="default" w:ascii="Times New Roman" w:hAnsi="Times New Roman" w:eastAsia="宋体" w:cs="Times New Roman"/>
          <w:b/>
          <w:bCs/>
          <w:color w:val="000000" w:themeColor="text1"/>
          <w:sz w:val="24"/>
          <w:szCs w:val="24"/>
          <w14:textFill>
            <w14:solidFill>
              <w14:schemeClr w14:val="tx1"/>
            </w14:solidFill>
          </w14:textFill>
        </w:rPr>
      </w:pPr>
    </w:p>
    <w:p w14:paraId="2D99741F">
      <w:pPr>
        <w:rPr>
          <w:rFonts w:hint="default" w:ascii="Times New Roman" w:hAnsi="Times New Roman" w:eastAsia="宋体" w:cs="Times New Roman"/>
          <w:b/>
          <w:bCs/>
          <w:color w:val="000000" w:themeColor="text1"/>
          <w:sz w:val="24"/>
          <w:szCs w:val="24"/>
          <w14:textFill>
            <w14:solidFill>
              <w14:schemeClr w14:val="tx1"/>
            </w14:solidFill>
          </w14:textFill>
        </w:rPr>
      </w:pPr>
    </w:p>
    <w:p w14:paraId="5A4B53CE">
      <w:pPr>
        <w:rPr>
          <w:rFonts w:hint="default" w:ascii="Times New Roman" w:hAnsi="Times New Roman" w:eastAsia="宋体" w:cs="Times New Roman"/>
          <w:b/>
          <w:bCs/>
          <w:color w:val="000000" w:themeColor="text1"/>
          <w:sz w:val="24"/>
          <w:szCs w:val="24"/>
          <w14:textFill>
            <w14:solidFill>
              <w14:schemeClr w14:val="tx1"/>
            </w14:solidFill>
          </w14:textFill>
        </w:rPr>
      </w:pPr>
    </w:p>
    <w:p w14:paraId="4AECC30C">
      <w:pPr>
        <w:rPr>
          <w:rFonts w:hint="default" w:ascii="Times New Roman" w:hAnsi="Times New Roman" w:eastAsia="宋体" w:cs="Times New Roman"/>
          <w:b/>
          <w:bCs/>
          <w:color w:val="000000" w:themeColor="text1"/>
          <w:sz w:val="24"/>
          <w:szCs w:val="24"/>
          <w14:textFill>
            <w14:solidFill>
              <w14:schemeClr w14:val="tx1"/>
            </w14:solidFill>
          </w14:textFill>
        </w:rPr>
      </w:pPr>
    </w:p>
    <w:p w14:paraId="77D13B07">
      <w:pPr>
        <w:rPr>
          <w:rFonts w:hint="default" w:ascii="Times New Roman" w:hAnsi="Times New Roman" w:eastAsia="宋体" w:cs="Times New Roman"/>
          <w:b/>
          <w:bCs/>
          <w:color w:val="000000" w:themeColor="text1"/>
          <w:sz w:val="24"/>
          <w:szCs w:val="24"/>
          <w14:textFill>
            <w14:solidFill>
              <w14:schemeClr w14:val="tx1"/>
            </w14:solidFill>
          </w14:textFill>
        </w:rPr>
      </w:pPr>
    </w:p>
    <w:p w14:paraId="335B2858">
      <w:pPr>
        <w:rPr>
          <w:rFonts w:hint="default" w:ascii="Times New Roman" w:hAnsi="Times New Roman" w:eastAsia="宋体" w:cs="Times New Roman"/>
          <w:b/>
          <w:bCs/>
          <w:color w:val="000000" w:themeColor="text1"/>
          <w:sz w:val="24"/>
          <w:szCs w:val="24"/>
          <w14:textFill>
            <w14:solidFill>
              <w14:schemeClr w14:val="tx1"/>
            </w14:solidFill>
          </w14:textFill>
        </w:rPr>
      </w:pPr>
    </w:p>
    <w:p w14:paraId="7C6E1FA3">
      <w:pPr>
        <w:rPr>
          <w:rFonts w:hint="default" w:ascii="Times New Roman" w:hAnsi="Times New Roman" w:eastAsia="宋体" w:cs="Times New Roman"/>
          <w:b/>
          <w:bCs/>
          <w:color w:val="000000" w:themeColor="text1"/>
          <w:sz w:val="24"/>
          <w:szCs w:val="24"/>
          <w14:textFill>
            <w14:solidFill>
              <w14:schemeClr w14:val="tx1"/>
            </w14:solidFill>
          </w14:textFill>
        </w:rPr>
      </w:pPr>
    </w:p>
    <w:p w14:paraId="34450AAD">
      <w:pP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 xml:space="preserve">Supplementary Figures </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ROI delineation on CT images and fECV calculation in a typical case of colon cancer without lymph node metastasis.</w:t>
      </w:r>
    </w:p>
    <w:p w14:paraId="0636D159">
      <w:pP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drawing>
          <wp:inline distT="0" distB="0" distL="114300" distR="114300">
            <wp:extent cx="2303780" cy="1614170"/>
            <wp:effectExtent l="0" t="0" r="7620" b="11430"/>
            <wp:docPr id="6" name="图片 6" descr="批注 2026-06-08 10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批注 2026-06-08 103724"/>
                    <pic:cNvPicPr>
                      <a:picLocks noChangeAspect="1"/>
                    </pic:cNvPicPr>
                  </pic:nvPicPr>
                  <pic:blipFill>
                    <a:blip r:embed="rId8"/>
                    <a:srcRect l="11434" t="4889" r="11784" b="21841"/>
                    <a:stretch>
                      <a:fillRect/>
                    </a:stretch>
                  </pic:blipFill>
                  <pic:spPr>
                    <a:xfrm>
                      <a:off x="0" y="0"/>
                      <a:ext cx="2303780" cy="1614170"/>
                    </a:xfrm>
                    <a:prstGeom prst="rect">
                      <a:avLst/>
                    </a:prstGeom>
                  </pic:spPr>
                </pic:pic>
              </a:graphicData>
            </a:graphic>
          </wp:inline>
        </w:drawing>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drawing>
          <wp:inline distT="0" distB="0" distL="114300" distR="114300">
            <wp:extent cx="2304415" cy="1619885"/>
            <wp:effectExtent l="0" t="0" r="6985" b="5715"/>
            <wp:docPr id="7" name="图片 7" descr="-0502-0503-0504-W0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502-0503-0504-W0L0"/>
                    <pic:cNvPicPr>
                      <a:picLocks noChangeAspect="1"/>
                    </pic:cNvPicPr>
                  </pic:nvPicPr>
                  <pic:blipFill>
                    <a:blip r:embed="rId9"/>
                    <a:srcRect l="23704" t="7715" r="24343" b="27368"/>
                    <a:stretch>
                      <a:fillRect/>
                    </a:stretch>
                  </pic:blipFill>
                  <pic:spPr>
                    <a:xfrm>
                      <a:off x="0" y="0"/>
                      <a:ext cx="2304415" cy="1619885"/>
                    </a:xfrm>
                    <a:prstGeom prst="rect">
                      <a:avLst/>
                    </a:prstGeom>
                  </pic:spPr>
                </pic:pic>
              </a:graphicData>
            </a:graphic>
          </wp:inline>
        </w:drawing>
      </w:r>
    </w:p>
    <w:p w14:paraId="58FBF88E">
      <w:pPr>
        <w:ind w:firstLine="1440" w:firstLineChars="6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B</w:t>
      </w:r>
    </w:p>
    <w:p w14:paraId="450FDBD6">
      <w:pPr>
        <w:rPr>
          <w:rFonts w:hint="default" w:ascii="Times New Roman" w:hAnsi="Times New Roman" w:eastAsia="宋体" w:cs="Times New Roman"/>
          <w:color w:val="000000" w:themeColor="text1"/>
          <w:sz w:val="24"/>
          <w:szCs w:val="24"/>
          <w14:textFill>
            <w14:solidFill>
              <w14:schemeClr w14:val="tx1"/>
            </w14:solidFill>
          </w14:textFill>
        </w:rPr>
      </w:pPr>
    </w:p>
    <w:p w14:paraId="47BEBDC3">
      <w:pPr>
        <w:rPr>
          <w:rFonts w:hint="default" w:ascii="Times New Roman" w:hAnsi="Times New Roman" w:eastAsia="宋体" w:cs="Times New Roman"/>
          <w:sz w:val="24"/>
          <w:szCs w:val="24"/>
        </w:rPr>
      </w:pPr>
    </w:p>
    <w:p w14:paraId="765F6993">
      <w:pPr>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sz w:val="24"/>
          <w:szCs w:val="24"/>
        </w:rPr>
        <w:drawing>
          <wp:inline distT="0" distB="0" distL="114300" distR="114300">
            <wp:extent cx="2303780" cy="1619885"/>
            <wp:effectExtent l="0" t="0" r="7620" b="5715"/>
            <wp:docPr id="8" name="图片 8" descr="-0702-0502-0503-W0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702-0502-0503-W0L0"/>
                    <pic:cNvPicPr>
                      <a:picLocks noChangeAspect="1"/>
                    </pic:cNvPicPr>
                  </pic:nvPicPr>
                  <pic:blipFill>
                    <a:blip r:embed="rId10"/>
                    <a:srcRect l="23487" t="10011" r="23981" b="26881"/>
                    <a:stretch>
                      <a:fillRect/>
                    </a:stretch>
                  </pic:blipFill>
                  <pic:spPr>
                    <a:xfrm>
                      <a:off x="0" y="0"/>
                      <a:ext cx="2303780" cy="1619885"/>
                    </a:xfrm>
                    <a:prstGeom prst="rect">
                      <a:avLst/>
                    </a:prstGeom>
                  </pic:spPr>
                </pic:pic>
              </a:graphicData>
            </a:graphic>
          </wp:inline>
        </w:drawing>
      </w:r>
      <w:r>
        <w:rPr>
          <w:rFonts w:hint="eastAsia" w:ascii="Times New Roman" w:hAnsi="Times New Roman" w:eastAsia="宋体" w:cs="Times New Roman"/>
          <w:color w:val="000000" w:themeColor="text1"/>
          <w:sz w:val="24"/>
          <w:szCs w:val="24"/>
          <w:lang w:eastAsia="zh-CN"/>
          <w14:textFill>
            <w14:solidFill>
              <w14:schemeClr w14:val="tx1"/>
            </w14:solidFill>
          </w14:textFill>
        </w:rPr>
        <w:drawing>
          <wp:inline distT="0" distB="0" distL="114300" distR="114300">
            <wp:extent cx="2303780" cy="1628140"/>
            <wp:effectExtent l="0" t="0" r="7620" b="10160"/>
            <wp:docPr id="9" name="图片 9" descr="批注 2026-06-08 1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批注 2026-06-08 102310"/>
                    <pic:cNvPicPr>
                      <a:picLocks noChangeAspect="1"/>
                    </pic:cNvPicPr>
                  </pic:nvPicPr>
                  <pic:blipFill>
                    <a:blip r:embed="rId11"/>
                    <a:stretch>
                      <a:fillRect/>
                    </a:stretch>
                  </pic:blipFill>
                  <pic:spPr>
                    <a:xfrm>
                      <a:off x="0" y="0"/>
                      <a:ext cx="2303780" cy="1628140"/>
                    </a:xfrm>
                    <a:prstGeom prst="rect">
                      <a:avLst/>
                    </a:prstGeom>
                  </pic:spPr>
                </pic:pic>
              </a:graphicData>
            </a:graphic>
          </wp:inline>
        </w:drawing>
      </w:r>
    </w:p>
    <w:p w14:paraId="7A7F5884">
      <w:pPr>
        <w:ind w:firstLine="1440" w:firstLineChars="6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sz w:val="24"/>
          <w:szCs w:val="24"/>
          <w:lang w:val="en-US" w:eastAsia="zh-CN"/>
        </w:rPr>
        <w:t xml:space="preserve">C                            </w:t>
      </w:r>
      <w:r>
        <w:rPr>
          <w:rFonts w:hint="default" w:ascii="Times New Roman" w:hAnsi="Times New Roman" w:eastAsia="宋体" w:cs="Times New Roman"/>
          <w:sz w:val="24"/>
          <w:szCs w:val="24"/>
        </w:rPr>
        <w:t>D</w:t>
      </w:r>
    </w:p>
    <w:p w14:paraId="0878CFCA">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A male patient aged </w:t>
      </w:r>
      <w:r>
        <w:rPr>
          <w:rFonts w:hint="eastAsia" w:ascii="Times New Roman" w:hAnsi="Times New Roman" w:eastAsia="宋体" w:cs="Times New Roman"/>
          <w:sz w:val="24"/>
          <w:szCs w:val="24"/>
          <w:lang w:val="en-US" w:eastAsia="zh-CN"/>
        </w:rPr>
        <w:t>76</w:t>
      </w:r>
      <w:r>
        <w:rPr>
          <w:rFonts w:hint="default" w:ascii="Times New Roman" w:hAnsi="Times New Roman" w:eastAsia="宋体" w:cs="Times New Roman"/>
          <w:sz w:val="24"/>
          <w:szCs w:val="24"/>
        </w:rPr>
        <w:t xml:space="preserve"> years with a hematocrit of 0.</w:t>
      </w:r>
      <w:r>
        <w:rPr>
          <w:rFonts w:hint="eastAsia" w:ascii="Times New Roman" w:hAnsi="Times New Roman" w:eastAsia="宋体" w:cs="Times New Roman"/>
          <w:sz w:val="24"/>
          <w:szCs w:val="24"/>
          <w:lang w:val="en-US" w:eastAsia="zh-CN"/>
        </w:rPr>
        <w:t>376</w:t>
      </w:r>
      <w:r>
        <w:rPr>
          <w:rFonts w:hint="default" w:ascii="Times New Roman" w:hAnsi="Times New Roman" w:eastAsia="宋体" w:cs="Times New Roman"/>
          <w:sz w:val="24"/>
          <w:szCs w:val="24"/>
        </w:rPr>
        <w:t xml:space="preserve">. A. Conventional unenhanced CT image of the lesion; B. Conventional arterial-phase CT image of the lesion; C. Conventional delayed-phase CT image of the lesion. The red and green regions represent the regions of interest (ROIs) of the lesion and the aorta, respectively. The CT values of the red and green ROIs on unenhanced CT were </w:t>
      </w:r>
      <w:r>
        <w:rPr>
          <w:rFonts w:hint="eastAsia" w:ascii="Times New Roman" w:hAnsi="Times New Roman" w:eastAsia="宋体" w:cs="Times New Roman"/>
          <w:sz w:val="24"/>
          <w:szCs w:val="24"/>
          <w:lang w:val="en-US" w:eastAsia="zh-CN"/>
        </w:rPr>
        <w:t>35</w:t>
      </w:r>
      <w:r>
        <w:rPr>
          <w:rFonts w:hint="default" w:ascii="Times New Roman" w:hAnsi="Times New Roman" w:eastAsia="宋体" w:cs="Times New Roman"/>
          <w:sz w:val="24"/>
          <w:szCs w:val="24"/>
        </w:rPr>
        <w:t xml:space="preserve"> HU and </w:t>
      </w:r>
      <w:r>
        <w:rPr>
          <w:rFonts w:hint="eastAsia" w:ascii="Times New Roman" w:hAnsi="Times New Roman" w:eastAsia="宋体" w:cs="Times New Roman"/>
          <w:sz w:val="24"/>
          <w:szCs w:val="24"/>
          <w:lang w:val="en-US" w:eastAsia="zh-CN"/>
        </w:rPr>
        <w:t>41</w:t>
      </w:r>
      <w:r>
        <w:rPr>
          <w:rFonts w:hint="default" w:ascii="Times New Roman" w:hAnsi="Times New Roman" w:eastAsia="宋体" w:cs="Times New Roman"/>
          <w:sz w:val="24"/>
          <w:szCs w:val="24"/>
        </w:rPr>
        <w:t xml:space="preserve"> HU, respectively; the corresponding values on delayed-phase CT were </w:t>
      </w:r>
      <w:r>
        <w:rPr>
          <w:rFonts w:hint="eastAsia" w:ascii="Times New Roman" w:hAnsi="Times New Roman" w:eastAsia="宋体" w:cs="Times New Roman"/>
          <w:sz w:val="24"/>
          <w:szCs w:val="24"/>
          <w:lang w:val="en-US" w:eastAsia="zh-CN"/>
        </w:rPr>
        <w:t>64</w:t>
      </w:r>
      <w:r>
        <w:rPr>
          <w:rFonts w:hint="default" w:ascii="Times New Roman" w:hAnsi="Times New Roman" w:eastAsia="宋体" w:cs="Times New Roman"/>
          <w:sz w:val="24"/>
          <w:szCs w:val="24"/>
        </w:rPr>
        <w:t xml:space="preserve"> HU and </w:t>
      </w:r>
      <w:r>
        <w:rPr>
          <w:rFonts w:hint="eastAsia" w:ascii="Times New Roman" w:hAnsi="Times New Roman" w:eastAsia="宋体" w:cs="Times New Roman"/>
          <w:sz w:val="24"/>
          <w:szCs w:val="24"/>
          <w:lang w:val="en-US" w:eastAsia="zh-CN"/>
        </w:rPr>
        <w:t>100</w:t>
      </w:r>
      <w:r>
        <w:rPr>
          <w:rFonts w:hint="default" w:ascii="Times New Roman" w:hAnsi="Times New Roman" w:eastAsia="宋体" w:cs="Times New Roman"/>
          <w:sz w:val="24"/>
          <w:szCs w:val="24"/>
        </w:rPr>
        <w:t xml:space="preserve"> HU, respectively. The fECV of the lesion ROI was calculated as </w:t>
      </w:r>
      <w:r>
        <w:rPr>
          <w:rFonts w:hint="eastAsia" w:ascii="Times New Roman" w:hAnsi="Times New Roman" w:eastAsia="宋体" w:cs="Times New Roman"/>
          <w:sz w:val="24"/>
          <w:szCs w:val="24"/>
          <w:lang w:val="en-US" w:eastAsia="zh-CN"/>
        </w:rPr>
        <w:t>30.67</w:t>
      </w:r>
      <w:bookmarkStart w:id="0" w:name="_GoBack"/>
      <w:bookmarkEnd w:id="0"/>
      <w:r>
        <w:rPr>
          <w:rFonts w:hint="default" w:ascii="Times New Roman" w:hAnsi="Times New Roman" w:eastAsia="宋体" w:cs="Times New Roman"/>
          <w:sz w:val="24"/>
          <w:szCs w:val="24"/>
        </w:rPr>
        <w:t>. D. Postoperative pathological diagnosis: colon cancer without lymph node metastasis.</w:t>
      </w:r>
    </w:p>
    <w:p w14:paraId="17E49FC3">
      <w:pPr>
        <w:rPr>
          <w:rFonts w:hint="default" w:ascii="Times New Roman" w:hAnsi="Times New Roman" w:eastAsia="宋体" w:cs="Times New Roman"/>
          <w:sz w:val="24"/>
          <w:szCs w:val="24"/>
        </w:rPr>
      </w:pPr>
    </w:p>
    <w:p w14:paraId="159C0776">
      <w:pPr>
        <w:rPr>
          <w:rFonts w:hint="default" w:ascii="Times New Roman" w:hAnsi="Times New Roman" w:eastAsia="宋体" w:cs="Times New Roman"/>
          <w:b/>
          <w:bCs/>
          <w:sz w:val="28"/>
          <w:szCs w:val="28"/>
        </w:rPr>
      </w:pPr>
    </w:p>
    <w:p w14:paraId="4770148A">
      <w:pPr>
        <w:rPr>
          <w:rFonts w:hint="default" w:ascii="Times New Roman" w:hAnsi="Times New Roman" w:eastAsia="宋体" w:cs="Times New Roman"/>
          <w:b/>
          <w:bCs/>
          <w:sz w:val="28"/>
          <w:szCs w:val="28"/>
        </w:rPr>
      </w:pPr>
    </w:p>
    <w:p w14:paraId="71FB12F1">
      <w:pPr>
        <w:rPr>
          <w:rFonts w:hint="default" w:ascii="Times New Roman" w:hAnsi="Times New Roman" w:eastAsia="宋体" w:cs="Times New Roman"/>
          <w:b/>
          <w:bCs/>
          <w:sz w:val="28"/>
          <w:szCs w:val="28"/>
        </w:rPr>
      </w:pPr>
    </w:p>
    <w:p w14:paraId="6E768B06">
      <w:pPr>
        <w:rPr>
          <w:rFonts w:hint="default" w:ascii="Times New Roman" w:hAnsi="Times New Roman" w:eastAsia="宋体" w:cs="Times New Roman"/>
          <w:sz w:val="24"/>
          <w:szCs w:val="24"/>
        </w:rPr>
      </w:pPr>
    </w:p>
    <w:p w14:paraId="38FDEB0D">
      <w:pPr>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zMDViNGYwZjM2OTBjNzk4MTlhOTE0MjgzMGFiM2MifQ=="/>
  </w:docVars>
  <w:rsids>
    <w:rsidRoot w:val="00000000"/>
    <w:rsid w:val="0D1129AB"/>
    <w:rsid w:val="19115585"/>
    <w:rsid w:val="243C7689"/>
    <w:rsid w:val="25D85638"/>
    <w:rsid w:val="29F86FC6"/>
    <w:rsid w:val="2B287437"/>
    <w:rsid w:val="37E553DB"/>
    <w:rsid w:val="3EF864F1"/>
    <w:rsid w:val="46E43EB1"/>
    <w:rsid w:val="4CE45D0E"/>
    <w:rsid w:val="50E517A3"/>
    <w:rsid w:val="57C32096"/>
    <w:rsid w:val="5EA018BE"/>
    <w:rsid w:val="60EE1FAE"/>
    <w:rsid w:val="6623094C"/>
    <w:rsid w:val="69DD703C"/>
    <w:rsid w:val="72BA4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rPr>
      <w:rFonts w:ascii="Tahoma" w:hAnsi="Tahoma" w:cs="Tahoma"/>
      <w:sz w:val="16"/>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character" w:styleId="9">
    <w:name w:val="annotation reference"/>
    <w:basedOn w:val="7"/>
    <w:qFormat/>
    <w:uiPriority w:val="0"/>
    <w:rPr>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262</Words>
  <Characters>1302</Characters>
  <Lines>0</Lines>
  <Paragraphs>0</Paragraphs>
  <TotalTime>2</TotalTime>
  <ScaleCrop>false</ScaleCrop>
  <LinksUpToDate>false</LinksUpToDate>
  <CharactersWithSpaces>1659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2026-03-22T08:00:00Z</dcterms:created>
  <dc:creator>Machenike</dc:creator>
  <cp:lastModifiedBy>WZH</cp:lastModifiedBy>
  <dcterms:modified xsi:type="dcterms:W3CDTF">2026-06-14T07:53:41Z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959EA3BF95A349C9911463A053DD5953_12</vt:lpwstr>
  </property>
</Properties>
</file>