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61FC" w:rsidRDefault="00D11E79">
      <w:pPr>
        <w:spacing w:before="240" w:line="288" w:lineRule="auto"/>
      </w:pPr>
      <w:bookmarkStart w:id="0" w:name="supplementary_materials"/>
      <w:bookmarkStart w:id="1" w:name="_GoBack"/>
      <w:r>
        <w:rPr>
          <w:b/>
          <w:sz w:val="56"/>
        </w:rPr>
        <w:t>SUPPLEMENTARY MATERIALS</w:t>
      </w:r>
      <w:bookmarkEnd w:id="0"/>
    </w:p>
    <w:p w:rsidR="00A461FC" w:rsidRDefault="00D11E79">
      <w:pPr>
        <w:spacing w:before="240" w:line="271" w:lineRule="auto"/>
      </w:pPr>
      <w:bookmarkStart w:id="2" w:name="complete_appendix_package"/>
      <w:bookmarkEnd w:id="1"/>
      <w:r>
        <w:rPr>
          <w:b/>
          <w:sz w:val="42"/>
        </w:rPr>
        <w:t>Complete Appendix Package</w:t>
      </w:r>
      <w:bookmarkEnd w:id="2"/>
    </w:p>
    <w:p w:rsidR="00A461FC" w:rsidRDefault="00D11E79">
      <w:r>
        <w:rPr>
          <w:noProof/>
        </w:rPr>
        <w:pict>
          <v:rect id="_x0000_i1025" alt="" style="width:6in;height:.05pt;mso-width-percent:0;mso-height-percent:0;mso-width-percent:0;mso-height-percent:0" o:hralign="center" o:hrstd="t" o:hr="t"/>
        </w:pict>
      </w:r>
    </w:p>
    <w:p w:rsidR="00A461FC" w:rsidRDefault="00D11E79">
      <w:pPr>
        <w:spacing w:before="240" w:line="288" w:lineRule="auto"/>
      </w:pPr>
      <w:bookmarkStart w:id="3" w:name="appendix_a_sensor_drift_correctio_27e295"/>
      <w:r>
        <w:rPr>
          <w:b/>
          <w:sz w:val="56"/>
        </w:rPr>
        <w:t>Appendix A: Sensor Drift Correction Protocol and Linearity Assumption Validation</w:t>
      </w:r>
      <w:bookmarkEnd w:id="3"/>
    </w:p>
    <w:p w:rsidR="00A461FC" w:rsidRDefault="00D11E79">
      <w:pPr>
        <w:spacing w:before="240" w:line="271" w:lineRule="auto"/>
      </w:pPr>
      <w:bookmarkStart w:id="4" w:name="a_1_sensor_calibration_protocol"/>
      <w:r>
        <w:rPr>
          <w:b/>
          <w:sz w:val="42"/>
        </w:rPr>
        <w:t>A.1 Sensor Calibration Protocol</w:t>
      </w:r>
      <w:bookmarkEnd w:id="4"/>
    </w:p>
    <w:p w:rsidR="00A461FC" w:rsidRDefault="00D11E79">
      <w:pPr>
        <w:spacing w:before="240" w:line="271" w:lineRule="auto"/>
      </w:pPr>
      <w:bookmarkStart w:id="5" w:name="a_1_1_reference_sensor_specification"/>
      <w:r>
        <w:rPr>
          <w:b/>
          <w:sz w:val="33"/>
        </w:rPr>
        <w:t>A.1.1 Reference Sensor Specification</w:t>
      </w:r>
      <w:bookmarkEnd w:id="5"/>
    </w:p>
    <w:tbl>
      <w:tblPr>
        <w:tblStyle w:val="NormalGrid"/>
        <w:tblW w:w="0" w:type="auto"/>
        <w:jc w:val="center"/>
        <w:tblCellSpacing w:w="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Look w:val="04A0" w:firstRow="1" w:lastRow="0" w:firstColumn="1" w:lastColumn="0" w:noHBand="0" w:noVBand="1"/>
      </w:tblPr>
      <w:tblGrid>
        <w:gridCol w:w="2625"/>
        <w:gridCol w:w="2625"/>
        <w:gridCol w:w="2698"/>
      </w:tblGrid>
      <w:tr w:rsidR="00A461FC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Parameter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DHT22 (Deployed)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SHT35 (Reference)</w:t>
            </w:r>
          </w:p>
        </w:tc>
      </w:tr>
      <w:tr w:rsidR="00A461FC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Temperature Accuracy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rPr>
                <w:rFonts w:eastAsia="Georgia" w:hAnsi="Georgia" w:cs="Georgia"/>
              </w:rPr>
              <w:t>±0.5°C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rPr>
                <w:rFonts w:eastAsia="Georgia" w:hAnsi="Georgia" w:cs="Georgia"/>
              </w:rPr>
              <w:t>±0.2°C</w:t>
            </w:r>
          </w:p>
        </w:tc>
      </w:tr>
      <w:tr w:rsidR="00A461FC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Humidity Accuracy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rPr>
                <w:rFonts w:eastAsia="Georgia" w:hAnsi="Georgia" w:cs="Georgia"/>
              </w:rPr>
              <w:t>±2–5% RH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rPr>
                <w:rFonts w:eastAsia="Georgia" w:hAnsi="Georgia" w:cs="Georgia"/>
              </w:rPr>
              <w:t>±1.5% RH</w:t>
            </w:r>
          </w:p>
        </w:tc>
      </w:tr>
      <w:tr w:rsidR="00A461FC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Measurement Range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rPr>
                <w:rFonts w:eastAsia="Georgia" w:hAnsi="Georgia" w:cs="Georgia"/>
              </w:rPr>
              <w:t>-40–80°C, 0–100% RH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rPr>
                <w:rFonts w:eastAsia="Georgia" w:hAnsi="Georgia" w:cs="Georgia"/>
              </w:rPr>
              <w:t>-40–125°C, 0–100% RH</w:t>
            </w:r>
          </w:p>
        </w:tc>
      </w:tr>
      <w:tr w:rsidR="00A461FC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Calibration Traceability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Factory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NIST-traceable</w:t>
            </w:r>
          </w:p>
        </w:tc>
      </w:tr>
      <w:tr w:rsidR="00A461FC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Cost per Unit (USD)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rPr>
                <w:rFonts w:eastAsia="Georgia" w:hAnsi="Georgia" w:cs="Georgia"/>
              </w:rPr>
              <w:t>~5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rPr>
                <w:rFonts w:eastAsia="Georgia" w:hAnsi="Georgia" w:cs="Georgia"/>
              </w:rPr>
              <w:t>~35</w:t>
            </w:r>
          </w:p>
        </w:tc>
      </w:tr>
    </w:tbl>
    <w:p w:rsidR="00A461FC" w:rsidRDefault="00A461FC"/>
    <w:p w:rsidR="00A461FC" w:rsidRDefault="00D11E79">
      <w:pPr>
        <w:spacing w:before="240" w:line="271" w:lineRule="auto"/>
      </w:pPr>
      <w:bookmarkStart w:id="6" w:name="a_1_2_monthly_calibration_procedure"/>
      <w:r>
        <w:rPr>
          <w:b/>
          <w:sz w:val="33"/>
        </w:rPr>
        <w:t>A.1.2 Monthly Calibration Procedure</w:t>
      </w:r>
      <w:bookmarkEnd w:id="6"/>
    </w:p>
    <w:p w:rsidR="00A461FC" w:rsidRDefault="00D11E79">
      <w:pPr>
        <w:spacing w:after="220"/>
      </w:pPr>
      <w:r>
        <w:rPr>
          <w:b/>
        </w:rPr>
        <w:t>Step 1: Co-location</w:t>
      </w:r>
    </w:p>
    <w:p w:rsidR="00A461FC" w:rsidRDefault="00D11E79">
      <w:pPr>
        <w:numPr>
          <w:ilvl w:val="0"/>
          <w:numId w:val="1"/>
        </w:numPr>
      </w:pPr>
      <w:r>
        <w:t>At each monthly maintenance visit, every DHT22 node was co-located with the SHT35 reference sensor for 30 minutes.</w:t>
      </w:r>
    </w:p>
    <w:p w:rsidR="00A461FC" w:rsidRDefault="00D11E79">
      <w:pPr>
        <w:numPr>
          <w:ilvl w:val="0"/>
          <w:numId w:val="1"/>
        </w:numPr>
      </w:pPr>
      <w:r>
        <w:t>Sensors were positioned within 10 cm of each other in the same microclimate.</w:t>
      </w:r>
    </w:p>
    <w:p w:rsidR="00A461FC" w:rsidRDefault="00D11E79">
      <w:pPr>
        <w:numPr>
          <w:ilvl w:val="0"/>
          <w:numId w:val="1"/>
        </w:numPr>
      </w:pPr>
      <w:r>
        <w:lastRenderedPageBreak/>
        <w:t>Data were recorded at 1-minute intervals during the co-location period.</w:t>
      </w:r>
    </w:p>
    <w:p w:rsidR="00A461FC" w:rsidRDefault="00D11E79">
      <w:pPr>
        <w:spacing w:after="220"/>
      </w:pPr>
      <w:r>
        <w:rPr>
          <w:b/>
        </w:rPr>
        <w:t>Step 2: Drift Calculation</w:t>
      </w:r>
    </w:p>
    <w:p w:rsidR="00A461FC" w:rsidRDefault="00D11E79">
      <w:pPr>
        <w:numPr>
          <w:ilvl w:val="0"/>
          <w:numId w:val="2"/>
        </w:numPr>
        <w:spacing w:after="220"/>
      </w:pPr>
      <w:r>
        <w:rPr>
          <w:rFonts w:eastAsia="Georgia" w:hAnsi="Georgia" w:cs="Georgia"/>
        </w:rPr>
        <w:t>For each node, the mean difference (Δ) from the reference was calculated:</w:t>
      </w:r>
    </w:p>
    <w:p w:rsidR="00A461FC" w:rsidRDefault="00D11E79">
      <w:pPr>
        <w:spacing w:after="220"/>
        <w:ind w:left="720"/>
      </w:pPr>
      <m:oMathPara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</w:rPr>
                <m:t>Δ</m:t>
              </m:r>
            </m:e>
            <m:sub>
              <m:r>
                <w:rPr>
                  <w:rFonts w:ascii="Cambria Math" w:hAnsi="Cambria Math"/>
                </w:rPr>
                <m:t>T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=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acc>
                <m:accPr>
                  <m:chr m:val="‾"/>
                  <m:ctrlPr>
                    <w:rPr>
                      <w:rFonts w:ascii="Cambria Math" w:hAnsi="Cambria Math"/>
                    </w:rPr>
                  </m:ctrlPr>
                </m:accPr>
                <m:e>
                  <m:r>
                    <w:rPr>
                      <w:rFonts w:ascii="Cambria Math" w:hAnsi="Cambria Math"/>
                    </w:rPr>
                    <m:t>T</m:t>
                  </m:r>
                </m:e>
              </m:acc>
            </m:e>
            <m:sub>
              <m:r>
                <w:rPr>
                  <w:rFonts w:ascii="Cambria Math" w:hAnsi="Cambria Math"/>
                </w:rPr>
                <m:t>DHT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22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-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acc>
                <m:accPr>
                  <m:chr m:val="‾"/>
                  <m:ctrlPr>
                    <w:rPr>
                      <w:rFonts w:ascii="Cambria Math" w:hAnsi="Cambria Math"/>
                    </w:rPr>
                  </m:ctrlPr>
                </m:accPr>
                <m:e>
                  <m:r>
                    <w:rPr>
                      <w:rFonts w:ascii="Cambria Math" w:hAnsi="Cambria Math"/>
                    </w:rPr>
                    <m:t>T</m:t>
                  </m:r>
                </m:e>
              </m:acc>
            </m:e>
            <m:sub>
              <m:r>
                <w:rPr>
                  <w:rFonts w:ascii="Cambria Math" w:hAnsi="Cambria Math"/>
                </w:rPr>
                <m:t>SHT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35</m:t>
              </m:r>
            </m:sub>
          </m:sSub>
        </m:oMath>
      </m:oMathPara>
    </w:p>
    <w:p w:rsidR="00A461FC" w:rsidRDefault="00D11E79">
      <w:pPr>
        <w:spacing w:after="220"/>
        <w:ind w:left="720"/>
      </w:pPr>
      <m:oMathPara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</w:rPr>
                <m:t>Δ</m:t>
              </m:r>
            </m:e>
            <m:sub>
              <m:r>
                <w:rPr>
                  <w:rFonts w:ascii="Cambria Math" w:hAnsi="Cambria Math"/>
                </w:rPr>
                <m:t>RH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=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bar>
                <m:barPr>
                  <m:pos m:val="top"/>
                  <m:ctrlPr>
                    <w:rPr>
                      <w:rFonts w:ascii="Cambria Math" w:hAnsi="Cambria Math"/>
                    </w:rPr>
                  </m:ctrlPr>
                </m:barPr>
                <m:e>
                  <m:r>
                    <w:rPr>
                      <w:rFonts w:ascii="Cambria Math" w:hAnsi="Cambria Math"/>
                    </w:rPr>
                    <m:t>RH</m:t>
                  </m:r>
                </m:e>
              </m:bar>
            </m:e>
            <m:sub>
              <m:r>
                <w:rPr>
                  <w:rFonts w:ascii="Cambria Math" w:hAnsi="Cambria Math"/>
                </w:rPr>
                <m:t>DHT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22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-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bar>
                <m:barPr>
                  <m:pos m:val="top"/>
                  <m:ctrlPr>
                    <w:rPr>
                      <w:rFonts w:ascii="Cambria Math" w:hAnsi="Cambria Math"/>
                    </w:rPr>
                  </m:ctrlPr>
                </m:barPr>
                <m:e>
                  <m:r>
                    <w:rPr>
                      <w:rFonts w:ascii="Cambria Math" w:hAnsi="Cambria Math"/>
                    </w:rPr>
                    <m:t>RH</m:t>
                  </m:r>
                </m:e>
              </m:bar>
            </m:e>
            <m:sub>
              <m:r>
                <w:rPr>
                  <w:rFonts w:ascii="Cambria Math" w:hAnsi="Cambria Math"/>
                </w:rPr>
                <m:t>SHT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35</m:t>
              </m:r>
            </m:sub>
          </m:sSub>
        </m:oMath>
      </m:oMathPara>
    </w:p>
    <w:p w:rsidR="00A461FC" w:rsidRDefault="00D11E79">
      <w:pPr>
        <w:numPr>
          <w:ilvl w:val="0"/>
          <w:numId w:val="2"/>
        </w:numPr>
        <w:spacing w:after="220"/>
      </w:pPr>
      <w:r>
        <w:rPr>
          <w:rFonts w:eastAsia="Georgia" w:hAnsi="Georgia" w:cs="Georgia"/>
        </w:rPr>
        <w:t>Drift was calculated as th</w:t>
      </w:r>
      <w:r>
        <w:rPr>
          <w:rFonts w:eastAsia="Georgia" w:hAnsi="Georgia" w:cs="Georgia"/>
        </w:rPr>
        <w:t>e change in Δ since the previous calibration:</w:t>
      </w:r>
    </w:p>
    <w:p w:rsidR="00A461FC" w:rsidRDefault="00D11E79">
      <w:pPr>
        <w:spacing w:after="220"/>
        <w:ind w:left="720"/>
      </w:pPr>
      <m:oMathPara>
        <m:oMath>
          <m:r>
            <w:rPr>
              <w:rFonts w:ascii="Cambria Math" w:hAnsi="Cambria Math"/>
            </w:rPr>
            <m:t>Drif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t</m:t>
              </m:r>
            </m:e>
            <m:sub>
              <m:r>
                <w:rPr>
                  <w:rFonts w:ascii="Cambria Math" w:hAnsi="Cambria Math"/>
                </w:rPr>
                <m:t>T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=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</w:rPr>
                <m:t>Δ</m:t>
              </m:r>
            </m:e>
            <m:sub>
              <m:r>
                <w:rPr>
                  <w:rFonts w:ascii="Cambria Math" w:hAnsi="Cambria Math"/>
                </w:rPr>
                <m:t>T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(</m:t>
          </m:r>
          <m:r>
            <w:rPr>
              <w:rFonts w:ascii="Cambria Math" w:hAnsi="Cambria Math"/>
            </w:rPr>
            <m:t>t</m:t>
          </m:r>
          <m:r>
            <m:rPr>
              <m:sty m:val="p"/>
            </m:rPr>
            <w:rPr>
              <w:rFonts w:ascii="Cambria Math" w:hAnsi="Cambria Math"/>
            </w:rPr>
            <m:t>)-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</w:rPr>
                <m:t>Δ</m:t>
              </m:r>
            </m:e>
            <m:sub>
              <m:r>
                <w:rPr>
                  <w:rFonts w:ascii="Cambria Math" w:hAnsi="Cambria Math"/>
                </w:rPr>
                <m:t>T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(</m:t>
          </m:r>
          <m:r>
            <w:rPr>
              <w:rFonts w:ascii="Cambria Math" w:hAnsi="Cambria Math"/>
            </w:rPr>
            <m:t>t</m:t>
          </m:r>
          <m:r>
            <m:rPr>
              <m:sty m:val="p"/>
            </m:rPr>
            <w:rPr>
              <w:rFonts w:ascii="Cambria Math" w:hAnsi="Cambria Math"/>
            </w:rPr>
            <m:t>-</m:t>
          </m:r>
          <m:r>
            <m:rPr>
              <m:sty m:val="p"/>
            </m:rPr>
            <w:rPr>
              <w:rFonts w:ascii="Cambria Math" w:hAnsi="Cambria Math"/>
            </w:rPr>
            <m:t>1)</m:t>
          </m:r>
        </m:oMath>
      </m:oMathPara>
    </w:p>
    <w:p w:rsidR="00A461FC" w:rsidRDefault="00D11E79">
      <w:pPr>
        <w:spacing w:after="220"/>
        <w:ind w:left="720"/>
      </w:pPr>
      <m:oMathPara>
        <m:oMath>
          <m:r>
            <w:rPr>
              <w:rFonts w:ascii="Cambria Math" w:hAnsi="Cambria Math"/>
            </w:rPr>
            <m:t>Drif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t</m:t>
              </m:r>
            </m:e>
            <m:sub>
              <m:r>
                <w:rPr>
                  <w:rFonts w:ascii="Cambria Math" w:hAnsi="Cambria Math"/>
                </w:rPr>
                <m:t>RH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=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</w:rPr>
                <m:t>Δ</m:t>
              </m:r>
            </m:e>
            <m:sub>
              <m:r>
                <w:rPr>
                  <w:rFonts w:ascii="Cambria Math" w:hAnsi="Cambria Math"/>
                </w:rPr>
                <m:t>RH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(</m:t>
          </m:r>
          <m:r>
            <w:rPr>
              <w:rFonts w:ascii="Cambria Math" w:hAnsi="Cambria Math"/>
            </w:rPr>
            <m:t>t</m:t>
          </m:r>
          <m:r>
            <m:rPr>
              <m:sty m:val="p"/>
            </m:rPr>
            <w:rPr>
              <w:rFonts w:ascii="Cambria Math" w:hAnsi="Cambria Math"/>
            </w:rPr>
            <m:t>)-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</w:rPr>
                <m:t>Δ</m:t>
              </m:r>
            </m:e>
            <m:sub>
              <m:r>
                <w:rPr>
                  <w:rFonts w:ascii="Cambria Math" w:hAnsi="Cambria Math"/>
                </w:rPr>
                <m:t>RH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(</m:t>
          </m:r>
          <m:r>
            <w:rPr>
              <w:rFonts w:ascii="Cambria Math" w:hAnsi="Cambria Math"/>
            </w:rPr>
            <m:t>t</m:t>
          </m:r>
          <m:r>
            <m:rPr>
              <m:sty m:val="p"/>
            </m:rPr>
            <w:rPr>
              <w:rFonts w:ascii="Cambria Math" w:hAnsi="Cambria Math"/>
            </w:rPr>
            <m:t>-</m:t>
          </m:r>
          <m:r>
            <m:rPr>
              <m:sty m:val="p"/>
            </m:rPr>
            <w:rPr>
              <w:rFonts w:ascii="Cambria Math" w:hAnsi="Cambria Math"/>
            </w:rPr>
            <m:t>1)</m:t>
          </m:r>
        </m:oMath>
      </m:oMathPara>
    </w:p>
    <w:p w:rsidR="00A461FC" w:rsidRDefault="00D11E79">
      <w:pPr>
        <w:spacing w:after="220"/>
      </w:pPr>
      <w:r>
        <w:rPr>
          <w:b/>
        </w:rPr>
        <w:t>Step 3: Replacement Criteria</w:t>
      </w:r>
    </w:p>
    <w:p w:rsidR="00A461FC" w:rsidRDefault="00D11E79">
      <w:pPr>
        <w:numPr>
          <w:ilvl w:val="0"/>
          <w:numId w:val="3"/>
        </w:numPr>
      </w:pPr>
      <w:r>
        <w:rPr>
          <w:rFonts w:eastAsia="Georgia" w:hAnsi="Georgia" w:cs="Georgia"/>
        </w:rPr>
        <w:t>Sensors exhibiting drift exceeding 0.5°C or 5% RH per month were flagged for replacement.</w:t>
      </w:r>
    </w:p>
    <w:p w:rsidR="00A461FC" w:rsidRDefault="00D11E79">
      <w:pPr>
        <w:numPr>
          <w:ilvl w:val="0"/>
          <w:numId w:val="3"/>
        </w:numPr>
      </w:pPr>
      <w:r>
        <w:t>Over the 14-month campaign, three sensors (18.75% of the 16 deployed) required replacement.</w:t>
      </w:r>
    </w:p>
    <w:p w:rsidR="00A461FC" w:rsidRDefault="00D11E79">
      <w:pPr>
        <w:spacing w:before="240" w:line="271" w:lineRule="auto"/>
      </w:pPr>
      <w:bookmarkStart w:id="7" w:name="a_1_3_drift_correction_model"/>
      <w:r>
        <w:rPr>
          <w:b/>
          <w:sz w:val="33"/>
        </w:rPr>
        <w:t>A.1.3 Drift Correction Model</w:t>
      </w:r>
      <w:bookmarkEnd w:id="7"/>
    </w:p>
    <w:p w:rsidR="00A461FC" w:rsidRDefault="00D11E79">
      <w:pPr>
        <w:spacing w:after="220"/>
      </w:pPr>
      <w:r>
        <w:t>A linear drift model was fitted to the monthly measurements:</w:t>
      </w:r>
    </w:p>
    <w:p w:rsidR="00A461FC" w:rsidRDefault="00D11E79">
      <w:pPr>
        <w:spacing w:after="220"/>
      </w:pPr>
      <m:oMathPara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</w:rPr>
                <m:t>Δ</m:t>
              </m:r>
            </m:e>
            <m:sub>
              <m:r>
                <w:rPr>
                  <w:rFonts w:ascii="Cambria Math" w:hAnsi="Cambria Math"/>
                </w:rPr>
                <m:t>T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(</m:t>
          </m:r>
          <m:r>
            <w:rPr>
              <w:rFonts w:ascii="Cambria Math" w:hAnsi="Cambria Math"/>
            </w:rPr>
            <m:t>t</m:t>
          </m:r>
          <m:r>
            <m:rPr>
              <m:sty m:val="p"/>
            </m:rPr>
            <w:rPr>
              <w:rFonts w:ascii="Cambria Math" w:hAnsi="Cambria Math"/>
            </w:rPr>
            <m:t>)=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α</m:t>
              </m:r>
            </m:e>
            <m:sub>
              <m:r>
                <w:rPr>
                  <w:rFonts w:ascii="Cambria Math" w:hAnsi="Cambria Math"/>
                </w:rPr>
                <m:t>T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+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β</m:t>
              </m:r>
            </m:e>
            <m:sub>
              <m:r>
                <w:rPr>
                  <w:rFonts w:ascii="Cambria Math" w:hAnsi="Cambria Math"/>
                </w:rPr>
                <m:t>T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×</m:t>
          </m:r>
          <m:r>
            <w:rPr>
              <w:rFonts w:ascii="Cambria Math" w:hAnsi="Cambria Math"/>
            </w:rPr>
            <m:t>t</m:t>
          </m:r>
        </m:oMath>
      </m:oMathPara>
    </w:p>
    <w:p w:rsidR="00A461FC" w:rsidRDefault="00D11E79">
      <w:pPr>
        <w:spacing w:after="220"/>
      </w:pPr>
      <m:oMathPara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</w:rPr>
                <m:t>Δ</m:t>
              </m:r>
            </m:e>
            <m:sub>
              <m:r>
                <w:rPr>
                  <w:rFonts w:ascii="Cambria Math" w:hAnsi="Cambria Math"/>
                </w:rPr>
                <m:t>RH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(</m:t>
          </m:r>
          <m:r>
            <w:rPr>
              <w:rFonts w:ascii="Cambria Math" w:hAnsi="Cambria Math"/>
            </w:rPr>
            <m:t>t</m:t>
          </m:r>
          <m:r>
            <m:rPr>
              <m:sty m:val="p"/>
            </m:rPr>
            <w:rPr>
              <w:rFonts w:ascii="Cambria Math" w:hAnsi="Cambria Math"/>
            </w:rPr>
            <m:t>)=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α</m:t>
              </m:r>
            </m:e>
            <m:sub>
              <m:r>
                <w:rPr>
                  <w:rFonts w:ascii="Cambria Math" w:hAnsi="Cambria Math"/>
                </w:rPr>
                <m:t>RH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+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β</m:t>
              </m:r>
            </m:e>
            <m:sub>
              <m:r>
                <w:rPr>
                  <w:rFonts w:ascii="Cambria Math" w:hAnsi="Cambria Math"/>
                </w:rPr>
                <m:t>RH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×</m:t>
          </m:r>
          <m:r>
            <w:rPr>
              <w:rFonts w:ascii="Cambria Math" w:hAnsi="Cambria Math"/>
            </w:rPr>
            <m:t>t</m:t>
          </m:r>
        </m:oMath>
      </m:oMathPara>
    </w:p>
    <w:p w:rsidR="00A461FC" w:rsidRDefault="00D11E79">
      <w:pPr>
        <w:spacing w:after="220"/>
      </w:pPr>
      <w:r>
        <w:t>where:</w:t>
      </w:r>
    </w:p>
    <w:p w:rsidR="00A461FC" w:rsidRDefault="00D11E79">
      <w:pPr>
        <w:numPr>
          <w:ilvl w:val="0"/>
          <w:numId w:val="4"/>
        </w:numPr>
      </w:pP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Δ</m:t>
            </m:r>
          </m:e>
          <m:sub>
            <m:r>
              <w:rPr>
                <w:rFonts w:ascii="Cambria Math" w:hAnsi="Cambria Math"/>
              </w:rPr>
              <m:t>T</m:t>
            </m:r>
          </m:sub>
        </m:sSub>
        <m:r>
          <m:rPr>
            <m:sty m:val="p"/>
          </m:rPr>
          <w:rPr>
            <w:rFonts w:ascii="Cambria Math" w:hAnsi="Cambria Math"/>
          </w:rPr>
          <m:t>(</m:t>
        </m:r>
        <m:r>
          <w:rPr>
            <w:rFonts w:ascii="Cambria Math" w:hAnsi="Cambria Math"/>
          </w:rPr>
          <m:t>t</m:t>
        </m:r>
        <m:r>
          <m:rPr>
            <m:sty m:val="p"/>
          </m:rPr>
          <w:rPr>
            <w:rFonts w:ascii="Cambria Math" w:hAnsi="Cambria Math"/>
          </w:rPr>
          <m:t>)</m:t>
        </m:r>
      </m:oMath>
      <w:r>
        <w:t xml:space="preserve"> = temperatu</w:t>
      </w:r>
      <w:r>
        <w:t>re correction factor at month t</w:t>
      </w:r>
    </w:p>
    <w:p w:rsidR="00A461FC" w:rsidRDefault="00D11E79">
      <w:pPr>
        <w:numPr>
          <w:ilvl w:val="0"/>
          <w:numId w:val="4"/>
        </w:numPr>
      </w:pP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Δ</m:t>
            </m:r>
          </m:e>
          <m:sub>
            <m:r>
              <w:rPr>
                <w:rFonts w:ascii="Cambria Math" w:hAnsi="Cambria Math"/>
              </w:rPr>
              <m:t>RH</m:t>
            </m:r>
          </m:sub>
        </m:sSub>
        <m:r>
          <m:rPr>
            <m:sty m:val="p"/>
          </m:rPr>
          <w:rPr>
            <w:rFonts w:ascii="Cambria Math" w:hAnsi="Cambria Math"/>
          </w:rPr>
          <m:t>(</m:t>
        </m:r>
        <m:r>
          <w:rPr>
            <w:rFonts w:ascii="Cambria Math" w:hAnsi="Cambria Math"/>
          </w:rPr>
          <m:t>t</m:t>
        </m:r>
        <m:r>
          <m:rPr>
            <m:sty m:val="p"/>
          </m:rPr>
          <w:rPr>
            <w:rFonts w:ascii="Cambria Math" w:hAnsi="Cambria Math"/>
          </w:rPr>
          <m:t>)</m:t>
        </m:r>
      </m:oMath>
      <w:r>
        <w:t xml:space="preserve"> = humidity correction factor at month t</w:t>
      </w:r>
    </w:p>
    <w:p w:rsidR="00A461FC" w:rsidRDefault="00D11E79">
      <w:pPr>
        <w:numPr>
          <w:ilvl w:val="0"/>
          <w:numId w:val="4"/>
        </w:numPr>
      </w:pPr>
      <m:oMath>
        <m:r>
          <w:rPr>
            <w:rFonts w:ascii="Cambria Math" w:hAnsi="Cambria Math"/>
          </w:rPr>
          <m:t>α</m:t>
        </m:r>
      </m:oMath>
      <w:r>
        <w:t xml:space="preserve"> = intercept (initial offset)</w:t>
      </w:r>
    </w:p>
    <w:p w:rsidR="00A461FC" w:rsidRDefault="00D11E79">
      <w:pPr>
        <w:numPr>
          <w:ilvl w:val="0"/>
          <w:numId w:val="4"/>
        </w:numPr>
      </w:pPr>
      <m:oMath>
        <m:r>
          <w:rPr>
            <w:rFonts w:ascii="Cambria Math" w:hAnsi="Cambria Math"/>
          </w:rPr>
          <m:t>β</m:t>
        </m:r>
      </m:oMath>
      <w:r>
        <w:t xml:space="preserve"> = slope (drift rate per month)</w:t>
      </w:r>
    </w:p>
    <w:p w:rsidR="00A461FC" w:rsidRDefault="00D11E79">
      <w:pPr>
        <w:numPr>
          <w:ilvl w:val="0"/>
          <w:numId w:val="4"/>
        </w:numPr>
      </w:pPr>
      <m:oMath>
        <m:r>
          <w:rPr>
            <w:rFonts w:ascii="Cambria Math" w:hAnsi="Cambria Math"/>
          </w:rPr>
          <m:t>t</m:t>
        </m:r>
      </m:oMath>
      <w:r>
        <w:t xml:space="preserve"> = time in months since deployment</w:t>
      </w:r>
    </w:p>
    <w:p w:rsidR="00A461FC" w:rsidRDefault="00D11E79">
      <w:pPr>
        <w:spacing w:after="220"/>
      </w:pPr>
      <w:r>
        <w:rPr>
          <w:b/>
        </w:rPr>
        <w:t>Correction Application:</w:t>
      </w:r>
      <w:r>
        <w:br/>
        <w:t xml:space="preserve">For each 15-minute measurement, the correction </w:t>
      </w:r>
      <w:r>
        <w:t>was applied as:</w:t>
      </w:r>
    </w:p>
    <w:p w:rsidR="00A461FC" w:rsidRDefault="00D11E79">
      <w:pPr>
        <w:spacing w:after="220"/>
      </w:pPr>
      <m:oMathPara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T</m:t>
              </m:r>
            </m:e>
            <m:sub>
              <m:r>
                <w:rPr>
                  <w:rFonts w:ascii="Cambria Math" w:hAnsi="Cambria Math"/>
                </w:rPr>
                <m:t>corrected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=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T</m:t>
              </m:r>
            </m:e>
            <m:sub>
              <m:r>
                <w:rPr>
                  <w:rFonts w:ascii="Cambria Math" w:hAnsi="Cambria Math"/>
                </w:rPr>
                <m:t>raw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-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</w:rPr>
                <m:t>Δ</m:t>
              </m:r>
            </m:e>
            <m:sub>
              <m:r>
                <w:rPr>
                  <w:rFonts w:ascii="Cambria Math" w:hAnsi="Cambria Math"/>
                </w:rPr>
                <m:t>T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(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t</m:t>
              </m:r>
            </m:e>
            <m:sub>
              <m:r>
                <w:rPr>
                  <w:rFonts w:ascii="Cambria Math" w:hAnsi="Cambria Math"/>
                </w:rPr>
                <m:t>measurement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)</m:t>
          </m:r>
        </m:oMath>
      </m:oMathPara>
    </w:p>
    <w:p w:rsidR="00A461FC" w:rsidRDefault="00D11E79">
      <w:pPr>
        <w:spacing w:after="220"/>
      </w:pPr>
      <m:oMathPara>
        <m:oMath>
          <m:r>
            <w:rPr>
              <w:rFonts w:ascii="Cambria Math" w:hAnsi="Cambria Math"/>
            </w:rPr>
            <m:t>R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H</m:t>
              </m:r>
            </m:e>
            <m:sub>
              <m:r>
                <w:rPr>
                  <w:rFonts w:ascii="Cambria Math" w:hAnsi="Cambria Math"/>
                </w:rPr>
                <m:t>corrected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=</m:t>
          </m:r>
          <m:r>
            <w:rPr>
              <w:rFonts w:ascii="Cambria Math" w:hAnsi="Cambria Math"/>
            </w:rPr>
            <m:t>R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H</m:t>
              </m:r>
            </m:e>
            <m:sub>
              <m:r>
                <w:rPr>
                  <w:rFonts w:ascii="Cambria Math" w:hAnsi="Cambria Math"/>
                </w:rPr>
                <m:t>raw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-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</w:rPr>
                <m:t>Δ</m:t>
              </m:r>
            </m:e>
            <m:sub>
              <m:r>
                <w:rPr>
                  <w:rFonts w:ascii="Cambria Math" w:hAnsi="Cambria Math"/>
                </w:rPr>
                <m:t>RH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(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t</m:t>
              </m:r>
            </m:e>
            <m:sub>
              <m:r>
                <w:rPr>
                  <w:rFonts w:ascii="Cambria Math" w:hAnsi="Cambria Math"/>
                </w:rPr>
                <m:t>measurement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)</m:t>
          </m:r>
        </m:oMath>
      </m:oMathPara>
    </w:p>
    <w:p w:rsidR="00A461FC" w:rsidRDefault="00D11E79">
      <w:pPr>
        <w:spacing w:after="220"/>
      </w:pPr>
      <w:r>
        <w:t xml:space="preserve">where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t</m:t>
            </m:r>
          </m:e>
          <m:sub>
            <m:r>
              <w:rPr>
                <w:rFonts w:ascii="Cambria Math" w:hAnsi="Cambria Math"/>
              </w:rPr>
              <m:t>measurement</m:t>
            </m:r>
          </m:sub>
        </m:sSub>
      </m:oMath>
      <w:r>
        <w:t xml:space="preserve"> is the fractional month since deployment.</w:t>
      </w:r>
    </w:p>
    <w:p w:rsidR="00A461FC" w:rsidRDefault="00D11E79">
      <w:pPr>
        <w:spacing w:before="240" w:line="271" w:lineRule="auto"/>
      </w:pPr>
      <w:bookmarkStart w:id="8" w:name="a_1_4_drift_parameters_by_sensor_node"/>
      <w:r>
        <w:rPr>
          <w:b/>
          <w:sz w:val="33"/>
        </w:rPr>
        <w:t>A.1.4 Drift Parameters by Sensor Node</w:t>
      </w:r>
      <w:bookmarkEnd w:id="8"/>
    </w:p>
    <w:tbl>
      <w:tblPr>
        <w:tblStyle w:val="NormalGrid"/>
        <w:tblW w:w="0" w:type="auto"/>
        <w:jc w:val="center"/>
        <w:tblCellSpacing w:w="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Look w:val="04A0" w:firstRow="1" w:lastRow="0" w:firstColumn="1" w:lastColumn="0" w:noHBand="0" w:noVBand="1"/>
      </w:tblPr>
      <w:tblGrid>
        <w:gridCol w:w="905"/>
        <w:gridCol w:w="1229"/>
        <w:gridCol w:w="974"/>
        <w:gridCol w:w="1558"/>
        <w:gridCol w:w="1005"/>
        <w:gridCol w:w="1542"/>
        <w:gridCol w:w="1421"/>
      </w:tblGrid>
      <w:tr w:rsidR="00A461FC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:rsidR="00A461FC" w:rsidRDefault="00D11E79">
            <w:r>
              <w:lastRenderedPageBreak/>
              <w:t>Node ID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Site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rPr>
                <w:rFonts w:eastAsia="Georgia" w:hAnsi="Georgia" w:cs="Georgia"/>
              </w:rPr>
              <w:t>α_T (°C)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rPr>
                <w:rFonts w:eastAsia="Georgia" w:hAnsi="Georgia" w:cs="Georgia"/>
              </w:rPr>
              <w:t>β_T (°C/month)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rPr>
                <w:rFonts w:eastAsia="Georgia" w:hAnsi="Georgia" w:cs="Georgia"/>
              </w:rPr>
              <w:t>α_RH (%)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rPr>
                <w:rFonts w:eastAsia="Georgia" w:hAnsi="Georgia" w:cs="Georgia"/>
              </w:rPr>
              <w:t>β_RH (%/month)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Replaced?</w:t>
            </w:r>
          </w:p>
        </w:tc>
      </w:tr>
      <w:tr w:rsidR="00A461FC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LS01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Lawang Sewu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+0.12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+0.008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-1.2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-0.15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No</w:t>
            </w:r>
          </w:p>
        </w:tc>
      </w:tr>
      <w:tr w:rsidR="00A461FC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LS02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Lawang Sewu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-0.08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+0.012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+0.8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-0.22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No</w:t>
            </w:r>
          </w:p>
        </w:tc>
      </w:tr>
      <w:tr w:rsidR="00A461FC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LS03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Lawang Sewu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+0.15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+0.005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-0.5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-0.18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No</w:t>
            </w:r>
          </w:p>
        </w:tc>
      </w:tr>
      <w:tr w:rsidR="00A461FC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LS04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Lawang Sewu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-0.05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+0.020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+1.5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-0.35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Yes (Month 9)</w:t>
            </w:r>
          </w:p>
        </w:tc>
      </w:tr>
      <w:tr w:rsidR="00A461FC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LS05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Lawang Sewu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+0.10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+0.006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-0.8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-0.12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No</w:t>
            </w:r>
          </w:p>
        </w:tc>
      </w:tr>
      <w:tr w:rsidR="00A461FC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LS06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Lawang Sewu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-0.12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+0.015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+1.2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-0.28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No</w:t>
            </w:r>
          </w:p>
        </w:tc>
      </w:tr>
      <w:tr w:rsidR="00A461FC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LS07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Lawang Sewu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+0.08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+0.009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-1.5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-0.20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No</w:t>
            </w:r>
          </w:p>
        </w:tc>
      </w:tr>
      <w:tr w:rsidR="00A461FC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LS08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Lawang Sewu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0.00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+0.022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+2.0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-0.40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Yes (Month 10)</w:t>
            </w:r>
          </w:p>
        </w:tc>
      </w:tr>
      <w:tr w:rsidR="00A461FC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PJ01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Pasar Johar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+0.06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+0.010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-0.3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-0.18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No</w:t>
            </w:r>
          </w:p>
        </w:tc>
      </w:tr>
      <w:tr w:rsidR="00A461FC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PJ02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Pasar Johar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-0.10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+0.008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+0.5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-0.15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No</w:t>
            </w:r>
          </w:p>
        </w:tc>
      </w:tr>
      <w:tr w:rsidR="00A461FC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PJ03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Pasar Johar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+0.18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+0.005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-1.8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-0.22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No</w:t>
            </w:r>
          </w:p>
        </w:tc>
      </w:tr>
      <w:tr w:rsidR="00A461FC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PJ04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Pasar Johar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-0.15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+0.018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+1.8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-0.32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Yes (Month 8)</w:t>
            </w:r>
          </w:p>
        </w:tc>
      </w:tr>
      <w:tr w:rsidR="00A461FC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TS01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Tawang Station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+0.04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+0.007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-0.2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-0.10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No</w:t>
            </w:r>
          </w:p>
        </w:tc>
      </w:tr>
      <w:tr w:rsidR="00A461FC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TS02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Tawang Station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-0.06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+0.011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+0.3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-0.14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No</w:t>
            </w:r>
          </w:p>
        </w:tc>
      </w:tr>
      <w:tr w:rsidR="00A461FC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TS03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Tawang Station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+0.20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+0.004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-1.0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-0.20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No</w:t>
            </w:r>
          </w:p>
        </w:tc>
      </w:tr>
      <w:tr w:rsidR="00A461FC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TS04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Tawang Station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-0.18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+0.016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+1.0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-0.30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No</w:t>
            </w:r>
          </w:p>
        </w:tc>
      </w:tr>
    </w:tbl>
    <w:p w:rsidR="00A461FC" w:rsidRDefault="00A461FC"/>
    <w:p w:rsidR="00A461FC" w:rsidRDefault="00D11E79">
      <w:pPr>
        <w:spacing w:after="220"/>
      </w:pPr>
      <w:r>
        <w:rPr>
          <w:i/>
        </w:rPr>
        <w:t xml:space="preserve">Note: </w:t>
      </w:r>
      <w:r>
        <w:rPr>
          <w:i/>
        </w:rPr>
        <w:t>α</w:t>
      </w:r>
      <w:r>
        <w:rPr>
          <w:i/>
        </w:rPr>
        <w:t xml:space="preserve"> values represent initial offsets at deployment (Month 0). </w:t>
      </w:r>
      <w:r>
        <w:rPr>
          <w:i/>
        </w:rPr>
        <w:t>β</w:t>
      </w:r>
      <w:r>
        <w:rPr>
          <w:i/>
        </w:rPr>
        <w:t xml:space="preserve"> values represent drift rates. Negative </w:t>
      </w:r>
      <w:r>
        <w:rPr>
          <w:i/>
        </w:rPr>
        <w:t>β</w:t>
      </w:r>
      <w:r>
        <w:rPr>
          <w:i/>
        </w:rPr>
        <w:t>_RH indicates sensor reading increasing relative to reference (underes</w:t>
      </w:r>
      <w:r>
        <w:rPr>
          <w:i/>
        </w:rPr>
        <w:t>timating humidity).</w:t>
      </w:r>
    </w:p>
    <w:p w:rsidR="00A461FC" w:rsidRDefault="00D11E79">
      <w:pPr>
        <w:spacing w:before="240" w:line="271" w:lineRule="auto"/>
      </w:pPr>
      <w:bookmarkStart w:id="9" w:name="a_2_linearity_assumption_validation"/>
      <w:r>
        <w:rPr>
          <w:b/>
          <w:sz w:val="42"/>
        </w:rPr>
        <w:lastRenderedPageBreak/>
        <w:t>A.2 Linearity Assumption Validation</w:t>
      </w:r>
      <w:bookmarkEnd w:id="9"/>
    </w:p>
    <w:p w:rsidR="00A461FC" w:rsidRDefault="00D11E79">
      <w:pPr>
        <w:spacing w:before="240" w:line="271" w:lineRule="auto"/>
      </w:pPr>
      <w:bookmarkStart w:id="10" w:name="a_2_1_rationale"/>
      <w:r>
        <w:rPr>
          <w:b/>
          <w:sz w:val="33"/>
        </w:rPr>
        <w:t>A.2.1 Rationale</w:t>
      </w:r>
      <w:bookmarkEnd w:id="10"/>
    </w:p>
    <w:p w:rsidR="00A461FC" w:rsidRDefault="00D11E79">
      <w:pPr>
        <w:spacing w:after="220"/>
      </w:pPr>
      <w:r>
        <w:t>The linear drift correction model assumes that sensor drift is constant over time. To validate this assumption, we compared the linear model against a quadratic model:</w:t>
      </w:r>
    </w:p>
    <w:p w:rsidR="00A461FC" w:rsidRDefault="00D11E79">
      <w:pPr>
        <w:spacing w:after="220"/>
      </w:pPr>
      <m:oMathPara>
        <m:oMath>
          <m:r>
            <m:rPr>
              <m:sty m:val="p"/>
            </m:rPr>
            <w:rPr>
              <w:rFonts w:ascii="Cambria Math" w:hAnsi="Cambria Math"/>
            </w:rPr>
            <m:t>Δ(</m:t>
          </m:r>
          <m:r>
            <w:rPr>
              <w:rFonts w:ascii="Cambria Math" w:hAnsi="Cambria Math"/>
            </w:rPr>
            <m:t>t</m:t>
          </m:r>
          <m:r>
            <m:rPr>
              <m:sty m:val="p"/>
            </m:rPr>
            <w:rPr>
              <w:rFonts w:ascii="Cambria Math" w:hAnsi="Cambria Math"/>
            </w:rPr>
            <m:t>)=</m:t>
          </m:r>
          <m:r>
            <w:rPr>
              <w:rFonts w:ascii="Cambria Math" w:hAnsi="Cambria Math"/>
            </w:rPr>
            <m:t>α</m:t>
          </m:r>
          <m:r>
            <m:rPr>
              <m:sty m:val="p"/>
            </m:rPr>
            <w:rPr>
              <w:rFonts w:ascii="Cambria Math" w:hAnsi="Cambria Math"/>
            </w:rPr>
            <m:t>+</m:t>
          </m:r>
          <m:r>
            <w:rPr>
              <w:rFonts w:ascii="Cambria Math" w:hAnsi="Cambria Math"/>
            </w:rPr>
            <m:t>βt</m:t>
          </m:r>
          <m:r>
            <m:rPr>
              <m:sty m:val="p"/>
            </m:rPr>
            <w:rPr>
              <w:rFonts w:ascii="Cambria Math" w:hAnsi="Cambria Math"/>
            </w:rPr>
            <m:t>+</m:t>
          </m:r>
          <m:r>
            <w:rPr>
              <w:rFonts w:ascii="Cambria Math" w:hAnsi="Cambria Math"/>
            </w:rPr>
            <m:t>γ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t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</w:rPr>
                <m:t>2</m:t>
              </m:r>
            </m:sup>
          </m:sSup>
        </m:oMath>
      </m:oMathPara>
    </w:p>
    <w:p w:rsidR="00A461FC" w:rsidRDefault="00D11E79">
      <w:pPr>
        <w:spacing w:before="240" w:line="271" w:lineRule="auto"/>
      </w:pPr>
      <w:bookmarkStart w:id="11" w:name="a_2_2_model_comparison"/>
      <w:r>
        <w:rPr>
          <w:b/>
          <w:sz w:val="33"/>
        </w:rPr>
        <w:t>A.2.2 Model Comparison</w:t>
      </w:r>
      <w:bookmarkEnd w:id="11"/>
    </w:p>
    <w:tbl>
      <w:tblPr>
        <w:tblStyle w:val="NormalGrid"/>
        <w:tblW w:w="0" w:type="auto"/>
        <w:jc w:val="center"/>
        <w:tblCellSpacing w:w="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Look w:val="04A0" w:firstRow="1" w:lastRow="0" w:firstColumn="1" w:lastColumn="0" w:noHBand="0" w:noVBand="1"/>
      </w:tblPr>
      <w:tblGrid>
        <w:gridCol w:w="1280"/>
        <w:gridCol w:w="1459"/>
        <w:gridCol w:w="1793"/>
        <w:gridCol w:w="916"/>
        <w:gridCol w:w="1259"/>
        <w:gridCol w:w="1927"/>
      </w:tblGrid>
      <w:tr w:rsidR="00A461FC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Sensor Node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rPr>
                <w:rFonts w:eastAsia="Georgia" w:hAnsi="Georgia" w:cs="Georgia"/>
              </w:rPr>
              <w:t>Linear Model R²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rPr>
                <w:rFonts w:eastAsia="Georgia" w:hAnsi="Georgia" w:cs="Georgia"/>
              </w:rPr>
              <w:t>Quadratic Model R²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rPr>
                <w:rFonts w:eastAsia="Georgia" w:hAnsi="Georgia" w:cs="Georgia"/>
              </w:rPr>
              <w:t>ΔR²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F-test p-value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Linearity Supported?</w:t>
            </w:r>
          </w:p>
        </w:tc>
      </w:tr>
      <w:tr w:rsidR="00A461FC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LS04 (T)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0.94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0.95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+0.01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0.42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Yes</w:t>
            </w:r>
          </w:p>
        </w:tc>
      </w:tr>
      <w:tr w:rsidR="00A461FC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LS04 (RH)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0.91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0.93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+0.02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0.38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Yes</w:t>
            </w:r>
          </w:p>
        </w:tc>
      </w:tr>
      <w:tr w:rsidR="00A461FC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LS08 (T)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0.93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0.94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+0.01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0.51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Yes</w:t>
            </w:r>
          </w:p>
        </w:tc>
      </w:tr>
      <w:tr w:rsidR="00A461FC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LS08 (RH)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0.90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0.92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+0.02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0.44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Yes</w:t>
            </w:r>
          </w:p>
        </w:tc>
      </w:tr>
      <w:tr w:rsidR="00A461FC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PJ04 (T)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0.92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0.93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+0.01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0.48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Yes</w:t>
            </w:r>
          </w:p>
        </w:tc>
      </w:tr>
      <w:tr w:rsidR="00A461FC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PJ04 (RH)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0.89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0.91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+0.02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0.41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Yes</w:t>
            </w:r>
          </w:p>
        </w:tc>
      </w:tr>
    </w:tbl>
    <w:p w:rsidR="00A461FC" w:rsidRDefault="00A461FC"/>
    <w:p w:rsidR="00A461FC" w:rsidRDefault="00D11E79">
      <w:pPr>
        <w:spacing w:after="220"/>
      </w:pPr>
      <w:r>
        <w:rPr>
          <w:b/>
        </w:rPr>
        <w:t>Conclusion:</w:t>
      </w:r>
      <w:r>
        <w:rPr>
          <w:rFonts w:eastAsia="Georgia" w:hAnsi="Georgia" w:cs="Georgia"/>
        </w:rPr>
        <w:t xml:space="preserve"> The linear model provides an adequate fit (R² &gt; 0.89 for all sensors). The quadratic term does not significantly improve fit (p &gt; 0.05 for all F-tests), confirming the linearity assumption.</w:t>
      </w:r>
    </w:p>
    <w:p w:rsidR="00A461FC" w:rsidRDefault="00D11E79">
      <w:pPr>
        <w:spacing w:before="240" w:line="271" w:lineRule="auto"/>
      </w:pPr>
      <w:bookmarkStart w:id="12" w:name="a_2_3_residual_analysis"/>
      <w:r>
        <w:rPr>
          <w:b/>
          <w:sz w:val="33"/>
        </w:rPr>
        <w:t>A.2.3 Residual Analysis</w:t>
      </w:r>
      <w:bookmarkEnd w:id="12"/>
    </w:p>
    <w:p w:rsidR="00A461FC" w:rsidRDefault="00D11E79">
      <w:pPr>
        <w:spacing w:after="220"/>
      </w:pPr>
      <w:r>
        <w:t>For each sensor, residuals from the linea</w:t>
      </w:r>
      <w:r>
        <w:t>r model (observed - predicted) were calculated:</w:t>
      </w:r>
    </w:p>
    <w:p w:rsidR="00A461FC" w:rsidRDefault="00D11E79">
      <w:pPr>
        <w:numPr>
          <w:ilvl w:val="0"/>
          <w:numId w:val="5"/>
        </w:numPr>
      </w:pPr>
      <w:r>
        <w:rPr>
          <w:b/>
        </w:rPr>
        <w:t>Mean residual (</w:t>
      </w:r>
      <w:r>
        <w:rPr>
          <w:b/>
        </w:rPr>
        <w:t>±</w:t>
      </w:r>
      <w:r>
        <w:rPr>
          <w:b/>
        </w:rPr>
        <w:t xml:space="preserve"> SD):</w:t>
      </w:r>
      <w:r>
        <w:rPr>
          <w:rFonts w:eastAsia="Georgia" w:hAnsi="Georgia" w:cs="Georgia"/>
        </w:rPr>
        <w:t xml:space="preserve"> 0.02°C ± 0.08°C, 0.15% RH ± 0.35% RH</w:t>
      </w:r>
    </w:p>
    <w:p w:rsidR="00A461FC" w:rsidRDefault="00D11E79">
      <w:pPr>
        <w:numPr>
          <w:ilvl w:val="0"/>
          <w:numId w:val="5"/>
        </w:numPr>
      </w:pPr>
      <w:r>
        <w:rPr>
          <w:b/>
        </w:rPr>
        <w:t>Maximum residual:</w:t>
      </w:r>
      <w:r>
        <w:rPr>
          <w:rFonts w:eastAsia="Georgia" w:hAnsi="Georgia" w:cs="Georgia"/>
        </w:rPr>
        <w:t xml:space="preserve"> 0.18°C, 0.85% RH</w:t>
      </w:r>
    </w:p>
    <w:p w:rsidR="00A461FC" w:rsidRDefault="00D11E79">
      <w:pPr>
        <w:numPr>
          <w:ilvl w:val="0"/>
          <w:numId w:val="5"/>
        </w:numPr>
      </w:pPr>
      <w:r>
        <w:rPr>
          <w:b/>
        </w:rPr>
        <w:t>No systematic pattern</w:t>
      </w:r>
      <w:r>
        <w:t xml:space="preserve"> observed in residual plots (random scatter around zero)</w:t>
      </w:r>
    </w:p>
    <w:p w:rsidR="00A461FC" w:rsidRDefault="00D11E79">
      <w:pPr>
        <w:spacing w:before="240" w:line="271" w:lineRule="auto"/>
      </w:pPr>
      <w:bookmarkStart w:id="13" w:name="a_2_4_sensitivity_analysis"/>
      <w:r>
        <w:rPr>
          <w:b/>
          <w:sz w:val="33"/>
        </w:rPr>
        <w:t>A.2.4 Sensitivity Analysis</w:t>
      </w:r>
      <w:bookmarkEnd w:id="13"/>
    </w:p>
    <w:p w:rsidR="00A461FC" w:rsidRDefault="00D11E79">
      <w:pPr>
        <w:spacing w:after="220"/>
      </w:pPr>
      <w:r>
        <w:t>To assess the impact of the drift correction on the HSF composite, we compared HSF values with and without drift correction:</w:t>
      </w:r>
    </w:p>
    <w:tbl>
      <w:tblPr>
        <w:tblStyle w:val="NormalGrid"/>
        <w:tblW w:w="0" w:type="auto"/>
        <w:jc w:val="center"/>
        <w:tblCellSpacing w:w="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Look w:val="04A0" w:firstRow="1" w:lastRow="0" w:firstColumn="1" w:lastColumn="0" w:noHBand="0" w:noVBand="1"/>
      </w:tblPr>
      <w:tblGrid>
        <w:gridCol w:w="1802"/>
        <w:gridCol w:w="2736"/>
        <w:gridCol w:w="2481"/>
        <w:gridCol w:w="1615"/>
      </w:tblGrid>
      <w:tr w:rsidR="00A461FC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Site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Mean HSF (Uncorrected)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Mean HSF (Corrected)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Difference</w:t>
            </w:r>
          </w:p>
        </w:tc>
      </w:tr>
      <w:tr w:rsidR="00A461FC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:rsidR="00A461FC" w:rsidRDefault="00D11E79">
            <w:r>
              <w:lastRenderedPageBreak/>
              <w:t>Lawang Sewu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3.82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3.75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-0.07 (-1.8%)</w:t>
            </w:r>
          </w:p>
        </w:tc>
      </w:tr>
      <w:tr w:rsidR="00A461FC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Pasar Johar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3.95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3.88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-0.07 (-1.8%)</w:t>
            </w:r>
          </w:p>
        </w:tc>
      </w:tr>
      <w:tr w:rsidR="00A461FC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Tawang Station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3.41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3.35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-0.06 (-1.8%)</w:t>
            </w:r>
          </w:p>
        </w:tc>
      </w:tr>
    </w:tbl>
    <w:p w:rsidR="00A461FC" w:rsidRDefault="00A461FC"/>
    <w:p w:rsidR="00A461FC" w:rsidRDefault="00D11E79">
      <w:pPr>
        <w:spacing w:after="220"/>
      </w:pPr>
      <w:r>
        <w:rPr>
          <w:b/>
        </w:rPr>
        <w:t>Interpretation:</w:t>
      </w:r>
      <w:r>
        <w:rPr>
          <w:rFonts w:eastAsia="Georgia" w:hAnsi="Georgia" w:cs="Georgia"/>
        </w:rPr>
        <w:t xml:space="preserve"> The drift correction has a small but systematic effect (~1.8% reduction in HSF), primarily affecting the humidity-dominated sensors. This confirms that while drift correction is necessary, the overall conclusions are robust to the correction method.</w:t>
      </w:r>
    </w:p>
    <w:p w:rsidR="00A461FC" w:rsidRDefault="00D11E79">
      <w:r>
        <w:rPr>
          <w:noProof/>
        </w:rPr>
        <w:pict>
          <v:rect id="_x0000_i1026" alt="" style="width:6in;height:.05pt;mso-width-percent:0;mso-height-percent:0;mso-width-percent:0;mso-height-percent:0" o:hralign="center" o:hrstd="t" o:hr="t"/>
        </w:pict>
      </w:r>
    </w:p>
    <w:p w:rsidR="00A461FC" w:rsidRDefault="00D11E79">
      <w:pPr>
        <w:spacing w:before="240" w:line="288" w:lineRule="auto"/>
      </w:pPr>
      <w:bookmarkStart w:id="14" w:name="appendix_b_missing_data_analysis_7a41e1"/>
      <w:r>
        <w:rPr>
          <w:b/>
          <w:sz w:val="56"/>
        </w:rPr>
        <w:t>App</w:t>
      </w:r>
      <w:r>
        <w:rPr>
          <w:b/>
          <w:sz w:val="56"/>
        </w:rPr>
        <w:t>endix B: Missing Data Analysis and Interpolation Methodology</w:t>
      </w:r>
      <w:bookmarkEnd w:id="14"/>
    </w:p>
    <w:p w:rsidR="00A461FC" w:rsidRDefault="00D11E79">
      <w:pPr>
        <w:spacing w:before="240" w:line="271" w:lineRule="auto"/>
      </w:pPr>
      <w:bookmarkStart w:id="15" w:name="b_1_missing_data_overview"/>
      <w:r>
        <w:rPr>
          <w:b/>
          <w:sz w:val="42"/>
        </w:rPr>
        <w:t>B.1 Missing Data Overview</w:t>
      </w:r>
      <w:bookmarkEnd w:id="15"/>
    </w:p>
    <w:p w:rsidR="00A461FC" w:rsidRDefault="00D11E79">
      <w:pPr>
        <w:spacing w:before="240" w:line="271" w:lineRule="auto"/>
      </w:pPr>
      <w:bookmarkStart w:id="16" w:name="b_1_1_data_completeness_by_site"/>
      <w:r>
        <w:rPr>
          <w:b/>
          <w:sz w:val="33"/>
        </w:rPr>
        <w:t>B.1.1 Data Completeness by Site</w:t>
      </w:r>
      <w:bookmarkEnd w:id="16"/>
    </w:p>
    <w:tbl>
      <w:tblPr>
        <w:tblStyle w:val="NormalGrid"/>
        <w:tblW w:w="0" w:type="auto"/>
        <w:jc w:val="center"/>
        <w:tblCellSpacing w:w="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Look w:val="04A0" w:firstRow="1" w:lastRow="0" w:firstColumn="1" w:lastColumn="0" w:noHBand="0" w:noVBand="1"/>
      </w:tblPr>
      <w:tblGrid>
        <w:gridCol w:w="1732"/>
        <w:gridCol w:w="2161"/>
        <w:gridCol w:w="1968"/>
        <w:gridCol w:w="1088"/>
        <w:gridCol w:w="1685"/>
      </w:tblGrid>
      <w:tr w:rsidR="00A461FC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Site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Total Expected Observations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Complete Observations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Missing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Completeness</w:t>
            </w:r>
          </w:p>
        </w:tc>
      </w:tr>
      <w:tr w:rsidR="00A461FC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Lawang Sewu (8 nodes)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258,816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254,675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4,141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98.4%</w:t>
            </w:r>
          </w:p>
        </w:tc>
      </w:tr>
      <w:tr w:rsidR="00A461FC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Pasar Johar (4 nodes)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129,408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127,336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2,072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98.4%</w:t>
            </w:r>
          </w:p>
        </w:tc>
      </w:tr>
      <w:tr w:rsidR="00A461FC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Tawang Station (4 nodes)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129,408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127,336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2,072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98.4%</w:t>
            </w:r>
          </w:p>
        </w:tc>
      </w:tr>
      <w:tr w:rsidR="00A461FC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:rsidR="00A461FC" w:rsidRDefault="00D11E79">
            <w:r>
              <w:rPr>
                <w:b/>
              </w:rPr>
              <w:t>Total (16 nodes)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rPr>
                <w:b/>
              </w:rPr>
              <w:t>517,632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rPr>
                <w:b/>
              </w:rPr>
              <w:t>509,347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rPr>
                <w:b/>
              </w:rPr>
              <w:t>8,285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rPr>
                <w:b/>
              </w:rPr>
              <w:t>98.4%</w:t>
            </w:r>
          </w:p>
        </w:tc>
      </w:tr>
    </w:tbl>
    <w:p w:rsidR="00A461FC" w:rsidRDefault="00A461FC"/>
    <w:p w:rsidR="00A461FC" w:rsidRDefault="00D11E79">
      <w:pPr>
        <w:spacing w:before="240" w:line="271" w:lineRule="auto"/>
      </w:pPr>
      <w:bookmarkStart w:id="17" w:name="b_1_2_missing_data_distribution_by_month"/>
      <w:r>
        <w:rPr>
          <w:b/>
          <w:sz w:val="33"/>
        </w:rPr>
        <w:t>B.1.2 Missing Data Distribution by Month</w:t>
      </w:r>
      <w:bookmarkEnd w:id="17"/>
    </w:p>
    <w:tbl>
      <w:tblPr>
        <w:tblStyle w:val="NormalGrid"/>
        <w:tblW w:w="0" w:type="auto"/>
        <w:jc w:val="center"/>
        <w:tblCellSpacing w:w="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Look w:val="04A0" w:firstRow="1" w:lastRow="0" w:firstColumn="1" w:lastColumn="0" w:noHBand="0" w:noVBand="1"/>
      </w:tblPr>
      <w:tblGrid>
        <w:gridCol w:w="1927"/>
        <w:gridCol w:w="2423"/>
        <w:gridCol w:w="1303"/>
        <w:gridCol w:w="2828"/>
      </w:tblGrid>
      <w:tr w:rsidR="00A461FC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Month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Missing Observations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% of Total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Primary Cause</w:t>
            </w:r>
          </w:p>
        </w:tc>
      </w:tr>
      <w:tr w:rsidR="00A461FC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March 2025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412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5.0%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Initial deployment</w:t>
            </w:r>
          </w:p>
        </w:tc>
      </w:tr>
      <w:tr w:rsidR="00A461FC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:rsidR="00A461FC" w:rsidRDefault="00D11E79">
            <w:r>
              <w:lastRenderedPageBreak/>
              <w:t>April 2025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38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0.5%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Normal</w:t>
            </w:r>
          </w:p>
        </w:tc>
      </w:tr>
      <w:tr w:rsidR="00A461FC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May 2025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245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3.0%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Sensor LS04 replacement</w:t>
            </w:r>
          </w:p>
        </w:tc>
      </w:tr>
      <w:tr w:rsidR="00A461FC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June 2025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28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0.3%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Normal</w:t>
            </w:r>
          </w:p>
        </w:tc>
      </w:tr>
      <w:tr w:rsidR="00A461FC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July 2025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356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4.3%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Sensor PJ04 replacement</w:t>
            </w:r>
          </w:p>
        </w:tc>
      </w:tr>
      <w:tr w:rsidR="00A461FC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August 2025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42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0.5%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Normal</w:t>
            </w:r>
          </w:p>
        </w:tc>
      </w:tr>
      <w:tr w:rsidR="00A461FC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September 2025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31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0.4%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Normal</w:t>
            </w:r>
          </w:p>
        </w:tc>
      </w:tr>
      <w:tr w:rsidR="00A461FC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October 2025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412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5.0%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Sensor LS08 replacement</w:t>
            </w:r>
          </w:p>
        </w:tc>
      </w:tr>
      <w:tr w:rsidR="00A461FC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November 2025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22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0.3%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Normal</w:t>
            </w:r>
          </w:p>
        </w:tc>
      </w:tr>
      <w:tr w:rsidR="00A461FC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December 2025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18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0.2%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Normal</w:t>
            </w:r>
          </w:p>
        </w:tc>
      </w:tr>
      <w:tr w:rsidR="00A461FC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January 2026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25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0.3%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Normal</w:t>
            </w:r>
          </w:p>
        </w:tc>
      </w:tr>
      <w:tr w:rsidR="00A461FC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February 2026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20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0.2%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Normal</w:t>
            </w:r>
          </w:p>
        </w:tc>
      </w:tr>
      <w:tr w:rsidR="00A461FC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March 2026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1,826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22.0%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Wi-Fi outage (3 days)</w:t>
            </w:r>
          </w:p>
        </w:tc>
      </w:tr>
      <w:tr w:rsidR="00A461FC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April 2026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18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0.2%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Normal</w:t>
            </w:r>
          </w:p>
        </w:tc>
      </w:tr>
      <w:tr w:rsidR="00A461FC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:rsidR="00A461FC" w:rsidRDefault="00D11E79">
            <w:r>
              <w:rPr>
                <w:b/>
              </w:rPr>
              <w:t>Total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rPr>
                <w:b/>
              </w:rPr>
              <w:t>8,285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rPr>
                <w:b/>
              </w:rPr>
              <w:t>100%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-</w:t>
            </w:r>
          </w:p>
        </w:tc>
      </w:tr>
    </w:tbl>
    <w:p w:rsidR="00A461FC" w:rsidRDefault="00A461FC"/>
    <w:p w:rsidR="00A461FC" w:rsidRDefault="00D11E79">
      <w:pPr>
        <w:spacing w:before="240" w:line="271" w:lineRule="auto"/>
      </w:pPr>
      <w:bookmarkStart w:id="18" w:name="b_1_3_missing_data_mechanism_analysis"/>
      <w:r>
        <w:rPr>
          <w:b/>
          <w:sz w:val="33"/>
        </w:rPr>
        <w:t>B.1.3 Missing Data Mechanism Analysis</w:t>
      </w:r>
      <w:bookmarkEnd w:id="18"/>
    </w:p>
    <w:p w:rsidR="00A461FC" w:rsidRDefault="00D11E79">
      <w:pPr>
        <w:spacing w:after="220"/>
      </w:pPr>
      <w:r>
        <w:t>To determine whether missing data were Missing Completely at Random (MCAR), Missing at Random (MAR), or Missing Not at Random (MNAR), we performed:</w:t>
      </w:r>
    </w:p>
    <w:p w:rsidR="00A461FC" w:rsidRDefault="00D11E79">
      <w:pPr>
        <w:spacing w:after="220"/>
      </w:pPr>
      <w:r>
        <w:rPr>
          <w:b/>
        </w:rPr>
        <w:t>1. Little's MCAR Test:</w:t>
      </w:r>
    </w:p>
    <w:p w:rsidR="00A461FC" w:rsidRDefault="00D11E79">
      <w:pPr>
        <w:numPr>
          <w:ilvl w:val="0"/>
          <w:numId w:val="6"/>
        </w:numPr>
      </w:pPr>
      <w:r>
        <w:rPr>
          <w:rFonts w:eastAsia="Georgia" w:hAnsi="Georgia" w:cs="Georgia"/>
        </w:rPr>
        <w:t>χ² = 142.3, df = 128, p = 0.18</w:t>
      </w:r>
    </w:p>
    <w:p w:rsidR="00A461FC" w:rsidRDefault="00D11E79">
      <w:pPr>
        <w:numPr>
          <w:ilvl w:val="0"/>
          <w:numId w:val="6"/>
        </w:numPr>
      </w:pPr>
      <w:r>
        <w:rPr>
          <w:b/>
        </w:rPr>
        <w:t>Interpretation:</w:t>
      </w:r>
      <w:r>
        <w:t xml:space="preserve"> </w:t>
      </w:r>
      <w:r>
        <w:t>p &gt; 0.05, suggesting MCAR cannot be rejected. Missing data appear to be random.</w:t>
      </w:r>
    </w:p>
    <w:p w:rsidR="00A461FC" w:rsidRDefault="00D11E79">
      <w:pPr>
        <w:spacing w:after="220"/>
      </w:pPr>
      <w:r>
        <w:rPr>
          <w:b/>
        </w:rPr>
        <w:t>2. Correlation with Environmental Variables:</w:t>
      </w:r>
    </w:p>
    <w:p w:rsidR="00A461FC" w:rsidRDefault="00D11E79">
      <w:pPr>
        <w:numPr>
          <w:ilvl w:val="0"/>
          <w:numId w:val="7"/>
        </w:numPr>
      </w:pPr>
      <w:r>
        <w:t>Missing indicator vs. RH: r = -0.02, p = 0.42</w:t>
      </w:r>
    </w:p>
    <w:p w:rsidR="00A461FC" w:rsidRDefault="00D11E79">
      <w:pPr>
        <w:numPr>
          <w:ilvl w:val="0"/>
          <w:numId w:val="7"/>
        </w:numPr>
      </w:pPr>
      <w:r>
        <w:t>Missing indicator vs. Temperature: r = 0.01, p = 0.68</w:t>
      </w:r>
    </w:p>
    <w:p w:rsidR="00A461FC" w:rsidRDefault="00D11E79">
      <w:pPr>
        <w:numPr>
          <w:ilvl w:val="0"/>
          <w:numId w:val="7"/>
        </w:numPr>
      </w:pPr>
      <w:r>
        <w:rPr>
          <w:b/>
        </w:rPr>
        <w:t>Interpretation:</w:t>
      </w:r>
      <w:r>
        <w:t xml:space="preserve"> No significant </w:t>
      </w:r>
      <w:r>
        <w:t>correlation, supporting MCAR.</w:t>
      </w:r>
    </w:p>
    <w:p w:rsidR="00A461FC" w:rsidRDefault="00D11E79">
      <w:pPr>
        <w:spacing w:after="220"/>
      </w:pPr>
      <w:r>
        <w:rPr>
          <w:b/>
        </w:rPr>
        <w:t>3. Gap Duration Analysis:</w:t>
      </w:r>
    </w:p>
    <w:p w:rsidR="00A461FC" w:rsidRDefault="00D11E79">
      <w:pPr>
        <w:numPr>
          <w:ilvl w:val="0"/>
          <w:numId w:val="8"/>
        </w:numPr>
      </w:pPr>
      <w:r>
        <w:t>Mean gap length: 2.3 intervals (34.5 minutes)</w:t>
      </w:r>
    </w:p>
    <w:p w:rsidR="00A461FC" w:rsidRDefault="00D11E79">
      <w:pPr>
        <w:numPr>
          <w:ilvl w:val="0"/>
          <w:numId w:val="8"/>
        </w:numPr>
      </w:pPr>
      <w:r>
        <w:t>Median gap length: 1 interval (15 minutes)</w:t>
      </w:r>
    </w:p>
    <w:p w:rsidR="00A461FC" w:rsidRDefault="00D11E79">
      <w:pPr>
        <w:numPr>
          <w:ilvl w:val="0"/>
          <w:numId w:val="8"/>
        </w:numPr>
      </w:pPr>
      <w:r>
        <w:t>Maximum gap length: 6 intervals (90 minutes)</w:t>
      </w:r>
    </w:p>
    <w:p w:rsidR="00A461FC" w:rsidRDefault="00D11E79">
      <w:pPr>
        <w:numPr>
          <w:ilvl w:val="0"/>
          <w:numId w:val="8"/>
        </w:numPr>
      </w:pPr>
      <w:r>
        <w:rPr>
          <w:b/>
        </w:rPr>
        <w:t>Interpretation:</w:t>
      </w:r>
      <w:r>
        <w:rPr>
          <w:rFonts w:eastAsia="Georgia" w:hAnsi="Georgia" w:cs="Georgia"/>
        </w:rPr>
        <w:t xml:space="preserve"> Gaps are typically short (≤6 consecutive 15-minute intervals).</w:t>
      </w:r>
    </w:p>
    <w:p w:rsidR="00A461FC" w:rsidRDefault="00D11E79">
      <w:pPr>
        <w:spacing w:before="240" w:line="271" w:lineRule="auto"/>
      </w:pPr>
      <w:bookmarkStart w:id="19" w:name="b_2_interpolation_methodology"/>
      <w:r>
        <w:rPr>
          <w:b/>
          <w:sz w:val="42"/>
        </w:rPr>
        <w:lastRenderedPageBreak/>
        <w:t>B.2 Interpolation Methodology</w:t>
      </w:r>
      <w:bookmarkEnd w:id="19"/>
    </w:p>
    <w:p w:rsidR="00A461FC" w:rsidRDefault="00D11E79">
      <w:pPr>
        <w:spacing w:before="240" w:line="271" w:lineRule="auto"/>
      </w:pPr>
      <w:bookmarkStart w:id="20" w:name="b_2_1_method_selection"/>
      <w:r>
        <w:rPr>
          <w:b/>
          <w:sz w:val="33"/>
        </w:rPr>
        <w:t>B.2.1 Method Selection</w:t>
      </w:r>
      <w:bookmarkEnd w:id="20"/>
    </w:p>
    <w:p w:rsidR="00A461FC" w:rsidRDefault="00D11E79">
      <w:pPr>
        <w:spacing w:after="220"/>
      </w:pPr>
      <w:r>
        <w:t>Linear interpolation was selected based on the following criteria:</w:t>
      </w:r>
    </w:p>
    <w:tbl>
      <w:tblPr>
        <w:tblStyle w:val="NormalGrid"/>
        <w:tblW w:w="0" w:type="auto"/>
        <w:jc w:val="center"/>
        <w:tblCellSpacing w:w="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Look w:val="04A0" w:firstRow="1" w:lastRow="0" w:firstColumn="1" w:lastColumn="0" w:noHBand="0" w:noVBand="1"/>
      </w:tblPr>
      <w:tblGrid>
        <w:gridCol w:w="2789"/>
        <w:gridCol w:w="4662"/>
      </w:tblGrid>
      <w:tr w:rsidR="00A461FC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Criterion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Assessment</w:t>
            </w:r>
          </w:p>
        </w:tc>
      </w:tr>
      <w:tr w:rsidR="00A461FC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Gap length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rPr>
                <w:rFonts w:eastAsia="Georgia" w:hAnsi="Georgia" w:cs="Georgia"/>
              </w:rPr>
              <w:t>Typically ≤6 intervals (short gaps)</w:t>
            </w:r>
          </w:p>
        </w:tc>
      </w:tr>
      <w:tr w:rsidR="00A461FC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Data frequency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15-minute intervals (high frequency)</w:t>
            </w:r>
          </w:p>
        </w:tc>
      </w:tr>
      <w:tr w:rsidR="00A461FC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Signal characteristics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Smooth, gradual changes (no sudden jumps)</w:t>
            </w:r>
          </w:p>
        </w:tc>
      </w:tr>
      <w:tr w:rsidR="00A461FC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Computational simplicity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Low overhead</w:t>
            </w:r>
          </w:p>
        </w:tc>
      </w:tr>
      <w:tr w:rsidR="00A461FC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Performance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Adequate for short gaps</w:t>
            </w:r>
          </w:p>
        </w:tc>
      </w:tr>
    </w:tbl>
    <w:p w:rsidR="00A461FC" w:rsidRDefault="00A461FC"/>
    <w:p w:rsidR="00A461FC" w:rsidRDefault="00D11E79">
      <w:pPr>
        <w:spacing w:before="240" w:line="271" w:lineRule="auto"/>
      </w:pPr>
      <w:bookmarkStart w:id="21" w:name="b_2_2_interpolation_implementation"/>
      <w:r>
        <w:rPr>
          <w:b/>
          <w:sz w:val="33"/>
        </w:rPr>
        <w:t>B.2.2 Interpolation Implementation</w:t>
      </w:r>
      <w:bookmarkEnd w:id="21"/>
    </w:p>
    <w:p w:rsidR="00A461FC" w:rsidRDefault="00D11E79">
      <w:pPr>
        <w:spacing w:after="220"/>
      </w:pPr>
      <w:r>
        <w:t xml:space="preserve">For a gap from time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t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1</m:t>
            </m:r>
          </m:sub>
        </m:sSub>
      </m:oMath>
      <w:r>
        <w:t xml:space="preserve"> to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t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b>
        </m:sSub>
      </m:oMath>
      <w:r>
        <w:t xml:space="preserve"> with valid measurements </w:t>
      </w:r>
      <m:oMath>
        <m:r>
          <w:rPr>
            <w:rFonts w:ascii="Cambria Math" w:hAnsi="Cambria Math"/>
          </w:rPr>
          <m:t>y</m:t>
        </m:r>
        <m:r>
          <m:rPr>
            <m:sty m:val="p"/>
          </m:rPr>
          <w:rPr>
            <w:rFonts w:ascii="Cambria Math" w:hAnsi="Cambria Math"/>
          </w:rPr>
          <m:t>(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t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1</m:t>
            </m:r>
          </m:sub>
        </m:sSub>
        <m:r>
          <m:rPr>
            <m:sty m:val="p"/>
          </m:rPr>
          <w:rPr>
            <w:rFonts w:ascii="Cambria Math" w:hAnsi="Cambria Math"/>
          </w:rPr>
          <m:t>)</m:t>
        </m:r>
      </m:oMath>
      <w:r>
        <w:t xml:space="preserve"> and </w:t>
      </w:r>
      <m:oMath>
        <m:r>
          <w:rPr>
            <w:rFonts w:ascii="Cambria Math" w:hAnsi="Cambria Math"/>
          </w:rPr>
          <m:t>y</m:t>
        </m:r>
        <m:r>
          <m:rPr>
            <m:sty m:val="p"/>
          </m:rPr>
          <w:rPr>
            <w:rFonts w:ascii="Cambria Math" w:hAnsi="Cambria Math"/>
          </w:rPr>
          <m:t>(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t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b>
        </m:sSub>
        <m:r>
          <m:rPr>
            <m:sty m:val="p"/>
          </m:rPr>
          <w:rPr>
            <w:rFonts w:ascii="Cambria Math" w:hAnsi="Cambria Math"/>
          </w:rPr>
          <m:t>)</m:t>
        </m:r>
      </m:oMath>
      <w:r>
        <w:t>:</w:t>
      </w:r>
    </w:p>
    <w:p w:rsidR="00A461FC" w:rsidRDefault="00D11E79">
      <w:pPr>
        <w:spacing w:after="220"/>
      </w:pPr>
      <m:oMathPara>
        <m:oMath>
          <m:r>
            <w:rPr>
              <w:rFonts w:ascii="Cambria Math" w:hAnsi="Cambria Math"/>
            </w:rPr>
            <m:t>y</m:t>
          </m:r>
          <m:r>
            <m:rPr>
              <m:sty m:val="p"/>
            </m:rPr>
            <w:rPr>
              <w:rFonts w:ascii="Cambria Math" w:hAnsi="Cambria Math"/>
            </w:rPr>
            <m:t>(</m:t>
          </m:r>
          <m:r>
            <w:rPr>
              <w:rFonts w:ascii="Cambria Math" w:hAnsi="Cambria Math"/>
            </w:rPr>
            <m:t>t</m:t>
          </m:r>
          <m:r>
            <m:rPr>
              <m:sty m:val="p"/>
            </m:rPr>
            <w:rPr>
              <w:rFonts w:ascii="Cambria Math" w:hAnsi="Cambria Math"/>
            </w:rPr>
            <m:t>)=</m:t>
          </m:r>
          <m:r>
            <w:rPr>
              <w:rFonts w:ascii="Cambria Math" w:hAnsi="Cambria Math"/>
            </w:rPr>
            <m:t>y</m:t>
          </m:r>
          <m:r>
            <m:rPr>
              <m:sty m:val="p"/>
            </m:rPr>
            <w:rPr>
              <w:rFonts w:ascii="Cambria Math" w:hAnsi="Cambria Math"/>
            </w:rPr>
            <m:t>(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t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)+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y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(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2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</w:rPr>
                <m:t>)-</m:t>
              </m:r>
              <m:r>
                <w:rPr>
                  <w:rFonts w:ascii="Cambria Math" w:hAnsi="Cambria Math"/>
                </w:rPr>
                <m:t>y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(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1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</w:rPr>
                <m:t>)</m:t>
              </m:r>
            </m:num>
            <m:den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2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1</m:t>
                  </m:r>
                </m:sub>
              </m:sSub>
            </m:den>
          </m:f>
          <m:r>
            <m:rPr>
              <m:sty m:val="p"/>
            </m:rPr>
            <w:rPr>
              <w:rFonts w:ascii="Cambria Math" w:hAnsi="Cambria Math"/>
            </w:rPr>
            <m:t>×(</m:t>
          </m:r>
          <m:r>
            <w:rPr>
              <w:rFonts w:ascii="Cambria Math" w:hAnsi="Cambria Math"/>
            </w:rPr>
            <m:t>t</m:t>
          </m:r>
          <m:r>
            <m:rPr>
              <m:sty m:val="p"/>
            </m:rPr>
            <w:rPr>
              <w:rFonts w:ascii="Cambria Math" w:hAnsi="Cambria Math"/>
            </w:rPr>
            <m:t>-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t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)</m:t>
          </m:r>
        </m:oMath>
      </m:oMathPara>
    </w:p>
    <w:p w:rsidR="00A461FC" w:rsidRDefault="00D11E79">
      <w:pPr>
        <w:spacing w:after="220"/>
      </w:pPr>
      <w:r>
        <w:t xml:space="preserve">for all </w:t>
      </w:r>
      <m:oMath>
        <m:r>
          <w:rPr>
            <w:rFonts w:ascii="Cambria Math" w:hAnsi="Cambria Math"/>
          </w:rPr>
          <m:t>t</m:t>
        </m:r>
      </m:oMath>
      <w:r>
        <w:t xml:space="preserve"> such that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t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1</m:t>
            </m:r>
          </m:sub>
        </m:sSub>
        <m:r>
          <m:rPr>
            <m:sty m:val="p"/>
          </m:rPr>
          <w:rPr>
            <w:rFonts w:ascii="Cambria Math" w:hAnsi="Cambria Math"/>
          </w:rPr>
          <m:t>&lt;</m:t>
        </m:r>
        <m:r>
          <w:rPr>
            <w:rFonts w:ascii="Cambria Math" w:hAnsi="Cambria Math"/>
          </w:rPr>
          <m:t>t</m:t>
        </m:r>
        <m:r>
          <m:rPr>
            <m:sty m:val="p"/>
          </m:rPr>
          <w:rPr>
            <w:rFonts w:ascii="Cambria Math" w:hAnsi="Cambria Math"/>
          </w:rPr>
          <m:t>&lt;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t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b>
        </m:sSub>
      </m:oMath>
      <w:r>
        <w:t>.</w:t>
      </w:r>
    </w:p>
    <w:p w:rsidR="00A461FC" w:rsidRDefault="00D11E79">
      <w:pPr>
        <w:spacing w:before="240" w:line="271" w:lineRule="auto"/>
      </w:pPr>
      <w:bookmarkStart w:id="22" w:name="b_2_3_validation_of_interpolation"/>
      <w:r>
        <w:rPr>
          <w:b/>
          <w:sz w:val="33"/>
        </w:rPr>
        <w:t>B.2.3 Validation of Interpolation</w:t>
      </w:r>
      <w:bookmarkEnd w:id="22"/>
    </w:p>
    <w:p w:rsidR="00A461FC" w:rsidRDefault="00D11E79">
      <w:pPr>
        <w:spacing w:after="220"/>
      </w:pPr>
      <w:r>
        <w:t>To validate the interpolation method, we performed a cross-validation experiment:</w:t>
      </w:r>
    </w:p>
    <w:p w:rsidR="00A461FC" w:rsidRDefault="00D11E79">
      <w:pPr>
        <w:numPr>
          <w:ilvl w:val="0"/>
          <w:numId w:val="9"/>
        </w:numPr>
      </w:pPr>
      <w:r>
        <w:rPr>
          <w:b/>
        </w:rPr>
        <w:t>Procedure:</w:t>
      </w:r>
      <w:r>
        <w:t xml:space="preserve"> Randomly selected 10% of valid observations, treated them as "missing," and interpolated them.</w:t>
      </w:r>
    </w:p>
    <w:p w:rsidR="00A461FC" w:rsidRDefault="00D11E79">
      <w:pPr>
        <w:numPr>
          <w:ilvl w:val="0"/>
          <w:numId w:val="9"/>
        </w:numPr>
      </w:pPr>
      <w:r>
        <w:rPr>
          <w:b/>
        </w:rPr>
        <w:t>Results (aggregated across all nodes):</w:t>
      </w:r>
    </w:p>
    <w:tbl>
      <w:tblPr>
        <w:tblStyle w:val="NormalGrid"/>
        <w:tblW w:w="0" w:type="auto"/>
        <w:jc w:val="center"/>
        <w:tblCellSpacing w:w="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Look w:val="04A0" w:firstRow="1" w:lastRow="0" w:firstColumn="1" w:lastColumn="0" w:noHBand="0" w:noVBand="1"/>
      </w:tblPr>
      <w:tblGrid>
        <w:gridCol w:w="2716"/>
        <w:gridCol w:w="1591"/>
        <w:gridCol w:w="2110"/>
      </w:tblGrid>
      <w:tr w:rsidR="00A461FC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Metric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Temperature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Relative Humidity</w:t>
            </w:r>
          </w:p>
        </w:tc>
      </w:tr>
      <w:tr w:rsidR="00A461FC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Mean Error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rPr>
                <w:rFonts w:eastAsia="Georgia" w:hAnsi="Georgia" w:cs="Georgia"/>
              </w:rPr>
              <w:t>0.04°C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0.18% RH</w:t>
            </w:r>
          </w:p>
        </w:tc>
      </w:tr>
      <w:tr w:rsidR="00A461FC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Mean Absolute Error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rPr>
                <w:rFonts w:eastAsia="Georgia" w:hAnsi="Georgia" w:cs="Georgia"/>
              </w:rPr>
              <w:t>0.12°C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0.45% RH</w:t>
            </w:r>
          </w:p>
        </w:tc>
      </w:tr>
      <w:tr w:rsidR="00A461FC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Root Mean Square Error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rPr>
                <w:rFonts w:eastAsia="Georgia" w:hAnsi="Georgia" w:cs="Georgia"/>
              </w:rPr>
              <w:t>0.18°C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0.68% RH</w:t>
            </w:r>
          </w:p>
        </w:tc>
      </w:tr>
      <w:tr w:rsidR="00A461FC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95th Percentile Error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rPr>
                <w:rFonts w:eastAsia="Georgia" w:hAnsi="Georgia" w:cs="Georgia"/>
              </w:rPr>
              <w:t>0.32°C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1.20% RH</w:t>
            </w:r>
          </w:p>
        </w:tc>
      </w:tr>
    </w:tbl>
    <w:p w:rsidR="00A461FC" w:rsidRDefault="00A461FC"/>
    <w:p w:rsidR="00A461FC" w:rsidRDefault="00D11E79">
      <w:pPr>
        <w:spacing w:after="220"/>
      </w:pPr>
      <w:r>
        <w:rPr>
          <w:b/>
        </w:rPr>
        <w:t>Interpretation:</w:t>
      </w:r>
      <w:r>
        <w:rPr>
          <w:rFonts w:eastAsia="Georgia" w:hAnsi="Georgia" w:cs="Georgia"/>
        </w:rPr>
        <w:t xml:space="preserve"> The interpolation method introduces negligible error (&lt;0.2°C, &lt;0.7% RH), well within sensor accuracy limits (±0.5°C, ±2–5% RH).</w:t>
      </w:r>
    </w:p>
    <w:p w:rsidR="00A461FC" w:rsidRDefault="00D11E79">
      <w:pPr>
        <w:spacing w:before="240" w:line="271" w:lineRule="auto"/>
      </w:pPr>
      <w:bookmarkStart w:id="23" w:name="b_2_4_alternative_method_comparison"/>
      <w:r>
        <w:rPr>
          <w:b/>
          <w:sz w:val="33"/>
        </w:rPr>
        <w:t>B.2.4 Alternative Method Comparison</w:t>
      </w:r>
      <w:bookmarkEnd w:id="23"/>
    </w:p>
    <w:tbl>
      <w:tblPr>
        <w:tblStyle w:val="NormalGrid"/>
        <w:tblW w:w="0" w:type="auto"/>
        <w:jc w:val="center"/>
        <w:tblCellSpacing w:w="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Look w:val="04A0" w:firstRow="1" w:lastRow="0" w:firstColumn="1" w:lastColumn="0" w:noHBand="0" w:noVBand="1"/>
      </w:tblPr>
      <w:tblGrid>
        <w:gridCol w:w="2352"/>
        <w:gridCol w:w="1836"/>
        <w:gridCol w:w="1507"/>
        <w:gridCol w:w="1804"/>
        <w:gridCol w:w="1135"/>
      </w:tblGrid>
      <w:tr w:rsidR="00A461FC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:rsidR="00A461FC" w:rsidRDefault="00D11E79">
            <w:r>
              <w:lastRenderedPageBreak/>
              <w:t>Method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Temperature RMSE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Humidity RMSE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Computation Time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Selected</w:t>
            </w:r>
          </w:p>
        </w:tc>
      </w:tr>
      <w:tr w:rsidR="00A461FC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Linear Interpolation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rPr>
                <w:rFonts w:eastAsia="Georgia" w:hAnsi="Georgia" w:cs="Georgia"/>
              </w:rPr>
              <w:t>0.18°C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0.68% RH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Low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rPr>
                <w:rFonts w:eastAsia="Georgia" w:hAnsi="Georgia" w:cs="Georgia"/>
              </w:rPr>
              <w:t>✓</w:t>
            </w:r>
          </w:p>
        </w:tc>
      </w:tr>
      <w:tr w:rsidR="00A461FC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Spline Interpolation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rPr>
                <w:rFonts w:eastAsia="Georgia" w:hAnsi="Georgia" w:cs="Georgia"/>
              </w:rPr>
              <w:t>0.16°C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0.62% RH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Medium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rPr>
                <w:rFonts w:eastAsia="Georgia" w:hAnsi="Georgia" w:cs="Georgia"/>
              </w:rPr>
              <w:t>✗</w:t>
            </w:r>
          </w:p>
        </w:tc>
      </w:tr>
      <w:tr w:rsidR="00A461FC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Mean Imputation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rPr>
                <w:rFonts w:eastAsia="Georgia" w:hAnsi="Georgia" w:cs="Georgia"/>
              </w:rPr>
              <w:t>0.42°C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1.80% RH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Low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rPr>
                <w:rFonts w:eastAsia="Georgia" w:hAnsi="Georgia" w:cs="Georgia"/>
              </w:rPr>
              <w:t>✗</w:t>
            </w:r>
          </w:p>
        </w:tc>
      </w:tr>
      <w:tr w:rsidR="00A461FC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Last Observation Carried Forward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rPr>
                <w:rFonts w:eastAsia="Georgia" w:hAnsi="Georgia" w:cs="Georgia"/>
              </w:rPr>
              <w:t>0.38°C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1.50% RH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Low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rPr>
                <w:rFonts w:eastAsia="Georgia" w:hAnsi="Georgia" w:cs="Georgia"/>
              </w:rPr>
              <w:t>✗</w:t>
            </w:r>
          </w:p>
        </w:tc>
      </w:tr>
      <w:tr w:rsidR="00A461FC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Multivariate Imputation (MICE)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rPr>
                <w:rFonts w:eastAsia="Georgia" w:hAnsi="Georgia" w:cs="Georgia"/>
              </w:rPr>
              <w:t>0.15°C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0.58% RH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High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rPr>
                <w:rFonts w:eastAsia="Georgia" w:hAnsi="Georgia" w:cs="Georgia"/>
              </w:rPr>
              <w:t>✗</w:t>
            </w:r>
          </w:p>
        </w:tc>
      </w:tr>
    </w:tbl>
    <w:p w:rsidR="00A461FC" w:rsidRDefault="00A461FC"/>
    <w:p w:rsidR="00A461FC" w:rsidRDefault="00D11E79">
      <w:pPr>
        <w:spacing w:after="220"/>
      </w:pPr>
      <w:r>
        <w:rPr>
          <w:b/>
        </w:rPr>
        <w:t>Conclusion:</w:t>
      </w:r>
      <w:r>
        <w:t xml:space="preserve"> Linear interpolation provides adequate performance with minimal computational overhead.</w:t>
      </w:r>
    </w:p>
    <w:p w:rsidR="00A461FC" w:rsidRDefault="00D11E79">
      <w:r>
        <w:rPr>
          <w:noProof/>
        </w:rPr>
        <w:pict>
          <v:rect id="_x0000_i1027" alt="" style="width:6in;height:.05pt;mso-width-percent:0;mso-height-percent:0;mso-width-percent:0;mso-height-percent:0" o:hralign="center" o:hrstd="t" o:hr="t"/>
        </w:pict>
      </w:r>
    </w:p>
    <w:p w:rsidR="00A461FC" w:rsidRDefault="00D11E79">
      <w:pPr>
        <w:spacing w:before="240" w:line="288" w:lineRule="auto"/>
      </w:pPr>
      <w:bookmarkStart w:id="24" w:name="appendix_c_pca_loadings_and_physi_6b60cf"/>
      <w:r>
        <w:rPr>
          <w:b/>
          <w:sz w:val="56"/>
        </w:rPr>
        <w:t>Appendix C: PCA Loadings and Physical Interpretation of HSF</w:t>
      </w:r>
      <w:bookmarkEnd w:id="24"/>
    </w:p>
    <w:p w:rsidR="00A461FC" w:rsidRDefault="00D11E79">
      <w:pPr>
        <w:spacing w:before="240" w:line="271" w:lineRule="auto"/>
      </w:pPr>
      <w:bookmarkStart w:id="25" w:name="c_1_principal_component_analysis_results"/>
      <w:r>
        <w:rPr>
          <w:b/>
          <w:sz w:val="42"/>
        </w:rPr>
        <w:t>C.1 Principal Component Analysis Results</w:t>
      </w:r>
      <w:bookmarkEnd w:id="25"/>
    </w:p>
    <w:p w:rsidR="00A461FC" w:rsidRDefault="00D11E79">
      <w:pPr>
        <w:spacing w:before="240" w:line="271" w:lineRule="auto"/>
      </w:pPr>
      <w:bookmarkStart w:id="26" w:name="c_1_1_variance_explained"/>
      <w:r>
        <w:rPr>
          <w:b/>
          <w:sz w:val="33"/>
        </w:rPr>
        <w:t>C.1.1 Variance Explained</w:t>
      </w:r>
      <w:bookmarkEnd w:id="26"/>
    </w:p>
    <w:tbl>
      <w:tblPr>
        <w:tblStyle w:val="NormalGrid"/>
        <w:tblW w:w="0" w:type="auto"/>
        <w:jc w:val="center"/>
        <w:tblCellSpacing w:w="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Look w:val="04A0" w:firstRow="1" w:lastRow="0" w:firstColumn="1" w:lastColumn="0" w:noHBand="0" w:noVBand="1"/>
      </w:tblPr>
      <w:tblGrid>
        <w:gridCol w:w="2401"/>
        <w:gridCol w:w="1395"/>
        <w:gridCol w:w="2216"/>
        <w:gridCol w:w="2358"/>
      </w:tblGrid>
      <w:tr w:rsidR="00A461FC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Principal Component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Eigenvalue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Variance Explained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Cumulative Variance</w:t>
            </w:r>
          </w:p>
        </w:tc>
      </w:tr>
      <w:tr w:rsidR="00A461FC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PC1 (HSF)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3.92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78.4%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78.4%</w:t>
            </w:r>
          </w:p>
        </w:tc>
      </w:tr>
      <w:tr w:rsidR="00A461FC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PC2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0.62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12.4%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90.8%</w:t>
            </w:r>
          </w:p>
        </w:tc>
      </w:tr>
      <w:tr w:rsidR="00A461FC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PC3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0.28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5.6%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96.4%</w:t>
            </w:r>
          </w:p>
        </w:tc>
      </w:tr>
      <w:tr w:rsidR="00A461FC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PC4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0.10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2.0%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98.4%</w:t>
            </w:r>
          </w:p>
        </w:tc>
      </w:tr>
      <w:tr w:rsidR="00A461FC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PC5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0.08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1.6%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100.0%</w:t>
            </w:r>
          </w:p>
        </w:tc>
      </w:tr>
    </w:tbl>
    <w:p w:rsidR="00A461FC" w:rsidRDefault="00A461FC"/>
    <w:p w:rsidR="00A461FC" w:rsidRDefault="00D11E79">
      <w:pPr>
        <w:spacing w:before="240" w:line="271" w:lineRule="auto"/>
      </w:pPr>
      <w:bookmarkStart w:id="27" w:name="c_1_2_component_loadings"/>
      <w:r>
        <w:rPr>
          <w:b/>
          <w:sz w:val="33"/>
        </w:rPr>
        <w:t>C.1.2 Component Loadings</w:t>
      </w:r>
      <w:bookmarkEnd w:id="27"/>
    </w:p>
    <w:tbl>
      <w:tblPr>
        <w:tblStyle w:val="NormalGrid"/>
        <w:tblW w:w="0" w:type="auto"/>
        <w:jc w:val="center"/>
        <w:tblCellSpacing w:w="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Look w:val="04A0" w:firstRow="1" w:lastRow="0" w:firstColumn="1" w:lastColumn="0" w:noHBand="0" w:noVBand="1"/>
      </w:tblPr>
      <w:tblGrid>
        <w:gridCol w:w="3004"/>
        <w:gridCol w:w="1345"/>
        <w:gridCol w:w="825"/>
        <w:gridCol w:w="865"/>
        <w:gridCol w:w="776"/>
        <w:gridCol w:w="861"/>
      </w:tblGrid>
      <w:tr w:rsidR="00A461FC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:rsidR="00A461FC" w:rsidRDefault="00D11E79">
            <w:r>
              <w:lastRenderedPageBreak/>
              <w:t>Variable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PC1 (HSF)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PC2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PC3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PC4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PC5</w:t>
            </w:r>
          </w:p>
        </w:tc>
      </w:tr>
      <w:tr w:rsidR="00A461FC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Current RH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0.48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-0.12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0.15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0.05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0.02</w:t>
            </w:r>
          </w:p>
        </w:tc>
      </w:tr>
      <w:tr w:rsidR="00A461FC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RH &gt;85% (24h cumulative)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0.52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0.05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-0.08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0.03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0.01</w:t>
            </w:r>
          </w:p>
        </w:tc>
      </w:tr>
      <w:tr w:rsidR="00A461FC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RH lagged 6h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0.44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-0.18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0.12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0.06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-0.03</w:t>
            </w:r>
          </w:p>
        </w:tc>
      </w:tr>
      <w:tr w:rsidR="00A461FC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RH lagged 12h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0.40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0.20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-0.15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0.05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0.02</w:t>
            </w:r>
          </w:p>
        </w:tc>
      </w:tr>
      <w:tr w:rsidR="00A461FC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RH lagged 24h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0.35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0.35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-0.08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0.04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0.01</w:t>
            </w:r>
          </w:p>
        </w:tc>
      </w:tr>
    </w:tbl>
    <w:p w:rsidR="00A461FC" w:rsidRDefault="00A461FC"/>
    <w:p w:rsidR="00A461FC" w:rsidRDefault="00D11E79">
      <w:pPr>
        <w:spacing w:before="240" w:line="271" w:lineRule="auto"/>
      </w:pPr>
      <w:bookmarkStart w:id="28" w:name="c_1_3_hsf_formulation"/>
      <w:r>
        <w:rPr>
          <w:b/>
          <w:sz w:val="33"/>
        </w:rPr>
        <w:t>C.1.3 HSF Formulation</w:t>
      </w:r>
      <w:bookmarkEnd w:id="28"/>
    </w:p>
    <w:p w:rsidR="00A461FC" w:rsidRDefault="00D11E79">
      <w:pPr>
        <w:spacing w:after="220"/>
      </w:pPr>
      <w:r>
        <w:t>The HSF is defined as:</w:t>
      </w:r>
    </w:p>
    <w:p w:rsidR="00A461FC" w:rsidRDefault="00D11E79">
      <w:pPr>
        <w:spacing w:after="220"/>
      </w:pPr>
      <m:oMathPara>
        <m:oMath>
          <m:r>
            <w:rPr>
              <w:rFonts w:ascii="Cambria Math" w:hAnsi="Cambria Math"/>
            </w:rPr>
            <m:t>HSF</m:t>
          </m:r>
          <m:r>
            <m:rPr>
              <m:sty m:val="p"/>
            </m:rPr>
            <w:rPr>
              <w:rFonts w:ascii="Cambria Math" w:hAnsi="Cambria Math"/>
            </w:rPr>
            <m:t>=0.48×</m:t>
          </m:r>
          <m:r>
            <w:rPr>
              <w:rFonts w:ascii="Cambria Math" w:hAnsi="Cambria Math"/>
            </w:rPr>
            <m:t>R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H</m:t>
              </m:r>
            </m:e>
            <m:sub>
              <m:r>
                <w:rPr>
                  <w:rFonts w:ascii="Cambria Math" w:hAnsi="Cambria Math"/>
                </w:rPr>
                <m:t>current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+0.52×</m:t>
          </m:r>
          <m:r>
            <w:rPr>
              <w:rFonts w:ascii="Cambria Math" w:hAnsi="Cambria Math"/>
            </w:rPr>
            <m:t>R</m:t>
          </m:r>
          <m:sSubSup>
            <m:sSubSupPr>
              <m:ctrlPr>
                <w:rPr>
                  <w:rFonts w:ascii="Cambria Math" w:hAnsi="Cambria Math"/>
                </w:rPr>
              </m:ctrlPr>
            </m:sSubSupPr>
            <m:e>
              <m:r>
                <w:rPr>
                  <w:rFonts w:ascii="Cambria Math" w:hAnsi="Cambria Math"/>
                </w:rPr>
                <m:t>H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&gt;85%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</w:rPr>
                <m:t>24</m:t>
              </m:r>
              <m:r>
                <w:rPr>
                  <w:rFonts w:ascii="Cambria Math" w:hAnsi="Cambria Math"/>
                </w:rPr>
                <m:t>h</m:t>
              </m:r>
            </m:sup>
          </m:sSubSup>
          <m:r>
            <m:rPr>
              <m:sty m:val="p"/>
            </m:rPr>
            <w:rPr>
              <w:rFonts w:ascii="Cambria Math" w:hAnsi="Cambria Math"/>
            </w:rPr>
            <m:t>+0.44×</m:t>
          </m:r>
          <m:r>
            <w:rPr>
              <w:rFonts w:ascii="Cambria Math" w:hAnsi="Cambria Math"/>
            </w:rPr>
            <m:t>R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H</m:t>
              </m:r>
            </m:e>
            <m:sub>
              <m:r>
                <w:rPr>
                  <w:rFonts w:ascii="Cambria Math" w:hAnsi="Cambria Math"/>
                </w:rPr>
                <m:t>lag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6</m:t>
              </m:r>
              <m:r>
                <w:rPr>
                  <w:rFonts w:ascii="Cambria Math" w:hAnsi="Cambria Math"/>
                </w:rPr>
                <m:t>h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+0.40×</m:t>
          </m:r>
          <m:r>
            <w:rPr>
              <w:rFonts w:ascii="Cambria Math" w:hAnsi="Cambria Math"/>
            </w:rPr>
            <m:t>R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H</m:t>
              </m:r>
            </m:e>
            <m:sub>
              <m:r>
                <w:rPr>
                  <w:rFonts w:ascii="Cambria Math" w:hAnsi="Cambria Math"/>
                </w:rPr>
                <m:t>lag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12</m:t>
              </m:r>
              <m:r>
                <w:rPr>
                  <w:rFonts w:ascii="Cambria Math" w:hAnsi="Cambria Math"/>
                </w:rPr>
                <m:t>h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+0.35×</m:t>
          </m:r>
          <m:r>
            <w:rPr>
              <w:rFonts w:ascii="Cambria Math" w:hAnsi="Cambria Math"/>
            </w:rPr>
            <m:t>R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H</m:t>
              </m:r>
            </m:e>
            <m:sub>
              <m:r>
                <w:rPr>
                  <w:rFonts w:ascii="Cambria Math" w:hAnsi="Cambria Math"/>
                </w:rPr>
                <m:t>lag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24</m:t>
              </m:r>
              <m:r>
                <w:rPr>
                  <w:rFonts w:ascii="Cambria Math" w:hAnsi="Cambria Math"/>
                </w:rPr>
                <m:t>h</m:t>
              </m:r>
            </m:sub>
          </m:sSub>
        </m:oMath>
      </m:oMathPara>
    </w:p>
    <w:p w:rsidR="00A461FC" w:rsidRDefault="00D11E79">
      <w:pPr>
        <w:spacing w:after="220"/>
      </w:pPr>
      <w:r>
        <w:t>All variables are standardised (z-score) before combination.</w:t>
      </w:r>
    </w:p>
    <w:p w:rsidR="00A461FC" w:rsidRDefault="00D11E79">
      <w:pPr>
        <w:spacing w:before="240" w:line="271" w:lineRule="auto"/>
      </w:pPr>
      <w:bookmarkStart w:id="29" w:name="c_2_physical_interpretation"/>
      <w:r>
        <w:rPr>
          <w:b/>
          <w:sz w:val="42"/>
        </w:rPr>
        <w:t>C.2 Physical Interpretation</w:t>
      </w:r>
      <w:bookmarkEnd w:id="29"/>
    </w:p>
    <w:p w:rsidR="00A461FC" w:rsidRDefault="00D11E79">
      <w:pPr>
        <w:spacing w:before="240" w:line="271" w:lineRule="auto"/>
      </w:pPr>
      <w:bookmarkStart w:id="30" w:name="c_2_1_hsf_components"/>
      <w:r>
        <w:rPr>
          <w:b/>
          <w:sz w:val="33"/>
        </w:rPr>
        <w:t>C.2.1 HSF Components</w:t>
      </w:r>
      <w:bookmarkEnd w:id="30"/>
    </w:p>
    <w:tbl>
      <w:tblPr>
        <w:tblStyle w:val="NormalGrid"/>
        <w:tblW w:w="0" w:type="auto"/>
        <w:jc w:val="center"/>
        <w:tblCellSpacing w:w="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Look w:val="04A0" w:firstRow="1" w:lastRow="0" w:firstColumn="1" w:lastColumn="0" w:noHBand="0" w:noVBand="1"/>
      </w:tblPr>
      <w:tblGrid>
        <w:gridCol w:w="2106"/>
        <w:gridCol w:w="1118"/>
        <w:gridCol w:w="5410"/>
      </w:tblGrid>
      <w:tr w:rsidR="00A461FC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Component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Loading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Physical Interpretation</w:t>
            </w:r>
          </w:p>
        </w:tc>
      </w:tr>
      <w:tr w:rsidR="00A461FC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Current RH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0.48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Immediate moisture availability; drives surface wetting and biological activity</w:t>
            </w:r>
          </w:p>
        </w:tc>
      </w:tr>
      <w:tr w:rsidR="00A461FC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RH &gt;85% (24h cumulative)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0.52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rPr>
                <w:b/>
              </w:rPr>
              <w:t>Dominant factor</w:t>
            </w:r>
            <w:r>
              <w:t>; represents sustained high-humidity stress; drives salt crystallisation and fungal growth</w:t>
            </w:r>
          </w:p>
        </w:tc>
      </w:tr>
      <w:tr w:rsidR="00A461FC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RH lagged 6h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0.44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Short-term memory effect; captures recent humidity history</w:t>
            </w:r>
          </w:p>
        </w:tc>
      </w:tr>
      <w:tr w:rsidR="00A461FC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RH lagged 12h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0.40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Medium-term memory effect; captures diurnal patterns</w:t>
            </w:r>
          </w:p>
        </w:tc>
      </w:tr>
      <w:tr w:rsidR="00A461FC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RH lagged 24h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0.35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Long-term memory effect; captures daily accumulation</w:t>
            </w:r>
          </w:p>
        </w:tc>
      </w:tr>
    </w:tbl>
    <w:p w:rsidR="00A461FC" w:rsidRDefault="00A461FC"/>
    <w:p w:rsidR="00A461FC" w:rsidRDefault="00D11E79">
      <w:pPr>
        <w:spacing w:before="240" w:line="271" w:lineRule="auto"/>
      </w:pPr>
      <w:bookmarkStart w:id="31" w:name="c_2_2_physical_mechanisms"/>
      <w:r>
        <w:rPr>
          <w:b/>
          <w:sz w:val="33"/>
        </w:rPr>
        <w:t>C.2.2 Physical Mechanisms</w:t>
      </w:r>
      <w:bookmarkEnd w:id="31"/>
    </w:p>
    <w:p w:rsidR="00A461FC" w:rsidRDefault="00D11E79">
      <w:pPr>
        <w:spacing w:after="220"/>
      </w:pPr>
      <w:r>
        <w:rPr>
          <w:b/>
        </w:rPr>
        <w:t>1. RH &gt;85% Cumulative Exposure (Loading: 0.52 - Highest)</w:t>
      </w:r>
    </w:p>
    <w:p w:rsidR="00A461FC" w:rsidRDefault="00D11E79">
      <w:pPr>
        <w:spacing w:after="220"/>
      </w:pPr>
      <w:r>
        <w:t>At RH levels above 85%, multiple deterioration mechanisms are activated:</w:t>
      </w:r>
    </w:p>
    <w:p w:rsidR="00A461FC" w:rsidRDefault="00D11E79">
      <w:pPr>
        <w:numPr>
          <w:ilvl w:val="0"/>
          <w:numId w:val="10"/>
        </w:numPr>
      </w:pPr>
      <w:r>
        <w:rPr>
          <w:b/>
        </w:rPr>
        <w:lastRenderedPageBreak/>
        <w:t>Salt Crystallisation:</w:t>
      </w:r>
      <w:r>
        <w:rPr>
          <w:rFonts w:eastAsia="Georgia" w:hAnsi="Georgia" w:cs="Georgia"/>
        </w:rPr>
        <w:t xml:space="preserve"> Deliquescence of hygroscopic salts (NaCl, Na₂SO₄) occurs at RH &gt;75–80%. At RH &gt;85%, salts remain in solution, causing crystallisation pressure during drying cycl</w:t>
      </w:r>
      <w:r>
        <w:rPr>
          <w:rFonts w:eastAsia="Georgia" w:hAnsi="Georgia" w:cs="Georgia"/>
        </w:rPr>
        <w:t>es.</w:t>
      </w:r>
    </w:p>
    <w:p w:rsidR="00A461FC" w:rsidRDefault="00D11E79">
      <w:pPr>
        <w:numPr>
          <w:ilvl w:val="0"/>
          <w:numId w:val="10"/>
        </w:numPr>
      </w:pPr>
      <w:r>
        <w:rPr>
          <w:b/>
        </w:rPr>
        <w:t>Fungal Growth:</w:t>
      </w:r>
      <w:r>
        <w:rPr>
          <w:rFonts w:eastAsia="Georgia" w:hAnsi="Georgia" w:cs="Georgia"/>
        </w:rPr>
        <w:t xml:space="preserve"> Mould and mildew growth requires RH &gt;80–85% for sustained periods (&gt;6 hours). The cumulative exposure captures this threshold effect.</w:t>
      </w:r>
    </w:p>
    <w:p w:rsidR="00A461FC" w:rsidRDefault="00D11E79">
      <w:pPr>
        <w:numPr>
          <w:ilvl w:val="0"/>
          <w:numId w:val="10"/>
        </w:numPr>
      </w:pPr>
      <w:r>
        <w:rPr>
          <w:b/>
        </w:rPr>
        <w:t>Moisture Ingress:</w:t>
      </w:r>
      <w:r>
        <w:t xml:space="preserve"> Water vapour penetrates porous materials (brick, plaster) through diffusion, with the</w:t>
      </w:r>
      <w:r>
        <w:t xml:space="preserve"> rate increasing exponentially above 85% RH.</w:t>
      </w:r>
    </w:p>
    <w:p w:rsidR="00A461FC" w:rsidRDefault="00D11E79">
      <w:pPr>
        <w:spacing w:after="220"/>
      </w:pPr>
      <w:r>
        <w:rPr>
          <w:b/>
        </w:rPr>
        <w:t>2. Current RH (Loading: 0.48)</w:t>
      </w:r>
    </w:p>
    <w:p w:rsidR="00A461FC" w:rsidRDefault="00D11E79">
      <w:pPr>
        <w:numPr>
          <w:ilvl w:val="0"/>
          <w:numId w:val="11"/>
        </w:numPr>
      </w:pPr>
      <w:r>
        <w:t>Represents the immediate state of the microclimate</w:t>
      </w:r>
    </w:p>
    <w:p w:rsidR="00A461FC" w:rsidRDefault="00D11E79">
      <w:pPr>
        <w:numPr>
          <w:ilvl w:val="0"/>
          <w:numId w:val="11"/>
        </w:numPr>
      </w:pPr>
      <w:r>
        <w:t>Influences surface wetness and evaporation rates</w:t>
      </w:r>
    </w:p>
    <w:p w:rsidR="00A461FC" w:rsidRDefault="00D11E79">
      <w:pPr>
        <w:numPr>
          <w:ilvl w:val="0"/>
          <w:numId w:val="11"/>
        </w:numPr>
      </w:pPr>
      <w:r>
        <w:t>Correlates with biological activity (biofilm, algae)</w:t>
      </w:r>
    </w:p>
    <w:p w:rsidR="00A461FC" w:rsidRDefault="00D11E79">
      <w:pPr>
        <w:spacing w:after="220"/>
      </w:pPr>
      <w:r>
        <w:rPr>
          <w:b/>
        </w:rPr>
        <w:t>3. Lagged RH Terms (Loadings</w:t>
      </w:r>
      <w:r>
        <w:rPr>
          <w:b/>
        </w:rPr>
        <w:t>: 0.35</w:t>
      </w:r>
      <w:r>
        <w:rPr>
          <w:b/>
        </w:rPr>
        <w:t>–</w:t>
      </w:r>
      <w:r>
        <w:rPr>
          <w:b/>
        </w:rPr>
        <w:t>0.44)</w:t>
      </w:r>
    </w:p>
    <w:p w:rsidR="00A461FC" w:rsidRDefault="00D11E79">
      <w:pPr>
        <w:numPr>
          <w:ilvl w:val="0"/>
          <w:numId w:val="12"/>
        </w:numPr>
      </w:pPr>
      <w:r>
        <w:rPr>
          <w:b/>
        </w:rPr>
        <w:t>6h Lag:</w:t>
      </w:r>
      <w:r>
        <w:rPr>
          <w:rFonts w:eastAsia="Georgia" w:hAnsi="Georgia" w:cs="Georgia"/>
        </w:rPr>
        <w:t xml:space="preserve"> Captures the memory effect of humidity events. A single high-humidity event affects material moisture content for 4–8 hours.</w:t>
      </w:r>
    </w:p>
    <w:p w:rsidR="00A461FC" w:rsidRDefault="00D11E79">
      <w:pPr>
        <w:numPr>
          <w:ilvl w:val="0"/>
          <w:numId w:val="12"/>
        </w:numPr>
      </w:pPr>
      <w:r>
        <w:rPr>
          <w:b/>
        </w:rPr>
        <w:t>12h Lag:</w:t>
      </w:r>
      <w:r>
        <w:rPr>
          <w:rFonts w:eastAsia="Georgia" w:hAnsi="Georgia" w:cs="Georgia"/>
        </w:rPr>
        <w:t xml:space="preserve"> Captures diurnal cycles. Night-time humidity peaks (typically 22:00–06:00) influence morning surface conditions.</w:t>
      </w:r>
    </w:p>
    <w:p w:rsidR="00A461FC" w:rsidRDefault="00D11E79">
      <w:pPr>
        <w:numPr>
          <w:ilvl w:val="0"/>
          <w:numId w:val="12"/>
        </w:numPr>
      </w:pPr>
      <w:r>
        <w:rPr>
          <w:b/>
        </w:rPr>
        <w:t>24h Lag:</w:t>
      </w:r>
      <w:r>
        <w:t xml:space="preserve"> Captures daily accumulation. Successive days of high humidity have cumulative effects on material degradation.</w:t>
      </w:r>
    </w:p>
    <w:p w:rsidR="00A461FC" w:rsidRDefault="00D11E79">
      <w:pPr>
        <w:spacing w:before="240" w:line="271" w:lineRule="auto"/>
      </w:pPr>
      <w:bookmarkStart w:id="32" w:name="c_2_3_hsf_interpretation_guidelines"/>
      <w:r>
        <w:rPr>
          <w:b/>
          <w:sz w:val="33"/>
        </w:rPr>
        <w:t>C.2.3 HSF Interpretati</w:t>
      </w:r>
      <w:r>
        <w:rPr>
          <w:b/>
          <w:sz w:val="33"/>
        </w:rPr>
        <w:t>on Guidelines</w:t>
      </w:r>
      <w:bookmarkEnd w:id="32"/>
    </w:p>
    <w:tbl>
      <w:tblPr>
        <w:tblStyle w:val="NormalGrid"/>
        <w:tblW w:w="0" w:type="auto"/>
        <w:jc w:val="center"/>
        <w:tblCellSpacing w:w="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Look w:val="04A0" w:firstRow="1" w:lastRow="0" w:firstColumn="1" w:lastColumn="0" w:noHBand="0" w:noVBand="1"/>
      </w:tblPr>
      <w:tblGrid>
        <w:gridCol w:w="1366"/>
        <w:gridCol w:w="2298"/>
        <w:gridCol w:w="3726"/>
      </w:tblGrid>
      <w:tr w:rsidR="00A461FC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HSF Value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Interpretation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Expected Chromatic Response</w:t>
            </w:r>
          </w:p>
        </w:tc>
      </w:tr>
      <w:tr w:rsidR="00A461FC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&lt; -1.0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Low humidity stress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No deterioration expected</w:t>
            </w:r>
          </w:p>
        </w:tc>
      </w:tr>
      <w:tr w:rsidR="00A461FC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-1.0 to 0.0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Moderate-low stress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Minimal surface changes</w:t>
            </w:r>
          </w:p>
        </w:tc>
      </w:tr>
      <w:tr w:rsidR="00A461FC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0.0 to 1.0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Moderate stress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Early-stage discolouration possible</w:t>
            </w:r>
          </w:p>
        </w:tc>
      </w:tr>
      <w:tr w:rsidR="00A461FC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1.0 to 2.0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High stress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Visible deterioration likely</w:t>
            </w:r>
          </w:p>
        </w:tc>
      </w:tr>
      <w:tr w:rsidR="00A461FC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&gt; 2.0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Extreme stress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Rapid deterioration expected</w:t>
            </w:r>
          </w:p>
        </w:tc>
      </w:tr>
    </w:tbl>
    <w:p w:rsidR="00A461FC" w:rsidRDefault="00A461FC"/>
    <w:p w:rsidR="00A461FC" w:rsidRDefault="00D11E79">
      <w:pPr>
        <w:spacing w:after="220"/>
      </w:pPr>
      <w:r>
        <w:rPr>
          <w:i/>
        </w:rPr>
        <w:t>Note: HSF values are in standardised units (z-scores).</w:t>
      </w:r>
    </w:p>
    <w:p w:rsidR="00A461FC" w:rsidRDefault="00D11E79">
      <w:r>
        <w:rPr>
          <w:noProof/>
        </w:rPr>
        <w:pict>
          <v:rect id="_x0000_i1028" alt="" style="width:6in;height:.05pt;mso-width-percent:0;mso-height-percent:0;mso-width-percent:0;mso-height-percent:0" o:hralign="center" o:hrstd="t" o:hr="t"/>
        </w:pict>
      </w:r>
    </w:p>
    <w:p w:rsidR="00A461FC" w:rsidRDefault="00D11E79">
      <w:pPr>
        <w:spacing w:before="240" w:line="288" w:lineRule="auto"/>
      </w:pPr>
      <w:bookmarkStart w:id="33" w:name="appendix_d_inter_expert_agreement_cc9310"/>
      <w:r>
        <w:rPr>
          <w:b/>
          <w:sz w:val="56"/>
        </w:rPr>
        <w:lastRenderedPageBreak/>
        <w:t>Appendix D: Inter-Expert Agreement for Initial Labeling</w:t>
      </w:r>
      <w:bookmarkEnd w:id="33"/>
    </w:p>
    <w:p w:rsidR="00A461FC" w:rsidRDefault="00D11E79">
      <w:pPr>
        <w:spacing w:before="240" w:line="271" w:lineRule="auto"/>
      </w:pPr>
      <w:bookmarkStart w:id="34" w:name="d_1_expert_panel_composition"/>
      <w:r>
        <w:rPr>
          <w:b/>
          <w:sz w:val="42"/>
        </w:rPr>
        <w:t>D.1 Expert Panel Composition</w:t>
      </w:r>
      <w:bookmarkEnd w:id="34"/>
    </w:p>
    <w:tbl>
      <w:tblPr>
        <w:tblStyle w:val="NormalGrid"/>
        <w:tblW w:w="0" w:type="auto"/>
        <w:jc w:val="center"/>
        <w:tblCellSpacing w:w="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Look w:val="04A0" w:firstRow="1" w:lastRow="0" w:firstColumn="1" w:lastColumn="0" w:noHBand="0" w:noVBand="1"/>
      </w:tblPr>
      <w:tblGrid>
        <w:gridCol w:w="1145"/>
        <w:gridCol w:w="2294"/>
        <w:gridCol w:w="1821"/>
        <w:gridCol w:w="3374"/>
      </w:tblGrid>
      <w:tr w:rsidR="00A461FC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Expert ID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Institution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Experience (Years)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Specialisation</w:t>
            </w:r>
          </w:p>
        </w:tc>
      </w:tr>
      <w:tr w:rsidR="00A461FC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E1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Universitas Gadjah Mada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20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Heritage Conservation, Stone Decay</w:t>
            </w:r>
          </w:p>
        </w:tc>
      </w:tr>
      <w:tr w:rsidR="00A461FC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E2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Institut Teknologi Bandung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12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Architectural Conservation, Materials Science</w:t>
            </w:r>
          </w:p>
        </w:tc>
      </w:tr>
      <w:tr w:rsidR="00A461FC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E3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Universitas Indonesia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8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Building Pathology, Colour Analysis</w:t>
            </w:r>
          </w:p>
        </w:tc>
      </w:tr>
    </w:tbl>
    <w:p w:rsidR="00A461FC" w:rsidRDefault="00A461FC"/>
    <w:p w:rsidR="00A461FC" w:rsidRDefault="00D11E79">
      <w:pPr>
        <w:spacing w:after="220"/>
      </w:pPr>
      <w:r>
        <w:rPr>
          <w:i/>
        </w:rPr>
        <w:t>Note: None of the experts are authors of this manuscript. All provided written informed consent.</w:t>
      </w:r>
    </w:p>
    <w:p w:rsidR="00A461FC" w:rsidRDefault="00D11E79">
      <w:pPr>
        <w:spacing w:before="240" w:line="271" w:lineRule="auto"/>
      </w:pPr>
      <w:bookmarkStart w:id="35" w:name="d_2_labeling_protocol"/>
      <w:r>
        <w:rPr>
          <w:b/>
          <w:sz w:val="42"/>
        </w:rPr>
        <w:t>D.2 Labeling Protocol</w:t>
      </w:r>
      <w:bookmarkEnd w:id="35"/>
    </w:p>
    <w:p w:rsidR="00A461FC" w:rsidRDefault="00D11E79">
      <w:pPr>
        <w:spacing w:before="240" w:line="271" w:lineRule="auto"/>
      </w:pPr>
      <w:bookmarkStart w:id="36" w:name="d_2_1_categories"/>
      <w:r>
        <w:rPr>
          <w:b/>
          <w:sz w:val="33"/>
        </w:rPr>
        <w:t>D.2.1 Categories</w:t>
      </w:r>
      <w:bookmarkEnd w:id="36"/>
    </w:p>
    <w:p w:rsidR="00A461FC" w:rsidRDefault="00D11E79">
      <w:pPr>
        <w:spacing w:after="220"/>
      </w:pPr>
      <w:r>
        <w:t>Experts annotated tiles into five decay categories:</w:t>
      </w:r>
    </w:p>
    <w:tbl>
      <w:tblPr>
        <w:tblStyle w:val="NormalGrid"/>
        <w:tblW w:w="0" w:type="auto"/>
        <w:jc w:val="center"/>
        <w:tblCellSpacing w:w="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Look w:val="04A0" w:firstRow="1" w:lastRow="0" w:firstColumn="1" w:lastColumn="0" w:noHBand="0" w:noVBand="1"/>
      </w:tblPr>
      <w:tblGrid>
        <w:gridCol w:w="2357"/>
        <w:gridCol w:w="5389"/>
      </w:tblGrid>
      <w:tr w:rsidR="00A461FC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Category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Description</w:t>
            </w:r>
          </w:p>
        </w:tc>
      </w:tr>
      <w:tr w:rsidR="00A461FC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Biofilm/Algae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Greenish or dark patches with biological growth</w:t>
            </w:r>
          </w:p>
        </w:tc>
      </w:tr>
      <w:tr w:rsidR="00A461FC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Moisture Darkening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Dark, damp-looking areas without biological growth</w:t>
            </w:r>
          </w:p>
        </w:tc>
      </w:tr>
      <w:tr w:rsidR="00A461FC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Efflorescence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White or crystalline surface deposits</w:t>
            </w:r>
          </w:p>
        </w:tc>
      </w:tr>
      <w:tr w:rsidR="00A461FC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Pigment Attenuation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Faded or lightened areas (loss of colour intensity)</w:t>
            </w:r>
          </w:p>
        </w:tc>
      </w:tr>
      <w:tr w:rsidR="00A461FC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Neutral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No</w:t>
            </w:r>
            <w:r>
              <w:t xml:space="preserve"> visible deterioration</w:t>
            </w:r>
          </w:p>
        </w:tc>
      </w:tr>
    </w:tbl>
    <w:p w:rsidR="00A461FC" w:rsidRDefault="00A461FC"/>
    <w:p w:rsidR="00A461FC" w:rsidRDefault="00D11E79">
      <w:pPr>
        <w:spacing w:before="240" w:line="271" w:lineRule="auto"/>
      </w:pPr>
      <w:bookmarkStart w:id="37" w:name="d_2_2_sample_size"/>
      <w:r>
        <w:rPr>
          <w:b/>
          <w:sz w:val="33"/>
        </w:rPr>
        <w:t>D.2.2 Sample Size</w:t>
      </w:r>
      <w:bookmarkEnd w:id="37"/>
    </w:p>
    <w:tbl>
      <w:tblPr>
        <w:tblStyle w:val="NormalGrid"/>
        <w:tblW w:w="0" w:type="auto"/>
        <w:jc w:val="center"/>
        <w:tblCellSpacing w:w="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Look w:val="04A0" w:firstRow="1" w:lastRow="0" w:firstColumn="1" w:lastColumn="0" w:noHBand="0" w:noVBand="1"/>
      </w:tblPr>
      <w:tblGrid>
        <w:gridCol w:w="1840"/>
        <w:gridCol w:w="1862"/>
        <w:gridCol w:w="1703"/>
        <w:gridCol w:w="1608"/>
      </w:tblGrid>
      <w:tr w:rsidR="00A461FC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Site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Tiles Annotated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Pixels Per Tile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Total Pixels</w:t>
            </w:r>
          </w:p>
        </w:tc>
      </w:tr>
      <w:tr w:rsidR="00A461FC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:rsidR="00A461FC" w:rsidRDefault="00D11E79">
            <w:r>
              <w:lastRenderedPageBreak/>
              <w:t>Lawang Sewu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1,500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rPr>
                <w:rFonts w:eastAsia="Georgia" w:hAnsi="Georgia" w:cs="Georgia"/>
              </w:rPr>
              <w:t>64×64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6,144,000</w:t>
            </w:r>
          </w:p>
        </w:tc>
      </w:tr>
      <w:tr w:rsidR="00A461FC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Pasar Johar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1,200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rPr>
                <w:rFonts w:eastAsia="Georgia" w:hAnsi="Georgia" w:cs="Georgia"/>
              </w:rPr>
              <w:t>64×64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4,915,200</w:t>
            </w:r>
          </w:p>
        </w:tc>
      </w:tr>
      <w:tr w:rsidR="00A461FC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Tawang Station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1,050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rPr>
                <w:rFonts w:eastAsia="Georgia" w:hAnsi="Georgia" w:cs="Georgia"/>
              </w:rPr>
              <w:t>64×64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4,300,800</w:t>
            </w:r>
          </w:p>
        </w:tc>
      </w:tr>
      <w:tr w:rsidR="00A461FC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:rsidR="00A461FC" w:rsidRDefault="00D11E79">
            <w:r>
              <w:rPr>
                <w:b/>
              </w:rPr>
              <w:t>Total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rPr>
                <w:b/>
              </w:rPr>
              <w:t>3,750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-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rPr>
                <w:b/>
              </w:rPr>
              <w:t>15,360,000</w:t>
            </w:r>
          </w:p>
        </w:tc>
      </w:tr>
    </w:tbl>
    <w:p w:rsidR="00A461FC" w:rsidRDefault="00A461FC"/>
    <w:p w:rsidR="00A461FC" w:rsidRDefault="00D11E79">
      <w:pPr>
        <w:spacing w:after="220"/>
      </w:pPr>
      <w:r>
        <w:rPr>
          <w:i/>
        </w:rPr>
        <w:t>Note: Expert-labelled pixels (48,830) represent a subset of these tiles used for training.</w:t>
      </w:r>
    </w:p>
    <w:p w:rsidR="00A461FC" w:rsidRDefault="00D11E79">
      <w:pPr>
        <w:spacing w:before="240" w:line="271" w:lineRule="auto"/>
      </w:pPr>
      <w:bookmarkStart w:id="38" w:name="d_2_3_training_and_calibration"/>
      <w:r>
        <w:rPr>
          <w:b/>
          <w:sz w:val="33"/>
        </w:rPr>
        <w:t>D.2.3 Training and Calibration</w:t>
      </w:r>
      <w:bookmarkEnd w:id="38"/>
    </w:p>
    <w:p w:rsidR="00A461FC" w:rsidRDefault="00D11E79">
      <w:pPr>
        <w:spacing w:after="220"/>
      </w:pPr>
      <w:r>
        <w:t>Prior to labeling, experts underwent:</w:t>
      </w:r>
    </w:p>
    <w:p w:rsidR="00A461FC" w:rsidRDefault="00D11E79">
      <w:pPr>
        <w:numPr>
          <w:ilvl w:val="0"/>
          <w:numId w:val="13"/>
        </w:numPr>
      </w:pPr>
      <w:r>
        <w:rPr>
          <w:b/>
        </w:rPr>
        <w:t>Reference image review:</w:t>
      </w:r>
      <w:r>
        <w:t xml:space="preserve"> 100 reference images per category</w:t>
      </w:r>
    </w:p>
    <w:p w:rsidR="00A461FC" w:rsidRDefault="00D11E79">
      <w:pPr>
        <w:numPr>
          <w:ilvl w:val="0"/>
          <w:numId w:val="13"/>
        </w:numPr>
      </w:pPr>
      <w:r>
        <w:rPr>
          <w:b/>
        </w:rPr>
        <w:t>Calibration session:</w:t>
      </w:r>
      <w:r>
        <w:t xml:space="preserve"> 50 practice tiles</w:t>
      </w:r>
      <w:r>
        <w:t xml:space="preserve"> with consensus discussion</w:t>
      </w:r>
    </w:p>
    <w:p w:rsidR="00A461FC" w:rsidRDefault="00D11E79">
      <w:pPr>
        <w:numPr>
          <w:ilvl w:val="0"/>
          <w:numId w:val="13"/>
        </w:numPr>
      </w:pPr>
      <w:r>
        <w:rPr>
          <w:b/>
        </w:rPr>
        <w:t>Inter-rater agreement calibration:</w:t>
      </w:r>
      <w:r>
        <w:rPr>
          <w:rFonts w:eastAsia="Georgia" w:hAnsi="Georgia" w:cs="Georgia"/>
        </w:rPr>
        <w:t xml:space="preserve"> Target κ &gt; 0.80 before proceeding</w:t>
      </w:r>
    </w:p>
    <w:p w:rsidR="00A461FC" w:rsidRDefault="00D11E79">
      <w:pPr>
        <w:spacing w:before="240" w:line="271" w:lineRule="auto"/>
      </w:pPr>
      <w:bookmarkStart w:id="39" w:name="d_3_inter_rater_agreement_statistics"/>
      <w:r>
        <w:rPr>
          <w:b/>
          <w:sz w:val="42"/>
        </w:rPr>
        <w:t>D.3 Inter-Rater Agreement Statistics</w:t>
      </w:r>
      <w:bookmarkEnd w:id="39"/>
    </w:p>
    <w:p w:rsidR="00A461FC" w:rsidRDefault="00D11E79">
      <w:pPr>
        <w:spacing w:before="240" w:line="271" w:lineRule="auto"/>
      </w:pPr>
      <w:bookmarkStart w:id="40" w:name="d_3_1_fleiss_κ_by_site"/>
      <w:r>
        <w:rPr>
          <w:rFonts w:eastAsia="Georgia" w:hAnsi="Georgia" w:cs="Georgia"/>
          <w:b/>
          <w:sz w:val="33"/>
        </w:rPr>
        <w:t>D.3.1 Fleiss' κ by Site</w:t>
      </w:r>
      <w:bookmarkEnd w:id="40"/>
    </w:p>
    <w:tbl>
      <w:tblPr>
        <w:tblStyle w:val="NormalGrid"/>
        <w:tblW w:w="0" w:type="auto"/>
        <w:jc w:val="center"/>
        <w:tblCellSpacing w:w="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Look w:val="04A0" w:firstRow="1" w:lastRow="0" w:firstColumn="1" w:lastColumn="0" w:noHBand="0" w:noVBand="1"/>
      </w:tblPr>
      <w:tblGrid>
        <w:gridCol w:w="1840"/>
        <w:gridCol w:w="1097"/>
        <w:gridCol w:w="1630"/>
        <w:gridCol w:w="1991"/>
      </w:tblGrid>
      <w:tr w:rsidR="00A461FC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Site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rPr>
                <w:rFonts w:eastAsia="Georgia" w:hAnsi="Georgia" w:cs="Georgia"/>
              </w:rPr>
              <w:t>Fleiss' κ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95% CI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Interpretation</w:t>
            </w:r>
          </w:p>
        </w:tc>
      </w:tr>
      <w:tr w:rsidR="00A461FC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Lawang Sewu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0.82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[0.78, 0.86]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Almost perfect</w:t>
            </w:r>
          </w:p>
        </w:tc>
      </w:tr>
      <w:tr w:rsidR="00A461FC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Pasar Johar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0.78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[0.74, 0.82]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Substantial</w:t>
            </w:r>
          </w:p>
        </w:tc>
      </w:tr>
      <w:tr w:rsidR="00A461FC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Tawang Station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0.80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[0.76, 0.84]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Almost perfect</w:t>
            </w:r>
          </w:p>
        </w:tc>
      </w:tr>
      <w:tr w:rsidR="00A461FC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:rsidR="00A461FC" w:rsidRDefault="00D11E79">
            <w:r>
              <w:rPr>
                <w:b/>
              </w:rPr>
              <w:t>Overall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rPr>
                <w:b/>
              </w:rPr>
              <w:t>0.80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rPr>
                <w:b/>
              </w:rPr>
              <w:t>[0.77, 0.83]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rPr>
                <w:b/>
              </w:rPr>
              <w:t>Almost perfect</w:t>
            </w:r>
          </w:p>
        </w:tc>
      </w:tr>
    </w:tbl>
    <w:p w:rsidR="00A461FC" w:rsidRDefault="00A461FC"/>
    <w:p w:rsidR="00A461FC" w:rsidRDefault="00D11E79">
      <w:pPr>
        <w:spacing w:before="240" w:line="271" w:lineRule="auto"/>
      </w:pPr>
      <w:bookmarkStart w:id="41" w:name="d_3_2_fleiss_κ_by_decay_category"/>
      <w:r>
        <w:rPr>
          <w:rFonts w:eastAsia="Georgia" w:hAnsi="Georgia" w:cs="Georgia"/>
          <w:b/>
          <w:sz w:val="33"/>
        </w:rPr>
        <w:t>D.3.2 Fleiss' κ by Decay Category</w:t>
      </w:r>
      <w:bookmarkEnd w:id="41"/>
    </w:p>
    <w:tbl>
      <w:tblPr>
        <w:tblStyle w:val="NormalGrid"/>
        <w:tblW w:w="0" w:type="auto"/>
        <w:jc w:val="center"/>
        <w:tblCellSpacing w:w="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Look w:val="04A0" w:firstRow="1" w:lastRow="0" w:firstColumn="1" w:lastColumn="0" w:noHBand="0" w:noVBand="1"/>
      </w:tblPr>
      <w:tblGrid>
        <w:gridCol w:w="2357"/>
        <w:gridCol w:w="1097"/>
        <w:gridCol w:w="1491"/>
        <w:gridCol w:w="1967"/>
      </w:tblGrid>
      <w:tr w:rsidR="00A461FC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Category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rPr>
                <w:rFonts w:eastAsia="Georgia" w:hAnsi="Georgia" w:cs="Georgia"/>
              </w:rPr>
              <w:t>Fleiss' κ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95% CI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Agreement Level</w:t>
            </w:r>
          </w:p>
        </w:tc>
      </w:tr>
      <w:tr w:rsidR="00A461FC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Biofilm/Algae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0.85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[0.81, 0.89]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Almost perfect</w:t>
            </w:r>
          </w:p>
        </w:tc>
      </w:tr>
      <w:tr w:rsidR="00A461FC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Moisture Darkening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0.82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[0.78, 0.86]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Almost perfect</w:t>
            </w:r>
          </w:p>
        </w:tc>
      </w:tr>
      <w:tr w:rsidR="00A461FC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Efflorescence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0.78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[0.74, 0.82]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Substantial</w:t>
            </w:r>
          </w:p>
        </w:tc>
      </w:tr>
      <w:tr w:rsidR="00A461FC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Pigment Attenuation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0.74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[0.70, 0.78]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Substantial</w:t>
            </w:r>
          </w:p>
        </w:tc>
      </w:tr>
      <w:tr w:rsidR="00A461FC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Neutral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0.88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[0.84, 0.92]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Almost perfect</w:t>
            </w:r>
          </w:p>
        </w:tc>
      </w:tr>
    </w:tbl>
    <w:p w:rsidR="00A461FC" w:rsidRDefault="00A461FC"/>
    <w:p w:rsidR="00A461FC" w:rsidRDefault="00D11E79">
      <w:pPr>
        <w:spacing w:before="240" w:line="271" w:lineRule="auto"/>
      </w:pPr>
      <w:bookmarkStart w:id="42" w:name="d_3_3_pairwise_agreement"/>
      <w:r>
        <w:rPr>
          <w:b/>
          <w:sz w:val="33"/>
        </w:rPr>
        <w:t>D.3.3 Pairwise Agreement</w:t>
      </w:r>
      <w:bookmarkEnd w:id="42"/>
    </w:p>
    <w:tbl>
      <w:tblPr>
        <w:tblStyle w:val="NormalGrid"/>
        <w:tblW w:w="0" w:type="auto"/>
        <w:jc w:val="center"/>
        <w:tblCellSpacing w:w="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Look w:val="04A0" w:firstRow="1" w:lastRow="0" w:firstColumn="1" w:lastColumn="0" w:noHBand="0" w:noVBand="1"/>
      </w:tblPr>
      <w:tblGrid>
        <w:gridCol w:w="1431"/>
        <w:gridCol w:w="1260"/>
        <w:gridCol w:w="1482"/>
      </w:tblGrid>
      <w:tr w:rsidR="00A461FC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:rsidR="00A461FC" w:rsidRDefault="00D11E79">
            <w:r>
              <w:lastRenderedPageBreak/>
              <w:t>Expert Pair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rPr>
                <w:rFonts w:eastAsia="Georgia" w:hAnsi="Georgia" w:cs="Georgia"/>
              </w:rPr>
              <w:t>Cohen's κ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95% CI</w:t>
            </w:r>
          </w:p>
        </w:tc>
      </w:tr>
      <w:tr w:rsidR="00A461FC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E1 vs E2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0.83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[0.79, 0.87]</w:t>
            </w:r>
          </w:p>
        </w:tc>
      </w:tr>
      <w:tr w:rsidR="00A461FC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E1 vs E3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0.81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[0.77, 0.85]</w:t>
            </w:r>
          </w:p>
        </w:tc>
      </w:tr>
      <w:tr w:rsidR="00A461FC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E2 vs E3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0.78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[0.74, 0.82]</w:t>
            </w:r>
          </w:p>
        </w:tc>
      </w:tr>
    </w:tbl>
    <w:p w:rsidR="00A461FC" w:rsidRDefault="00A461FC"/>
    <w:p w:rsidR="00A461FC" w:rsidRDefault="00D11E79">
      <w:pPr>
        <w:spacing w:before="240" w:line="271" w:lineRule="auto"/>
      </w:pPr>
      <w:bookmarkStart w:id="43" w:name="d_3_4_intra_class_correlation_icc"/>
      <w:r>
        <w:rPr>
          <w:b/>
          <w:sz w:val="33"/>
        </w:rPr>
        <w:t>D.3.4 Intra-Class Correlation (ICC)</w:t>
      </w:r>
      <w:bookmarkEnd w:id="43"/>
    </w:p>
    <w:tbl>
      <w:tblPr>
        <w:tblStyle w:val="NormalGrid"/>
        <w:tblW w:w="0" w:type="auto"/>
        <w:jc w:val="center"/>
        <w:tblCellSpacing w:w="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Look w:val="04A0" w:firstRow="1" w:lastRow="0" w:firstColumn="1" w:lastColumn="0" w:noHBand="0" w:noVBand="1"/>
      </w:tblPr>
      <w:tblGrid>
        <w:gridCol w:w="2153"/>
        <w:gridCol w:w="779"/>
        <w:gridCol w:w="1505"/>
        <w:gridCol w:w="4048"/>
      </w:tblGrid>
      <w:tr w:rsidR="00A461FC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Metric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ICC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95% CI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Type</w:t>
            </w:r>
          </w:p>
        </w:tc>
      </w:tr>
      <w:tr w:rsidR="00A461FC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Overall Agreement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0.85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[0.82, 0.88]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Two-way random, absolute agreement</w:t>
            </w:r>
          </w:p>
        </w:tc>
      </w:tr>
      <w:tr w:rsidR="00A461FC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Consistency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0.88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[0.85, 0.91]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Two-way random, consistency</w:t>
            </w:r>
          </w:p>
        </w:tc>
      </w:tr>
    </w:tbl>
    <w:p w:rsidR="00A461FC" w:rsidRDefault="00A461FC"/>
    <w:p w:rsidR="00A461FC" w:rsidRDefault="00D11E79">
      <w:pPr>
        <w:spacing w:before="240" w:line="271" w:lineRule="auto"/>
      </w:pPr>
      <w:bookmarkStart w:id="44" w:name="d_3_5_confusion_matrix_aggregated"/>
      <w:r>
        <w:rPr>
          <w:b/>
          <w:sz w:val="33"/>
        </w:rPr>
        <w:t>D.3.5 Confusion Matrix (Aggregated)</w:t>
      </w:r>
      <w:bookmarkEnd w:id="44"/>
    </w:p>
    <w:tbl>
      <w:tblPr>
        <w:tblStyle w:val="NormalGrid"/>
        <w:tblW w:w="0" w:type="auto"/>
        <w:jc w:val="center"/>
        <w:tblCellSpacing w:w="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Look w:val="04A0" w:firstRow="1" w:lastRow="0" w:firstColumn="1" w:lastColumn="0" w:noHBand="0" w:noVBand="1"/>
      </w:tblPr>
      <w:tblGrid>
        <w:gridCol w:w="2357"/>
        <w:gridCol w:w="779"/>
        <w:gridCol w:w="783"/>
        <w:gridCol w:w="776"/>
        <w:gridCol w:w="2334"/>
      </w:tblGrid>
      <w:tr w:rsidR="00A461FC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Expert Label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E1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E2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E3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Marginal Agreement</w:t>
            </w:r>
          </w:p>
        </w:tc>
      </w:tr>
      <w:tr w:rsidR="00A461FC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Biofilm/Algae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0.88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0.08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0.04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88%</w:t>
            </w:r>
          </w:p>
        </w:tc>
      </w:tr>
      <w:tr w:rsidR="00A461FC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Moisture Darkening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0.07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0.84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0.09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84%</w:t>
            </w:r>
          </w:p>
        </w:tc>
      </w:tr>
      <w:tr w:rsidR="00A461FC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Efflorescence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0.05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0.11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0.84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84%</w:t>
            </w:r>
          </w:p>
        </w:tc>
      </w:tr>
      <w:tr w:rsidR="00A461FC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Pigment Attenuation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0.10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0.12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0.78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78%</w:t>
            </w:r>
          </w:p>
        </w:tc>
      </w:tr>
      <w:tr w:rsidR="00A461FC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Neutral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0.03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0.02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0.95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95%</w:t>
            </w:r>
          </w:p>
        </w:tc>
      </w:tr>
    </w:tbl>
    <w:p w:rsidR="00A461FC" w:rsidRDefault="00A461FC"/>
    <w:p w:rsidR="00A461FC" w:rsidRDefault="00D11E79">
      <w:pPr>
        <w:spacing w:before="240" w:line="271" w:lineRule="auto"/>
      </w:pPr>
      <w:bookmarkStart w:id="45" w:name="d_4_resolution_of_disagreements"/>
      <w:r>
        <w:rPr>
          <w:b/>
          <w:sz w:val="42"/>
        </w:rPr>
        <w:t>D.4 Resolution of Disagreements</w:t>
      </w:r>
      <w:bookmarkEnd w:id="45"/>
    </w:p>
    <w:p w:rsidR="00A461FC" w:rsidRDefault="00D11E79">
      <w:pPr>
        <w:spacing w:before="240" w:line="271" w:lineRule="auto"/>
      </w:pPr>
      <w:bookmarkStart w:id="46" w:name="d_4_1_consensus_process"/>
      <w:r>
        <w:rPr>
          <w:b/>
          <w:sz w:val="33"/>
        </w:rPr>
        <w:t>D.4.1 Consensus Process</w:t>
      </w:r>
      <w:bookmarkEnd w:id="46"/>
    </w:p>
    <w:p w:rsidR="00A461FC" w:rsidRDefault="00D11E79">
      <w:pPr>
        <w:spacing w:after="220"/>
      </w:pPr>
      <w:r>
        <w:t>For tiles with initial disagreement (not all three experts agreeing):</w:t>
      </w:r>
    </w:p>
    <w:p w:rsidR="00A461FC" w:rsidRDefault="00D11E79">
      <w:pPr>
        <w:numPr>
          <w:ilvl w:val="0"/>
          <w:numId w:val="14"/>
        </w:numPr>
      </w:pPr>
      <w:r>
        <w:rPr>
          <w:b/>
        </w:rPr>
        <w:t>Independent re-evaluation:</w:t>
      </w:r>
      <w:r>
        <w:t xml:space="preserve"> Each expert re-examined the tile</w:t>
      </w:r>
    </w:p>
    <w:p w:rsidR="00A461FC" w:rsidRDefault="00D11E79">
      <w:pPr>
        <w:numPr>
          <w:ilvl w:val="0"/>
          <w:numId w:val="14"/>
        </w:numPr>
      </w:pPr>
      <w:r>
        <w:rPr>
          <w:b/>
        </w:rPr>
        <w:t>Discussions:</w:t>
      </w:r>
      <w:r>
        <w:t xml:space="preserve"> Experts discussed the tile</w:t>
      </w:r>
    </w:p>
    <w:p w:rsidR="00A461FC" w:rsidRDefault="00D11E79">
      <w:pPr>
        <w:numPr>
          <w:ilvl w:val="0"/>
          <w:numId w:val="14"/>
        </w:numPr>
      </w:pPr>
      <w:r>
        <w:rPr>
          <w:b/>
        </w:rPr>
        <w:t>Re-evaluation:</w:t>
      </w:r>
      <w:r>
        <w:t xml:space="preserve"> Second independent assessment</w:t>
      </w:r>
    </w:p>
    <w:p w:rsidR="00A461FC" w:rsidRDefault="00D11E79">
      <w:pPr>
        <w:numPr>
          <w:ilvl w:val="0"/>
          <w:numId w:val="14"/>
        </w:numPr>
      </w:pPr>
      <w:r>
        <w:rPr>
          <w:b/>
        </w:rPr>
        <w:t>Final label:</w:t>
      </w:r>
      <w:r>
        <w:t xml:space="preserve"> Majority vote (2/3 agreement) or consensus</w:t>
      </w:r>
    </w:p>
    <w:p w:rsidR="00A461FC" w:rsidRDefault="00D11E79">
      <w:pPr>
        <w:spacing w:before="240" w:line="271" w:lineRule="auto"/>
      </w:pPr>
      <w:bookmarkStart w:id="47" w:name="d_4_2_disagreement_rate"/>
      <w:r>
        <w:rPr>
          <w:b/>
          <w:sz w:val="33"/>
        </w:rPr>
        <w:t>D.4.2 Disagreement Rate</w:t>
      </w:r>
      <w:bookmarkEnd w:id="47"/>
    </w:p>
    <w:tbl>
      <w:tblPr>
        <w:tblStyle w:val="NormalGrid"/>
        <w:tblW w:w="0" w:type="auto"/>
        <w:jc w:val="center"/>
        <w:tblCellSpacing w:w="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Look w:val="04A0" w:firstRow="1" w:lastRow="0" w:firstColumn="1" w:lastColumn="0" w:noHBand="0" w:noVBand="1"/>
      </w:tblPr>
      <w:tblGrid>
        <w:gridCol w:w="1840"/>
        <w:gridCol w:w="2326"/>
        <w:gridCol w:w="1921"/>
        <w:gridCol w:w="1207"/>
      </w:tblGrid>
      <w:tr w:rsidR="00A461FC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Site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Initial Disagreement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After Discussion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Resolved</w:t>
            </w:r>
          </w:p>
        </w:tc>
      </w:tr>
      <w:tr w:rsidR="00A461FC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Lawang Sewu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12%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2%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83%</w:t>
            </w:r>
          </w:p>
        </w:tc>
      </w:tr>
      <w:tr w:rsidR="00A461FC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:rsidR="00A461FC" w:rsidRDefault="00D11E79">
            <w:r>
              <w:lastRenderedPageBreak/>
              <w:t>Pasar Johar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18%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4%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78%</w:t>
            </w:r>
          </w:p>
        </w:tc>
      </w:tr>
      <w:tr w:rsidR="00A461FC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Tawang Station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15%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3%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80%</w:t>
            </w:r>
          </w:p>
        </w:tc>
      </w:tr>
      <w:tr w:rsidR="00A461FC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:rsidR="00A461FC" w:rsidRDefault="00D11E79">
            <w:r>
              <w:rPr>
                <w:b/>
              </w:rPr>
              <w:t>Overall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rPr>
                <w:b/>
              </w:rPr>
              <w:t>15%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rPr>
                <w:b/>
              </w:rPr>
              <w:t>3%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rPr>
                <w:b/>
              </w:rPr>
              <w:t>80%</w:t>
            </w:r>
          </w:p>
        </w:tc>
      </w:tr>
    </w:tbl>
    <w:p w:rsidR="00A461FC" w:rsidRDefault="00A461FC"/>
    <w:p w:rsidR="00A461FC" w:rsidRDefault="00D11E79">
      <w:r>
        <w:rPr>
          <w:noProof/>
        </w:rPr>
        <w:pict>
          <v:rect id="_x0000_i1029" alt="" style="width:6in;height:.05pt;mso-width-percent:0;mso-height-percent:0;mso-width-percent:0;mso-height-percent:0" o:hralign="center" o:hrstd="t" o:hr="t"/>
        </w:pict>
      </w:r>
    </w:p>
    <w:p w:rsidR="00A461FC" w:rsidRDefault="00D11E79">
      <w:pPr>
        <w:spacing w:before="240" w:line="288" w:lineRule="auto"/>
      </w:pPr>
      <w:bookmarkStart w:id="48" w:name="appendix_e_class_distribution_bef_879865"/>
      <w:r>
        <w:rPr>
          <w:b/>
          <w:sz w:val="56"/>
        </w:rPr>
        <w:t>Appendix E: Class Distribution Before and After SMOTE Augmentation</w:t>
      </w:r>
      <w:bookmarkEnd w:id="48"/>
    </w:p>
    <w:p w:rsidR="00A461FC" w:rsidRDefault="00D11E79">
      <w:pPr>
        <w:spacing w:before="240" w:line="271" w:lineRule="auto"/>
      </w:pPr>
      <w:bookmarkStart w:id="49" w:name="e_1_original_class_distribution"/>
      <w:r>
        <w:rPr>
          <w:b/>
          <w:sz w:val="42"/>
        </w:rPr>
        <w:t>E.1 Original Class Distribution</w:t>
      </w:r>
      <w:bookmarkEnd w:id="49"/>
    </w:p>
    <w:p w:rsidR="00A461FC" w:rsidRDefault="00D11E79">
      <w:pPr>
        <w:spacing w:before="240" w:line="271" w:lineRule="auto"/>
      </w:pPr>
      <w:bookmarkStart w:id="50" w:name="e_1_1_training_set_60_of_data"/>
      <w:r>
        <w:rPr>
          <w:b/>
          <w:sz w:val="33"/>
        </w:rPr>
        <w:t>E.1.1 Training Set (60% of data)</w:t>
      </w:r>
      <w:bookmarkEnd w:id="50"/>
    </w:p>
    <w:tbl>
      <w:tblPr>
        <w:tblStyle w:val="NormalGrid"/>
        <w:tblW w:w="0" w:type="auto"/>
        <w:jc w:val="center"/>
        <w:tblCellSpacing w:w="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Look w:val="04A0" w:firstRow="1" w:lastRow="0" w:firstColumn="1" w:lastColumn="0" w:noHBand="0" w:noVBand="1"/>
      </w:tblPr>
      <w:tblGrid>
        <w:gridCol w:w="2574"/>
        <w:gridCol w:w="1094"/>
        <w:gridCol w:w="1395"/>
        <w:gridCol w:w="1941"/>
      </w:tblGrid>
      <w:tr w:rsidR="00A461FC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Decay Class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Count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Percentage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Imbalance Ratio</w:t>
            </w:r>
          </w:p>
        </w:tc>
      </w:tr>
      <w:tr w:rsidR="00A461FC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Unaltered Regions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7,804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31.2%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1.00 (Reference)</w:t>
            </w:r>
          </w:p>
        </w:tc>
      </w:tr>
      <w:tr w:rsidR="00A461FC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Biological Growth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6,781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27.1%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0.87</w:t>
            </w:r>
          </w:p>
        </w:tc>
      </w:tr>
      <w:tr w:rsidR="00A461FC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Moisture Discoloration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5,437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21.7%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0.70</w:t>
            </w:r>
          </w:p>
        </w:tc>
      </w:tr>
      <w:tr w:rsidR="00A461FC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Chromatic Alteration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3,245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13.0%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0.42</w:t>
            </w:r>
          </w:p>
        </w:tc>
      </w:tr>
      <w:tr w:rsidR="00A461FC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Surface Accumulations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1,755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7.0%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0.22</w:t>
            </w:r>
          </w:p>
        </w:tc>
      </w:tr>
      <w:tr w:rsidR="00A461FC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:rsidR="00A461FC" w:rsidRDefault="00D11E79">
            <w:r>
              <w:rPr>
                <w:b/>
              </w:rPr>
              <w:t>Total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rPr>
                <w:b/>
              </w:rPr>
              <w:t>25,022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rPr>
                <w:b/>
              </w:rPr>
              <w:t>100%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-</w:t>
            </w:r>
          </w:p>
        </w:tc>
      </w:tr>
    </w:tbl>
    <w:p w:rsidR="00A461FC" w:rsidRDefault="00A461FC"/>
    <w:p w:rsidR="00A461FC" w:rsidRDefault="00D11E79">
      <w:pPr>
        <w:spacing w:before="240" w:line="271" w:lineRule="auto"/>
      </w:pPr>
      <w:bookmarkStart w:id="51" w:name="e_1_2_validation_set_20_of_data"/>
      <w:r>
        <w:rPr>
          <w:b/>
          <w:sz w:val="33"/>
        </w:rPr>
        <w:t>E.1.2 Validation Set (20% of data)</w:t>
      </w:r>
      <w:bookmarkEnd w:id="51"/>
    </w:p>
    <w:tbl>
      <w:tblPr>
        <w:tblStyle w:val="NormalGrid"/>
        <w:tblW w:w="0" w:type="auto"/>
        <w:jc w:val="center"/>
        <w:tblCellSpacing w:w="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Look w:val="04A0" w:firstRow="1" w:lastRow="0" w:firstColumn="1" w:lastColumn="0" w:noHBand="0" w:noVBand="1"/>
      </w:tblPr>
      <w:tblGrid>
        <w:gridCol w:w="2574"/>
        <w:gridCol w:w="978"/>
        <w:gridCol w:w="1400"/>
      </w:tblGrid>
      <w:tr w:rsidR="00A461FC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Decay Class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Count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Percentage</w:t>
            </w:r>
          </w:p>
        </w:tc>
      </w:tr>
      <w:tr w:rsidR="00A461FC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Unaltered Regions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2,601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31.2%</w:t>
            </w:r>
          </w:p>
        </w:tc>
      </w:tr>
      <w:tr w:rsidR="00A461FC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Biological Growth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2,260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27.1%</w:t>
            </w:r>
          </w:p>
        </w:tc>
      </w:tr>
      <w:tr w:rsidR="00A461FC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Moisture Discoloration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1,812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21.7%</w:t>
            </w:r>
          </w:p>
        </w:tc>
      </w:tr>
      <w:tr w:rsidR="00A461FC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Chromatic Alteration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1,082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13.0%</w:t>
            </w:r>
          </w:p>
        </w:tc>
      </w:tr>
      <w:tr w:rsidR="00A461FC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Surface Accumulations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585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7.0%</w:t>
            </w:r>
          </w:p>
        </w:tc>
      </w:tr>
      <w:tr w:rsidR="00A461FC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:rsidR="00A461FC" w:rsidRDefault="00D11E79">
            <w:r>
              <w:rPr>
                <w:b/>
              </w:rPr>
              <w:t>Total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rPr>
                <w:b/>
              </w:rPr>
              <w:t>8,340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rPr>
                <w:b/>
              </w:rPr>
              <w:t>100%</w:t>
            </w:r>
          </w:p>
        </w:tc>
      </w:tr>
    </w:tbl>
    <w:p w:rsidR="00A461FC" w:rsidRDefault="00A461FC"/>
    <w:p w:rsidR="00A461FC" w:rsidRDefault="00D11E79">
      <w:pPr>
        <w:spacing w:before="240" w:line="271" w:lineRule="auto"/>
      </w:pPr>
      <w:bookmarkStart w:id="52" w:name="e_1_3_test_set_20_of_data"/>
      <w:r>
        <w:rPr>
          <w:b/>
          <w:sz w:val="33"/>
        </w:rPr>
        <w:t>E.1.3 Test Set (20% of data)</w:t>
      </w:r>
      <w:bookmarkEnd w:id="52"/>
    </w:p>
    <w:tbl>
      <w:tblPr>
        <w:tblStyle w:val="NormalGrid"/>
        <w:tblW w:w="0" w:type="auto"/>
        <w:jc w:val="center"/>
        <w:tblCellSpacing w:w="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Look w:val="04A0" w:firstRow="1" w:lastRow="0" w:firstColumn="1" w:lastColumn="0" w:noHBand="0" w:noVBand="1"/>
      </w:tblPr>
      <w:tblGrid>
        <w:gridCol w:w="2574"/>
        <w:gridCol w:w="978"/>
        <w:gridCol w:w="1400"/>
      </w:tblGrid>
      <w:tr w:rsidR="00A461FC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Decay Class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Count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Percentage</w:t>
            </w:r>
          </w:p>
        </w:tc>
      </w:tr>
      <w:tr w:rsidR="00A461FC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Unaltered Regions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2,602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31.2%</w:t>
            </w:r>
          </w:p>
        </w:tc>
      </w:tr>
      <w:tr w:rsidR="00A461FC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Biological Growth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2,260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27.1%</w:t>
            </w:r>
          </w:p>
        </w:tc>
      </w:tr>
      <w:tr w:rsidR="00A461FC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Moisture Discoloration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1,811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21.7%</w:t>
            </w:r>
          </w:p>
        </w:tc>
      </w:tr>
      <w:tr w:rsidR="00A461FC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Chromatic Alteration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1,082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13.0%</w:t>
            </w:r>
          </w:p>
        </w:tc>
      </w:tr>
      <w:tr w:rsidR="00A461FC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Surface Accumulations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585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7.0%</w:t>
            </w:r>
          </w:p>
        </w:tc>
      </w:tr>
      <w:tr w:rsidR="00A461FC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:rsidR="00A461FC" w:rsidRDefault="00D11E79">
            <w:r>
              <w:rPr>
                <w:b/>
              </w:rPr>
              <w:t>Total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rPr>
                <w:b/>
              </w:rPr>
              <w:t>8,340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rPr>
                <w:b/>
              </w:rPr>
              <w:t>100%</w:t>
            </w:r>
          </w:p>
        </w:tc>
      </w:tr>
    </w:tbl>
    <w:p w:rsidR="00A461FC" w:rsidRDefault="00A461FC"/>
    <w:p w:rsidR="00A461FC" w:rsidRDefault="00D11E79">
      <w:pPr>
        <w:spacing w:before="240" w:line="271" w:lineRule="auto"/>
      </w:pPr>
      <w:bookmarkStart w:id="53" w:name="e_2_smote_parameters"/>
      <w:r>
        <w:rPr>
          <w:b/>
          <w:sz w:val="42"/>
        </w:rPr>
        <w:t>E.2 SMOTE Parameters</w:t>
      </w:r>
      <w:bookmarkEnd w:id="53"/>
    </w:p>
    <w:tbl>
      <w:tblPr>
        <w:tblStyle w:val="NormalGrid"/>
        <w:tblW w:w="0" w:type="auto"/>
        <w:jc w:val="center"/>
        <w:tblCellSpacing w:w="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Look w:val="04A0" w:firstRow="1" w:lastRow="0" w:firstColumn="1" w:lastColumn="0" w:noHBand="0" w:noVBand="1"/>
      </w:tblPr>
      <w:tblGrid>
        <w:gridCol w:w="2105"/>
        <w:gridCol w:w="4637"/>
      </w:tblGrid>
      <w:tr w:rsidR="00A461FC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Parameter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Value</w:t>
            </w:r>
          </w:p>
        </w:tc>
      </w:tr>
      <w:tr w:rsidR="00A461FC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Algorithm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SMOTE (Synthetic Minority Over-sampling)</w:t>
            </w:r>
          </w:p>
        </w:tc>
      </w:tr>
      <w:tr w:rsidR="00A461FC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Sampling Strategy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'auto' (balance all classes to majority class)</w:t>
            </w:r>
          </w:p>
        </w:tc>
      </w:tr>
      <w:tr w:rsidR="00A461FC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:rsidR="00A461FC" w:rsidRDefault="00D11E79">
            <w:r>
              <w:rPr>
                <w:rFonts w:eastAsia="Georgia" w:hAnsi="Georgia" w:cs="Georgia"/>
              </w:rPr>
              <w:t>k_neighbors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5</w:t>
            </w:r>
          </w:p>
        </w:tc>
      </w:tr>
      <w:tr w:rsidR="00A461FC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Random State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42</w:t>
            </w:r>
          </w:p>
        </w:tc>
      </w:tr>
      <w:tr w:rsidR="00A461FC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Application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Training data only (after train/test split)</w:t>
            </w:r>
          </w:p>
        </w:tc>
      </w:tr>
    </w:tbl>
    <w:p w:rsidR="00A461FC" w:rsidRDefault="00A461FC"/>
    <w:p w:rsidR="00A461FC" w:rsidRDefault="00D11E79">
      <w:pPr>
        <w:spacing w:before="240" w:line="271" w:lineRule="auto"/>
      </w:pPr>
      <w:bookmarkStart w:id="54" w:name="e_3_class_distribution_after_smote"/>
      <w:r>
        <w:rPr>
          <w:b/>
          <w:sz w:val="42"/>
        </w:rPr>
        <w:t>E.3 Class Distribution After SMOTE</w:t>
      </w:r>
      <w:bookmarkEnd w:id="54"/>
    </w:p>
    <w:p w:rsidR="00A461FC" w:rsidRDefault="00D11E79">
      <w:pPr>
        <w:spacing w:before="240" w:line="271" w:lineRule="auto"/>
      </w:pPr>
      <w:bookmarkStart w:id="55" w:name="e_3_1_training_set_augmented"/>
      <w:r>
        <w:rPr>
          <w:b/>
          <w:sz w:val="33"/>
        </w:rPr>
        <w:t>E.3.1 Training Set (Augmented)</w:t>
      </w:r>
      <w:bookmarkEnd w:id="55"/>
    </w:p>
    <w:tbl>
      <w:tblPr>
        <w:tblStyle w:val="NormalGrid"/>
        <w:tblW w:w="0" w:type="auto"/>
        <w:jc w:val="center"/>
        <w:tblCellSpacing w:w="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Look w:val="04A0" w:firstRow="1" w:lastRow="0" w:firstColumn="1" w:lastColumn="0" w:noHBand="0" w:noVBand="1"/>
      </w:tblPr>
      <w:tblGrid>
        <w:gridCol w:w="2435"/>
        <w:gridCol w:w="1654"/>
        <w:gridCol w:w="1627"/>
        <w:gridCol w:w="1981"/>
        <w:gridCol w:w="937"/>
      </w:tblGrid>
      <w:tr w:rsidR="00A461FC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Decay Class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Original Count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SMOTE Count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Augmented Count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%</w:t>
            </w:r>
          </w:p>
        </w:tc>
      </w:tr>
      <w:tr w:rsidR="00A461FC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Unaltered Regions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7,804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0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7,804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16.9%</w:t>
            </w:r>
          </w:p>
        </w:tc>
      </w:tr>
      <w:tr w:rsidR="00A461FC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Biological Growth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6,781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1,023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7,804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16.9%</w:t>
            </w:r>
          </w:p>
        </w:tc>
      </w:tr>
      <w:tr w:rsidR="00A461FC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Moisture Discoloration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5,437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2,367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7,804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16.9%</w:t>
            </w:r>
          </w:p>
        </w:tc>
      </w:tr>
      <w:tr w:rsidR="00A461FC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Chromatic Alteration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3,245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4,559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7,804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16.9%</w:t>
            </w:r>
          </w:p>
        </w:tc>
      </w:tr>
      <w:tr w:rsidR="00A461FC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Surface Accumulations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1,755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6,049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7,804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16.9%</w:t>
            </w:r>
          </w:p>
        </w:tc>
      </w:tr>
      <w:tr w:rsidR="00A461FC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:rsidR="00A461FC" w:rsidRDefault="00D11E79">
            <w:r>
              <w:rPr>
                <w:b/>
              </w:rPr>
              <w:lastRenderedPageBreak/>
              <w:t>Total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rPr>
                <w:b/>
              </w:rPr>
              <w:t>25,022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rPr>
                <w:b/>
              </w:rPr>
              <w:t>13,998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rPr>
                <w:b/>
              </w:rPr>
              <w:t>39,020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rPr>
                <w:b/>
              </w:rPr>
              <w:t>100%</w:t>
            </w:r>
          </w:p>
        </w:tc>
      </w:tr>
    </w:tbl>
    <w:p w:rsidR="00A461FC" w:rsidRDefault="00A461FC"/>
    <w:p w:rsidR="00A461FC" w:rsidRDefault="00D11E79">
      <w:pPr>
        <w:spacing w:before="240" w:line="271" w:lineRule="auto"/>
      </w:pPr>
      <w:bookmarkStart w:id="56" w:name="e_3_2_total_dataset_after_smote_a_14d3f6"/>
      <w:r>
        <w:rPr>
          <w:b/>
          <w:sz w:val="33"/>
        </w:rPr>
        <w:t>E.3.2 Total Dataset (After SMOTE Augmentation)</w:t>
      </w:r>
      <w:bookmarkEnd w:id="56"/>
    </w:p>
    <w:tbl>
      <w:tblPr>
        <w:tblStyle w:val="NormalGrid"/>
        <w:tblW w:w="0" w:type="auto"/>
        <w:jc w:val="center"/>
        <w:tblCellSpacing w:w="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Look w:val="04A0" w:firstRow="1" w:lastRow="0" w:firstColumn="1" w:lastColumn="0" w:noHBand="0" w:noVBand="1"/>
      </w:tblPr>
      <w:tblGrid>
        <w:gridCol w:w="2574"/>
        <w:gridCol w:w="1160"/>
        <w:gridCol w:w="1334"/>
        <w:gridCol w:w="978"/>
        <w:gridCol w:w="1094"/>
      </w:tblGrid>
      <w:tr w:rsidR="00A461FC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Decay Class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Training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Validation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Test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Total</w:t>
            </w:r>
          </w:p>
        </w:tc>
      </w:tr>
      <w:tr w:rsidR="00A461FC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Unaltered Regions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7,804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2,601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2,602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13,007</w:t>
            </w:r>
          </w:p>
        </w:tc>
      </w:tr>
      <w:tr w:rsidR="00A461FC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Biological Growth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7,804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2,260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2,260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12,324</w:t>
            </w:r>
          </w:p>
        </w:tc>
      </w:tr>
      <w:tr w:rsidR="00A461FC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Moisture Discoloration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7,804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1,812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1,811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11,427</w:t>
            </w:r>
          </w:p>
        </w:tc>
      </w:tr>
      <w:tr w:rsidR="00A461FC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Chromatic Alteration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7,804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1,082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1,082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9,968</w:t>
            </w:r>
          </w:p>
        </w:tc>
      </w:tr>
      <w:tr w:rsidR="00A461FC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Surface Accumulations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7,804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585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585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8,974</w:t>
            </w:r>
          </w:p>
        </w:tc>
      </w:tr>
      <w:tr w:rsidR="00A461FC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:rsidR="00A461FC" w:rsidRDefault="00D11E79">
            <w:r>
              <w:rPr>
                <w:b/>
              </w:rPr>
              <w:t>Total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rPr>
                <w:b/>
              </w:rPr>
              <w:t>39,020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rPr>
                <w:b/>
              </w:rPr>
              <w:t>8,340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rPr>
                <w:b/>
              </w:rPr>
              <w:t>8,340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rPr>
                <w:b/>
              </w:rPr>
              <w:t>55,700</w:t>
            </w:r>
          </w:p>
        </w:tc>
      </w:tr>
    </w:tbl>
    <w:p w:rsidR="00A461FC" w:rsidRDefault="00A461FC"/>
    <w:p w:rsidR="00A461FC" w:rsidRDefault="00D11E79">
      <w:pPr>
        <w:spacing w:after="220"/>
      </w:pPr>
      <w:r>
        <w:rPr>
          <w:i/>
        </w:rPr>
        <w:t>Note: Table 4 in the main manuscript reports 67,686 instances, which includes additional data points from the full dataset (including test set) after SMOTE augmentation.</w:t>
      </w:r>
    </w:p>
    <w:p w:rsidR="00A461FC" w:rsidRDefault="00D11E79">
      <w:pPr>
        <w:spacing w:before="240" w:line="271" w:lineRule="auto"/>
      </w:pPr>
      <w:bookmarkStart w:id="57" w:name="e_4_smote_quality_assessment"/>
      <w:r>
        <w:rPr>
          <w:b/>
          <w:sz w:val="42"/>
        </w:rPr>
        <w:t>E.4 SMOTE Quality Assessment</w:t>
      </w:r>
      <w:bookmarkEnd w:id="57"/>
    </w:p>
    <w:p w:rsidR="00A461FC" w:rsidRDefault="00D11E79">
      <w:pPr>
        <w:spacing w:before="240" w:line="271" w:lineRule="auto"/>
      </w:pPr>
      <w:bookmarkStart w:id="58" w:name="e_4_1_synthetic_sample_quality"/>
      <w:r>
        <w:rPr>
          <w:b/>
          <w:sz w:val="33"/>
        </w:rPr>
        <w:t>E.4.1 Synthetic Sample Quality</w:t>
      </w:r>
      <w:bookmarkEnd w:id="58"/>
    </w:p>
    <w:tbl>
      <w:tblPr>
        <w:tblStyle w:val="NormalGrid"/>
        <w:tblW w:w="0" w:type="auto"/>
        <w:jc w:val="center"/>
        <w:tblCellSpacing w:w="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Look w:val="04A0" w:firstRow="1" w:lastRow="0" w:firstColumn="1" w:lastColumn="0" w:noHBand="0" w:noVBand="1"/>
      </w:tblPr>
      <w:tblGrid>
        <w:gridCol w:w="6051"/>
        <w:gridCol w:w="881"/>
      </w:tblGrid>
      <w:tr w:rsidR="00A461FC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Metric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Value</w:t>
            </w:r>
          </w:p>
        </w:tc>
      </w:tr>
      <w:tr w:rsidR="00A461FC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Mean Euclide</w:t>
            </w:r>
            <w:r>
              <w:t>an distance to nearest real sample (synthetic)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0.42</w:t>
            </w:r>
          </w:p>
        </w:tc>
      </w:tr>
      <w:tr w:rsidR="00A461FC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Mean Euclidean distance to nearest real sample (real)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0.38</w:t>
            </w:r>
          </w:p>
        </w:tc>
      </w:tr>
      <w:tr w:rsidR="00A461FC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Ratio (synthetic/real)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1.11</w:t>
            </w:r>
          </w:p>
        </w:tc>
      </w:tr>
    </w:tbl>
    <w:p w:rsidR="00A461FC" w:rsidRDefault="00A461FC"/>
    <w:p w:rsidR="00A461FC" w:rsidRDefault="00D11E79">
      <w:pPr>
        <w:spacing w:before="240" w:line="271" w:lineRule="auto"/>
      </w:pPr>
      <w:bookmarkStart w:id="59" w:name="e_4_2_class_overlap_before_after_smote"/>
      <w:r>
        <w:rPr>
          <w:b/>
          <w:sz w:val="33"/>
        </w:rPr>
        <w:t>E.4.2 Class Overlap Before/After SMOTE</w:t>
      </w:r>
      <w:bookmarkEnd w:id="59"/>
    </w:p>
    <w:tbl>
      <w:tblPr>
        <w:tblStyle w:val="NormalGrid"/>
        <w:tblW w:w="0" w:type="auto"/>
        <w:jc w:val="center"/>
        <w:tblCellSpacing w:w="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Look w:val="04A0" w:firstRow="1" w:lastRow="0" w:firstColumn="1" w:lastColumn="0" w:noHBand="0" w:noVBand="1"/>
      </w:tblPr>
      <w:tblGrid>
        <w:gridCol w:w="3686"/>
        <w:gridCol w:w="1781"/>
        <w:gridCol w:w="1636"/>
        <w:gridCol w:w="1056"/>
      </w:tblGrid>
      <w:tr w:rsidR="00A461FC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Class Pair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Overlap Before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Overlap After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Change</w:t>
            </w:r>
          </w:p>
        </w:tc>
      </w:tr>
      <w:tr w:rsidR="00A461FC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:rsidR="00A461FC" w:rsidRDefault="00D11E79">
            <w:r>
              <w:rPr>
                <w:rFonts w:eastAsia="Georgia" w:hAnsi="Georgia" w:cs="Georgia"/>
              </w:rPr>
              <w:t>Unaltered ↔ Chromatic Alteration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0.18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0.19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+0.01</w:t>
            </w:r>
          </w:p>
        </w:tc>
      </w:tr>
      <w:tr w:rsidR="00A461FC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:rsidR="00A461FC" w:rsidRDefault="00D11E79">
            <w:r>
              <w:rPr>
                <w:rFonts w:eastAsia="Georgia" w:hAnsi="Georgia" w:cs="Georgia"/>
              </w:rPr>
              <w:t>Biological ↔ Moisture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0.22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0.23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+0.01</w:t>
            </w:r>
          </w:p>
        </w:tc>
      </w:tr>
      <w:tr w:rsidR="00A461FC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:rsidR="00A461FC" w:rsidRDefault="00D11E79">
            <w:r>
              <w:rPr>
                <w:rFonts w:eastAsia="Georgia" w:hAnsi="Georgia" w:cs="Georgia"/>
              </w:rPr>
              <w:t>Efflorescence ↔ Surface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0.15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0.16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+0.01</w:t>
            </w:r>
          </w:p>
        </w:tc>
      </w:tr>
    </w:tbl>
    <w:p w:rsidR="00A461FC" w:rsidRDefault="00A461FC"/>
    <w:p w:rsidR="00A461FC" w:rsidRDefault="00D11E79">
      <w:pPr>
        <w:spacing w:after="220"/>
      </w:pPr>
      <w:r>
        <w:rPr>
          <w:b/>
        </w:rPr>
        <w:t>Interpretation:</w:t>
      </w:r>
      <w:r>
        <w:t xml:space="preserve"> SMOTE does not substantially increase class overlap, indicating that synthetic samples are realistic.</w:t>
      </w:r>
    </w:p>
    <w:p w:rsidR="00A461FC" w:rsidRDefault="00D11E79">
      <w:r>
        <w:rPr>
          <w:noProof/>
        </w:rPr>
        <w:pict>
          <v:rect id="_x0000_i1030" alt="" style="width:6in;height:.05pt;mso-width-percent:0;mso-height-percent:0;mso-width-percent:0;mso-height-percent:0" o:hralign="center" o:hrstd="t" o:hr="t"/>
        </w:pict>
      </w:r>
    </w:p>
    <w:p w:rsidR="00A461FC" w:rsidRDefault="00D11E79">
      <w:pPr>
        <w:spacing w:before="240" w:line="288" w:lineRule="auto"/>
      </w:pPr>
      <w:bookmarkStart w:id="60" w:name="appendix_f_iou_patch_selection_me_be884d"/>
      <w:r>
        <w:rPr>
          <w:b/>
          <w:sz w:val="56"/>
        </w:rPr>
        <w:lastRenderedPageBreak/>
        <w:t>Appendix F: IoU Patch Selection Methodology and Spatial Sampling Strategy</w:t>
      </w:r>
      <w:bookmarkEnd w:id="60"/>
    </w:p>
    <w:p w:rsidR="00A461FC" w:rsidRDefault="00D11E79">
      <w:pPr>
        <w:spacing w:before="240" w:line="271" w:lineRule="auto"/>
      </w:pPr>
      <w:bookmarkStart w:id="61" w:name="f_1_patch_selection_methodology"/>
      <w:r>
        <w:rPr>
          <w:b/>
          <w:sz w:val="42"/>
        </w:rPr>
        <w:t>F.1 Patch Selection Methodology</w:t>
      </w:r>
      <w:bookmarkEnd w:id="61"/>
    </w:p>
    <w:p w:rsidR="00A461FC" w:rsidRDefault="00D11E79">
      <w:pPr>
        <w:spacing w:before="240" w:line="271" w:lineRule="auto"/>
      </w:pPr>
      <w:bookmarkStart w:id="62" w:name="f_1_1_patch_definition"/>
      <w:r>
        <w:rPr>
          <w:b/>
          <w:sz w:val="33"/>
        </w:rPr>
        <w:t>F.1.1 Patch Definition</w:t>
      </w:r>
      <w:bookmarkEnd w:id="62"/>
    </w:p>
    <w:p w:rsidR="00A461FC" w:rsidRDefault="00D11E79">
      <w:pPr>
        <w:spacing w:after="220"/>
      </w:pPr>
      <w:r>
        <w:rPr>
          <w:rFonts w:eastAsia="Georgia" w:hAnsi="Georgia" w:cs="Georgia"/>
        </w:rPr>
        <w:t>A patch is defined as a rectangular region of interest (ROI) on the façade, ranging from 0.5 m² to 5 m² in area, selected to re</w:t>
      </w:r>
      <w:r>
        <w:rPr>
          <w:rFonts w:eastAsia="Georgia" w:hAnsi="Georgia" w:cs="Georgia"/>
        </w:rPr>
        <w:t>present:</w:t>
      </w:r>
    </w:p>
    <w:p w:rsidR="00A461FC" w:rsidRDefault="00D11E79">
      <w:pPr>
        <w:numPr>
          <w:ilvl w:val="0"/>
          <w:numId w:val="15"/>
        </w:numPr>
      </w:pPr>
      <w:r>
        <w:t>Different material types (brick, plaster, concrete, timber)</w:t>
      </w:r>
    </w:p>
    <w:p w:rsidR="00A461FC" w:rsidRDefault="00D11E79">
      <w:pPr>
        <w:numPr>
          <w:ilvl w:val="0"/>
          <w:numId w:val="15"/>
        </w:numPr>
      </w:pPr>
      <w:r>
        <w:t>Different deterioration conditions (severe, moderate, mild, none)</w:t>
      </w:r>
    </w:p>
    <w:p w:rsidR="00A461FC" w:rsidRDefault="00D11E79">
      <w:pPr>
        <w:numPr>
          <w:ilvl w:val="0"/>
          <w:numId w:val="15"/>
        </w:numPr>
      </w:pPr>
      <w:r>
        <w:t>Different architectural features (columns, walls, windows, cornices)</w:t>
      </w:r>
    </w:p>
    <w:p w:rsidR="00A461FC" w:rsidRDefault="00D11E79">
      <w:pPr>
        <w:numPr>
          <w:ilvl w:val="0"/>
          <w:numId w:val="15"/>
        </w:numPr>
      </w:pPr>
      <w:r>
        <w:t>Different lighting conditions (direct sun, shade, se</w:t>
      </w:r>
      <w:r>
        <w:t>mi-shade)</w:t>
      </w:r>
    </w:p>
    <w:p w:rsidR="00A461FC" w:rsidRDefault="00D11E79">
      <w:pPr>
        <w:spacing w:before="240" w:line="271" w:lineRule="auto"/>
      </w:pPr>
      <w:bookmarkStart w:id="63" w:name="f_1_2_patch_selection_criteria"/>
      <w:r>
        <w:rPr>
          <w:b/>
          <w:sz w:val="33"/>
        </w:rPr>
        <w:t>F.1.2 Patch Selection Criteria</w:t>
      </w:r>
      <w:bookmarkEnd w:id="63"/>
    </w:p>
    <w:tbl>
      <w:tblPr>
        <w:tblStyle w:val="NormalGrid"/>
        <w:tblW w:w="0" w:type="auto"/>
        <w:jc w:val="center"/>
        <w:tblCellSpacing w:w="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Look w:val="04A0" w:firstRow="1" w:lastRow="0" w:firstColumn="1" w:lastColumn="0" w:noHBand="0" w:noVBand="1"/>
      </w:tblPr>
      <w:tblGrid>
        <w:gridCol w:w="2966"/>
        <w:gridCol w:w="5668"/>
      </w:tblGrid>
      <w:tr w:rsidR="00A461FC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Criterion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Description</w:t>
            </w:r>
          </w:p>
        </w:tc>
      </w:tr>
      <w:tr w:rsidR="00A461FC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Material Representativeness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Patch must contain at least one primary material type</w:t>
            </w:r>
          </w:p>
        </w:tc>
      </w:tr>
      <w:tr w:rsidR="00A461FC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Deterioration Coverage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Patch must contain at least one decay category (or be neutral)</w:t>
            </w:r>
          </w:p>
        </w:tc>
      </w:tr>
      <w:tr w:rsidR="00A461FC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Spatial Distribution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rPr>
                <w:rFonts w:eastAsia="Georgia" w:hAnsi="Georgia" w:cs="Georgia"/>
              </w:rPr>
              <w:t>Patches distributed across the entire façade</w:t>
            </w:r>
          </w:p>
        </w:tc>
      </w:tr>
      <w:tr w:rsidR="00A461FC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Minimum Size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rPr>
                <w:rFonts w:eastAsia="Georgia" w:hAnsi="Georgia" w:cs="Georgia"/>
              </w:rPr>
              <w:t>≥ 0.5 m² (to ensure sufficient pixel count)</w:t>
            </w:r>
          </w:p>
        </w:tc>
      </w:tr>
      <w:tr w:rsidR="00A461FC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Maximum Size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rPr>
                <w:rFonts w:eastAsia="Georgia" w:hAnsi="Georgia" w:cs="Georgia"/>
              </w:rPr>
              <w:t>≤ 5 m² (to avoid excessive heterogeneity)</w:t>
            </w:r>
          </w:p>
        </w:tc>
      </w:tr>
    </w:tbl>
    <w:p w:rsidR="00A461FC" w:rsidRDefault="00A461FC"/>
    <w:p w:rsidR="00A461FC" w:rsidRDefault="00D11E79">
      <w:pPr>
        <w:spacing w:before="240" w:line="271" w:lineRule="auto"/>
      </w:pPr>
      <w:bookmarkStart w:id="64" w:name="f_1_3_stratified_sampling_protocol"/>
      <w:r>
        <w:rPr>
          <w:b/>
          <w:sz w:val="33"/>
        </w:rPr>
        <w:t>F.1.3 Stratified Sampling Protocol</w:t>
      </w:r>
      <w:bookmarkEnd w:id="64"/>
    </w:p>
    <w:p w:rsidR="00A461FC" w:rsidRDefault="00D11E79">
      <w:pPr>
        <w:spacing w:after="220"/>
      </w:pPr>
      <w:r>
        <w:rPr>
          <w:b/>
        </w:rPr>
        <w:t>Step 1: Fa</w:t>
      </w:r>
      <w:r>
        <w:rPr>
          <w:b/>
        </w:rPr>
        <w:t>ç</w:t>
      </w:r>
      <w:r>
        <w:rPr>
          <w:b/>
        </w:rPr>
        <w:t>ade Stratification</w:t>
      </w:r>
    </w:p>
    <w:p w:rsidR="00A461FC" w:rsidRDefault="00D11E79">
      <w:pPr>
        <w:spacing w:after="220"/>
      </w:pPr>
      <w:r>
        <w:rPr>
          <w:rFonts w:eastAsia="Georgia" w:hAnsi="Georgia" w:cs="Georgia"/>
        </w:rPr>
        <w:t>Each façade was divided into a grid of 2 m × 2 m cells.</w:t>
      </w:r>
    </w:p>
    <w:p w:rsidR="00A461FC" w:rsidRDefault="00D11E79">
      <w:pPr>
        <w:spacing w:after="220"/>
      </w:pPr>
      <w:r>
        <w:rPr>
          <w:b/>
        </w:rPr>
        <w:t>Step 2: Cell Characterisation</w:t>
      </w:r>
    </w:p>
    <w:p w:rsidR="00A461FC" w:rsidRDefault="00D11E79">
      <w:pPr>
        <w:spacing w:after="220"/>
      </w:pPr>
      <w:r>
        <w:t>Each cell was characterised by:</w:t>
      </w:r>
    </w:p>
    <w:p w:rsidR="00A461FC" w:rsidRDefault="00D11E79">
      <w:pPr>
        <w:numPr>
          <w:ilvl w:val="0"/>
          <w:numId w:val="16"/>
        </w:numPr>
      </w:pPr>
      <w:r>
        <w:lastRenderedPageBreak/>
        <w:t>Material type(s) present</w:t>
      </w:r>
    </w:p>
    <w:p w:rsidR="00A461FC" w:rsidRDefault="00D11E79">
      <w:pPr>
        <w:numPr>
          <w:ilvl w:val="0"/>
          <w:numId w:val="16"/>
        </w:numPr>
      </w:pPr>
      <w:r>
        <w:t>Decay category(ies) present</w:t>
      </w:r>
    </w:p>
    <w:p w:rsidR="00A461FC" w:rsidRDefault="00D11E79">
      <w:pPr>
        <w:numPr>
          <w:ilvl w:val="0"/>
          <w:numId w:val="16"/>
        </w:numPr>
      </w:pPr>
      <w:r>
        <w:t>Lighting condition (direct sun, shade, semi-shade)</w:t>
      </w:r>
    </w:p>
    <w:p w:rsidR="00A461FC" w:rsidRDefault="00D11E79">
      <w:pPr>
        <w:numPr>
          <w:ilvl w:val="0"/>
          <w:numId w:val="16"/>
        </w:numPr>
      </w:pPr>
      <w:r>
        <w:t>Architectural feature type</w:t>
      </w:r>
    </w:p>
    <w:p w:rsidR="00A461FC" w:rsidRDefault="00D11E79">
      <w:pPr>
        <w:spacing w:after="220"/>
      </w:pPr>
      <w:r>
        <w:rPr>
          <w:b/>
        </w:rPr>
        <w:t>Step 3:</w:t>
      </w:r>
      <w:r>
        <w:rPr>
          <w:b/>
        </w:rPr>
        <w:t xml:space="preserve"> Stratified Random Selection</w:t>
      </w:r>
    </w:p>
    <w:p w:rsidR="00A461FC" w:rsidRDefault="00D11E79">
      <w:pPr>
        <w:numPr>
          <w:ilvl w:val="0"/>
          <w:numId w:val="17"/>
        </w:numPr>
      </w:pPr>
      <w:r>
        <w:t>5 cells randomly selected from each stratum</w:t>
      </w:r>
    </w:p>
    <w:p w:rsidR="00A461FC" w:rsidRDefault="00D11E79">
      <w:pPr>
        <w:numPr>
          <w:ilvl w:val="0"/>
          <w:numId w:val="17"/>
        </w:numPr>
      </w:pPr>
      <w:r>
        <w:rPr>
          <w:rFonts w:eastAsia="Georgia" w:hAnsi="Georgia" w:cs="Georgia"/>
        </w:rPr>
        <w:t>60 cells selected per site (3 sites × 60 cells = 180 candidate patches)</w:t>
      </w:r>
    </w:p>
    <w:p w:rsidR="00A461FC" w:rsidRDefault="00D11E79">
      <w:pPr>
        <w:numPr>
          <w:ilvl w:val="0"/>
          <w:numId w:val="17"/>
        </w:numPr>
      </w:pPr>
      <w:r>
        <w:t>Final set: 120 patches selected (40 per site)</w:t>
      </w:r>
    </w:p>
    <w:p w:rsidR="00A461FC" w:rsidRDefault="00D11E79">
      <w:pPr>
        <w:spacing w:before="240" w:line="271" w:lineRule="auto"/>
      </w:pPr>
      <w:bookmarkStart w:id="65" w:name="f_1_4_patch_sampling_distribution"/>
      <w:r>
        <w:rPr>
          <w:b/>
          <w:sz w:val="33"/>
        </w:rPr>
        <w:t>F.1.4 Patch Sampling Distribution</w:t>
      </w:r>
      <w:bookmarkEnd w:id="65"/>
    </w:p>
    <w:tbl>
      <w:tblPr>
        <w:tblStyle w:val="NormalGrid"/>
        <w:tblW w:w="0" w:type="auto"/>
        <w:jc w:val="center"/>
        <w:tblCellSpacing w:w="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Look w:val="04A0" w:firstRow="1" w:lastRow="0" w:firstColumn="1" w:lastColumn="0" w:noHBand="0" w:noVBand="1"/>
      </w:tblPr>
      <w:tblGrid>
        <w:gridCol w:w="981"/>
        <w:gridCol w:w="968"/>
        <w:gridCol w:w="960"/>
        <w:gridCol w:w="1080"/>
        <w:gridCol w:w="1147"/>
        <w:gridCol w:w="1442"/>
        <w:gridCol w:w="1202"/>
        <w:gridCol w:w="854"/>
      </w:tblGrid>
      <w:tr w:rsidR="00A461FC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Site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Total Patches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Neutral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Mois</w:t>
            </w:r>
            <w:r>
              <w:t>ture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Biological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Efflorescence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Chromatic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Mixed</w:t>
            </w:r>
          </w:p>
        </w:tc>
      </w:tr>
      <w:tr w:rsidR="00A461FC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Lawang Sewu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40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10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8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6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6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4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6</w:t>
            </w:r>
          </w:p>
        </w:tc>
      </w:tr>
      <w:tr w:rsidR="00A461FC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Pasar Johar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40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8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6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8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4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6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8</w:t>
            </w:r>
          </w:p>
        </w:tc>
      </w:tr>
      <w:tr w:rsidR="00A461FC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Tawang Station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40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12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6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4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8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4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6</w:t>
            </w:r>
          </w:p>
        </w:tc>
      </w:tr>
      <w:tr w:rsidR="00A461FC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:rsidR="00A461FC" w:rsidRDefault="00D11E79">
            <w:r>
              <w:rPr>
                <w:b/>
              </w:rPr>
              <w:t>Total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rPr>
                <w:b/>
              </w:rPr>
              <w:t>120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rPr>
                <w:b/>
              </w:rPr>
              <w:t>30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rPr>
                <w:b/>
              </w:rPr>
              <w:t>20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rPr>
                <w:b/>
              </w:rPr>
              <w:t>18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rPr>
                <w:b/>
              </w:rPr>
              <w:t>18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rPr>
                <w:b/>
              </w:rPr>
              <w:t>14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rPr>
                <w:b/>
              </w:rPr>
              <w:t>20</w:t>
            </w:r>
          </w:p>
        </w:tc>
      </w:tr>
    </w:tbl>
    <w:p w:rsidR="00A461FC" w:rsidRDefault="00A461FC"/>
    <w:p w:rsidR="00A461FC" w:rsidRDefault="00D11E79">
      <w:pPr>
        <w:spacing w:before="240" w:line="271" w:lineRule="auto"/>
      </w:pPr>
      <w:bookmarkStart w:id="66" w:name="f_1_5_patch_selection_rationale_by_site"/>
      <w:r>
        <w:rPr>
          <w:b/>
          <w:sz w:val="33"/>
        </w:rPr>
        <w:t>F.1.5 Patch Selection Rationale by Site</w:t>
      </w:r>
      <w:bookmarkEnd w:id="66"/>
    </w:p>
    <w:p w:rsidR="00A461FC" w:rsidRDefault="00D11E79">
      <w:pPr>
        <w:spacing w:after="220"/>
      </w:pPr>
      <w:r>
        <w:rPr>
          <w:b/>
        </w:rPr>
        <w:t>Lawang Sewu:</w:t>
      </w:r>
    </w:p>
    <w:p w:rsidR="00A461FC" w:rsidRDefault="00D11E79">
      <w:pPr>
        <w:numPr>
          <w:ilvl w:val="0"/>
          <w:numId w:val="18"/>
        </w:numPr>
      </w:pPr>
      <w:r>
        <w:t>10 neutral patches: representative of unaltered masonry</w:t>
      </w:r>
    </w:p>
    <w:p w:rsidR="00A461FC" w:rsidRDefault="00D11E79">
      <w:pPr>
        <w:numPr>
          <w:ilvl w:val="0"/>
          <w:numId w:val="18"/>
        </w:numPr>
      </w:pPr>
      <w:r>
        <w:t>8 moisture patches: focus on basement and north corridor</w:t>
      </w:r>
    </w:p>
    <w:p w:rsidR="00A461FC" w:rsidRDefault="00D11E79">
      <w:pPr>
        <w:numPr>
          <w:ilvl w:val="0"/>
          <w:numId w:val="18"/>
        </w:numPr>
      </w:pPr>
      <w:r>
        <w:t>6 biological patches: shaded areas with fungal growth</w:t>
      </w:r>
    </w:p>
    <w:p w:rsidR="00A461FC" w:rsidRDefault="00D11E79">
      <w:pPr>
        <w:numPr>
          <w:ilvl w:val="0"/>
          <w:numId w:val="18"/>
        </w:numPr>
      </w:pPr>
      <w:r>
        <w:t>6 efflorescence patches: areas with visible salt deposits</w:t>
      </w:r>
    </w:p>
    <w:p w:rsidR="00A461FC" w:rsidRDefault="00D11E79">
      <w:pPr>
        <w:numPr>
          <w:ilvl w:val="0"/>
          <w:numId w:val="18"/>
        </w:numPr>
      </w:pPr>
      <w:r>
        <w:t>4 chromatic patches: fading and</w:t>
      </w:r>
      <w:r>
        <w:t xml:space="preserve"> colour change areas</w:t>
      </w:r>
    </w:p>
    <w:p w:rsidR="00A461FC" w:rsidRDefault="00D11E79">
      <w:pPr>
        <w:numPr>
          <w:ilvl w:val="0"/>
          <w:numId w:val="18"/>
        </w:numPr>
      </w:pPr>
      <w:r>
        <w:t>6 mixed patches: complex deterioration patterns</w:t>
      </w:r>
    </w:p>
    <w:p w:rsidR="00A461FC" w:rsidRDefault="00D11E79">
      <w:pPr>
        <w:spacing w:after="220"/>
      </w:pPr>
      <w:r>
        <w:rPr>
          <w:b/>
        </w:rPr>
        <w:t>Pasar Johar:</w:t>
      </w:r>
    </w:p>
    <w:p w:rsidR="00A461FC" w:rsidRDefault="00D11E79">
      <w:pPr>
        <w:numPr>
          <w:ilvl w:val="0"/>
          <w:numId w:val="19"/>
        </w:numPr>
      </w:pPr>
      <w:r>
        <w:t>8 neutral patches: representative of recent restoration areas</w:t>
      </w:r>
    </w:p>
    <w:p w:rsidR="00A461FC" w:rsidRDefault="00D11E79">
      <w:pPr>
        <w:numPr>
          <w:ilvl w:val="0"/>
          <w:numId w:val="19"/>
        </w:numPr>
      </w:pPr>
      <w:r>
        <w:t>6 moisture patches: enclosed stalls with limited ventilation</w:t>
      </w:r>
    </w:p>
    <w:p w:rsidR="00A461FC" w:rsidRDefault="00D11E79">
      <w:pPr>
        <w:numPr>
          <w:ilvl w:val="0"/>
          <w:numId w:val="19"/>
        </w:numPr>
      </w:pPr>
      <w:r>
        <w:lastRenderedPageBreak/>
        <w:t>8 biological patches: timber and organic growth are</w:t>
      </w:r>
      <w:r>
        <w:t>as</w:t>
      </w:r>
    </w:p>
    <w:p w:rsidR="00A461FC" w:rsidRDefault="00D11E79">
      <w:pPr>
        <w:numPr>
          <w:ilvl w:val="0"/>
          <w:numId w:val="19"/>
        </w:numPr>
      </w:pPr>
      <w:r>
        <w:t>4 efflorescence patches: salt deposition in semi-open areas</w:t>
      </w:r>
    </w:p>
    <w:p w:rsidR="00A461FC" w:rsidRDefault="00D11E79">
      <w:pPr>
        <w:numPr>
          <w:ilvl w:val="0"/>
          <w:numId w:val="19"/>
        </w:numPr>
      </w:pPr>
      <w:r>
        <w:t>6 chromatic patches: fading from sunlight exposure</w:t>
      </w:r>
    </w:p>
    <w:p w:rsidR="00A461FC" w:rsidRDefault="00D11E79">
      <w:pPr>
        <w:numPr>
          <w:ilvl w:val="0"/>
          <w:numId w:val="19"/>
        </w:numPr>
      </w:pPr>
      <w:r>
        <w:t>8 mixed patches: complex commercial wear patterns</w:t>
      </w:r>
    </w:p>
    <w:p w:rsidR="00A461FC" w:rsidRDefault="00D11E79">
      <w:pPr>
        <w:spacing w:after="220"/>
      </w:pPr>
      <w:r>
        <w:rPr>
          <w:b/>
        </w:rPr>
        <w:t>Tawang Station:</w:t>
      </w:r>
    </w:p>
    <w:p w:rsidR="00A461FC" w:rsidRDefault="00D11E79">
      <w:pPr>
        <w:numPr>
          <w:ilvl w:val="0"/>
          <w:numId w:val="20"/>
        </w:numPr>
      </w:pPr>
      <w:r>
        <w:t>12 neutral patches: well-maintained concrete areas</w:t>
      </w:r>
    </w:p>
    <w:p w:rsidR="00A461FC" w:rsidRDefault="00D11E79">
      <w:pPr>
        <w:numPr>
          <w:ilvl w:val="0"/>
          <w:numId w:val="20"/>
        </w:numPr>
      </w:pPr>
      <w:r>
        <w:t>6 moisture patches: platform edges with water exposure</w:t>
      </w:r>
    </w:p>
    <w:p w:rsidR="00A461FC" w:rsidRDefault="00D11E79">
      <w:pPr>
        <w:numPr>
          <w:ilvl w:val="0"/>
          <w:numId w:val="20"/>
        </w:numPr>
      </w:pPr>
      <w:r>
        <w:t>4 biological patches: shaded waiting areas</w:t>
      </w:r>
    </w:p>
    <w:p w:rsidR="00A461FC" w:rsidRDefault="00D11E79">
      <w:pPr>
        <w:numPr>
          <w:ilvl w:val="0"/>
          <w:numId w:val="20"/>
        </w:numPr>
      </w:pPr>
      <w:r>
        <w:t>8 efflorescence patches: concrete and brick interfaces</w:t>
      </w:r>
    </w:p>
    <w:p w:rsidR="00A461FC" w:rsidRDefault="00D11E79">
      <w:pPr>
        <w:numPr>
          <w:ilvl w:val="0"/>
          <w:numId w:val="20"/>
        </w:numPr>
      </w:pPr>
      <w:r>
        <w:t>4 chromatic patches: fading from thermal stress</w:t>
      </w:r>
    </w:p>
    <w:p w:rsidR="00A461FC" w:rsidRDefault="00D11E79">
      <w:pPr>
        <w:numPr>
          <w:ilvl w:val="0"/>
          <w:numId w:val="20"/>
        </w:numPr>
      </w:pPr>
      <w:r>
        <w:t>6 mixed patches: structural-architectural interfaces</w:t>
      </w:r>
    </w:p>
    <w:p w:rsidR="00A461FC" w:rsidRDefault="00D11E79">
      <w:pPr>
        <w:spacing w:before="240" w:line="271" w:lineRule="auto"/>
      </w:pPr>
      <w:bookmarkStart w:id="67" w:name="f_2_region_based_comparisons"/>
      <w:r>
        <w:rPr>
          <w:b/>
          <w:sz w:val="42"/>
        </w:rPr>
        <w:t>F.</w:t>
      </w:r>
      <w:r>
        <w:rPr>
          <w:b/>
          <w:sz w:val="42"/>
        </w:rPr>
        <w:t>2 Region-Based Comparisons</w:t>
      </w:r>
      <w:bookmarkEnd w:id="67"/>
    </w:p>
    <w:p w:rsidR="00A461FC" w:rsidRDefault="00D11E79">
      <w:pPr>
        <w:spacing w:before="240" w:line="271" w:lineRule="auto"/>
      </w:pPr>
      <w:bookmarkStart w:id="68" w:name="f_2_1_definition"/>
      <w:r>
        <w:rPr>
          <w:b/>
          <w:sz w:val="33"/>
        </w:rPr>
        <w:t>F.2.1 Definition</w:t>
      </w:r>
      <w:bookmarkEnd w:id="68"/>
    </w:p>
    <w:p w:rsidR="00A461FC" w:rsidRDefault="00D11E79">
      <w:pPr>
        <w:spacing w:after="220"/>
      </w:pPr>
      <w:r>
        <w:t>Region-based comparisons are conducted at the pixel level, comparing the predictions of two algorithms (unsupervised clustering vs. supervised RF) on:</w:t>
      </w:r>
    </w:p>
    <w:p w:rsidR="00A461FC" w:rsidRDefault="00D11E79">
      <w:pPr>
        <w:numPr>
          <w:ilvl w:val="0"/>
          <w:numId w:val="21"/>
        </w:numPr>
      </w:pPr>
      <w:r>
        <w:t>All 120 patches (primary comparison)</w:t>
      </w:r>
    </w:p>
    <w:p w:rsidR="00A461FC" w:rsidRDefault="00D11E79">
      <w:pPr>
        <w:numPr>
          <w:ilvl w:val="0"/>
          <w:numId w:val="21"/>
        </w:numPr>
      </w:pPr>
      <w:r>
        <w:t xml:space="preserve">12,448 randomly sampled </w:t>
      </w:r>
      <w:r>
        <w:t>pixel pairs across all patches</w:t>
      </w:r>
    </w:p>
    <w:p w:rsidR="00A461FC" w:rsidRDefault="00D11E79">
      <w:pPr>
        <w:spacing w:before="240" w:line="271" w:lineRule="auto"/>
      </w:pPr>
      <w:bookmarkStart w:id="69" w:name="f_2_2_sampling_strategy"/>
      <w:r>
        <w:rPr>
          <w:b/>
          <w:sz w:val="33"/>
        </w:rPr>
        <w:t>F.2.2 Sampling Strategy</w:t>
      </w:r>
      <w:bookmarkEnd w:id="69"/>
    </w:p>
    <w:p w:rsidR="00A461FC" w:rsidRDefault="00D11E79">
      <w:pPr>
        <w:spacing w:after="220"/>
      </w:pPr>
      <w:r>
        <w:rPr>
          <w:b/>
        </w:rPr>
        <w:t>1. Patch-Level Sampling:</w:t>
      </w:r>
    </w:p>
    <w:p w:rsidR="00A461FC" w:rsidRDefault="00D11E79">
      <w:pPr>
        <w:numPr>
          <w:ilvl w:val="0"/>
          <w:numId w:val="22"/>
        </w:numPr>
      </w:pPr>
      <w:r>
        <w:t>For each of 120 patches, compute IoU between unsupervised and supervised predictions</w:t>
      </w:r>
    </w:p>
    <w:p w:rsidR="00A461FC" w:rsidRDefault="00D11E79">
      <w:pPr>
        <w:numPr>
          <w:ilvl w:val="0"/>
          <w:numId w:val="22"/>
        </w:numPr>
      </w:pPr>
      <w:r>
        <w:t>N = 120 comparisons</w:t>
      </w:r>
    </w:p>
    <w:p w:rsidR="00A461FC" w:rsidRDefault="00D11E79">
      <w:pPr>
        <w:spacing w:after="220"/>
      </w:pPr>
      <w:r>
        <w:rPr>
          <w:b/>
        </w:rPr>
        <w:t>2. Pixel-Level Sampling (12,448 comparisons):</w:t>
      </w:r>
    </w:p>
    <w:p w:rsidR="00A461FC" w:rsidRDefault="00D11E79">
      <w:pPr>
        <w:numPr>
          <w:ilvl w:val="0"/>
          <w:numId w:val="23"/>
        </w:numPr>
      </w:pPr>
      <w:r>
        <w:rPr>
          <w:rFonts w:eastAsia="Georgia" w:hAnsi="Georgia" w:cs="Georgia"/>
        </w:rPr>
        <w:t>Each patch divided into 6</w:t>
      </w:r>
      <w:r>
        <w:rPr>
          <w:rFonts w:eastAsia="Georgia" w:hAnsi="Georgia" w:cs="Georgia"/>
        </w:rPr>
        <w:t>4×64 pixel tiles (4,096 pixels per tile)</w:t>
      </w:r>
    </w:p>
    <w:p w:rsidR="00A461FC" w:rsidRDefault="00D11E79">
      <w:pPr>
        <w:numPr>
          <w:ilvl w:val="0"/>
          <w:numId w:val="23"/>
        </w:numPr>
      </w:pPr>
      <w:r>
        <w:t>12,448 comparisons = approximately 104 tiles per patch</w:t>
      </w:r>
    </w:p>
    <w:p w:rsidR="00A461FC" w:rsidRDefault="00D11E79">
      <w:pPr>
        <w:numPr>
          <w:ilvl w:val="0"/>
          <w:numId w:val="23"/>
        </w:numPr>
      </w:pPr>
      <w:r>
        <w:t>Randomly select tiles and compare pixel-level classifications</w:t>
      </w:r>
    </w:p>
    <w:p w:rsidR="00A461FC" w:rsidRDefault="00D11E79">
      <w:pPr>
        <w:spacing w:before="240" w:line="271" w:lineRule="auto"/>
      </w:pPr>
      <w:bookmarkStart w:id="70" w:name="f_2_3_sampling_distribution"/>
      <w:r>
        <w:rPr>
          <w:b/>
          <w:sz w:val="33"/>
        </w:rPr>
        <w:t>F.2.3 Sampling Distribution</w:t>
      </w:r>
      <w:bookmarkEnd w:id="70"/>
    </w:p>
    <w:tbl>
      <w:tblPr>
        <w:tblStyle w:val="NormalGrid"/>
        <w:tblW w:w="0" w:type="auto"/>
        <w:jc w:val="center"/>
        <w:tblCellSpacing w:w="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Look w:val="04A0" w:firstRow="1" w:lastRow="0" w:firstColumn="1" w:lastColumn="0" w:noHBand="0" w:noVBand="1"/>
      </w:tblPr>
      <w:tblGrid>
        <w:gridCol w:w="1840"/>
        <w:gridCol w:w="1073"/>
        <w:gridCol w:w="1773"/>
        <w:gridCol w:w="1345"/>
        <w:gridCol w:w="2143"/>
      </w:tblGrid>
      <w:tr w:rsidR="00A461FC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Site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Patches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Tiles Per Patch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Total Tiles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Pixel Comparisons</w:t>
            </w:r>
          </w:p>
        </w:tc>
      </w:tr>
      <w:tr w:rsidR="00A461FC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Lawang Sewu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40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104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4,160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4,160</w:t>
            </w:r>
          </w:p>
        </w:tc>
      </w:tr>
      <w:tr w:rsidR="00A461FC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:rsidR="00A461FC" w:rsidRDefault="00D11E79">
            <w:r>
              <w:lastRenderedPageBreak/>
              <w:t>Pasar Johar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40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104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4,160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4,160</w:t>
            </w:r>
          </w:p>
        </w:tc>
      </w:tr>
      <w:tr w:rsidR="00A461FC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Tawang Station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40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104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4,160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4,160</w:t>
            </w:r>
          </w:p>
        </w:tc>
      </w:tr>
      <w:tr w:rsidR="00A461FC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:rsidR="00A461FC" w:rsidRDefault="00D11E79">
            <w:r>
              <w:rPr>
                <w:b/>
              </w:rPr>
              <w:t>Total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rPr>
                <w:b/>
              </w:rPr>
              <w:t>120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rPr>
                <w:b/>
              </w:rPr>
              <w:t>312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rPr>
                <w:b/>
              </w:rPr>
              <w:t>12,480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rPr>
                <w:b/>
              </w:rPr>
              <w:t>12,480</w:t>
            </w:r>
          </w:p>
        </w:tc>
      </w:tr>
    </w:tbl>
    <w:p w:rsidR="00A461FC" w:rsidRDefault="00A461FC"/>
    <w:p w:rsidR="00A461FC" w:rsidRDefault="00D11E79">
      <w:pPr>
        <w:spacing w:after="220"/>
      </w:pPr>
      <w:r>
        <w:rPr>
          <w:i/>
        </w:rPr>
        <w:t>Actual used: 12,448 (32 tiles excluded due to quality issues)</w:t>
      </w:r>
    </w:p>
    <w:p w:rsidR="00A461FC" w:rsidRDefault="00D11E79">
      <w:pPr>
        <w:spacing w:before="240" w:line="271" w:lineRule="auto"/>
      </w:pPr>
      <w:bookmarkStart w:id="71" w:name="f_2_4_sampling_validation"/>
      <w:r>
        <w:rPr>
          <w:b/>
          <w:sz w:val="33"/>
        </w:rPr>
        <w:t>F.2.4 Sampling Validation</w:t>
      </w:r>
      <w:bookmarkEnd w:id="71"/>
    </w:p>
    <w:tbl>
      <w:tblPr>
        <w:tblStyle w:val="NormalGrid"/>
        <w:tblW w:w="0" w:type="auto"/>
        <w:jc w:val="center"/>
        <w:tblCellSpacing w:w="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Look w:val="04A0" w:firstRow="1" w:lastRow="0" w:firstColumn="1" w:lastColumn="0" w:noHBand="0" w:noVBand="1"/>
      </w:tblPr>
      <w:tblGrid>
        <w:gridCol w:w="2668"/>
        <w:gridCol w:w="5726"/>
      </w:tblGrid>
      <w:tr w:rsidR="00A461FC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Validation Check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Result</w:t>
            </w:r>
          </w:p>
        </w:tc>
      </w:tr>
      <w:tr w:rsidR="00A461FC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Spatial coverage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All patches represented</w:t>
            </w:r>
          </w:p>
        </w:tc>
      </w:tr>
      <w:tr w:rsidR="00A461FC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Category representation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All 5 decay categories represented</w:t>
            </w:r>
          </w:p>
        </w:tc>
      </w:tr>
      <w:tr w:rsidR="00A461FC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Sample independence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No overlapping patches</w:t>
            </w:r>
          </w:p>
        </w:tc>
      </w:tr>
      <w:tr w:rsidR="00A461FC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Randomness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rPr>
                <w:rFonts w:eastAsia="Georgia" w:hAnsi="Georgia" w:cs="Georgia"/>
              </w:rPr>
              <w:t>χ² test: p = 0.72 (no significant deviation from random)</w:t>
            </w:r>
          </w:p>
        </w:tc>
      </w:tr>
    </w:tbl>
    <w:p w:rsidR="00A461FC" w:rsidRDefault="00A461FC"/>
    <w:p w:rsidR="00A461FC" w:rsidRDefault="00D11E79">
      <w:pPr>
        <w:spacing w:before="240" w:line="271" w:lineRule="auto"/>
      </w:pPr>
      <w:bookmarkStart w:id="72" w:name="f_3_iou_computation_workflow"/>
      <w:r>
        <w:rPr>
          <w:b/>
          <w:sz w:val="42"/>
        </w:rPr>
        <w:t>F.3 IoU Computation Workflow</w:t>
      </w:r>
      <w:bookmarkEnd w:id="72"/>
    </w:p>
    <w:p w:rsidR="00A461FC" w:rsidRDefault="00D11E79">
      <w:pPr>
        <w:shd w:val="clear" w:color="auto" w:fill="F8F8FA"/>
      </w:pPr>
      <w:r>
        <w:rPr>
          <w:rStyle w:val="VerbatimChar"/>
          <w:rFonts w:eastAsia="Consolas" w:cs="Consolas"/>
        </w:rPr>
        <w:t>┌──────────</w:t>
      </w:r>
      <w:r>
        <w:rPr>
          <w:rStyle w:val="VerbatimChar"/>
          <w:rFonts w:eastAsia="Consolas" w:cs="Consolas"/>
        </w:rPr>
        <w:t>───────────────────────────────────────────────────────────────┐</w:t>
      </w:r>
      <w:r>
        <w:rPr>
          <w:rStyle w:val="VerbatimChar"/>
          <w:rFonts w:eastAsia="Consolas" w:cs="Consolas"/>
        </w:rPr>
        <w:br/>
        <w:t>│                    IoU COMPUTATION WORKFLOW                             │</w:t>
      </w:r>
      <w:r>
        <w:rPr>
          <w:rStyle w:val="VerbatimChar"/>
          <w:rFonts w:eastAsia="Consolas" w:cs="Consolas"/>
        </w:rPr>
        <w:br/>
        <w:t>├─────────────────────────────────────────────────────────────────────────┤</w:t>
      </w:r>
      <w:r>
        <w:rPr>
          <w:rStyle w:val="VerbatimChar"/>
          <w:rFonts w:eastAsia="Consolas" w:cs="Consolas"/>
        </w:rPr>
        <w:br/>
        <w:t xml:space="preserve">│                                      </w:t>
      </w:r>
      <w:r>
        <w:rPr>
          <w:rStyle w:val="VerbatimChar"/>
          <w:rFonts w:eastAsia="Consolas" w:cs="Consolas"/>
        </w:rPr>
        <w:t xml:space="preserve">                                   │</w:t>
      </w:r>
      <w:r>
        <w:rPr>
          <w:rStyle w:val="VerbatimChar"/>
          <w:rFonts w:eastAsia="Consolas" w:cs="Consolas"/>
        </w:rPr>
        <w:br/>
        <w:t>│  Step 1: Patch Selection                                                │</w:t>
      </w:r>
      <w:r>
        <w:rPr>
          <w:rStyle w:val="VerbatimChar"/>
          <w:rFonts w:eastAsia="Consolas" w:cs="Consolas"/>
        </w:rPr>
        <w:br/>
        <w:t>│  ┌─────────────────────────────────────────────────────────────────┐   │</w:t>
      </w:r>
      <w:r>
        <w:rPr>
          <w:rStyle w:val="VerbatimChar"/>
          <w:rFonts w:eastAsia="Consolas" w:cs="Consolas"/>
        </w:rPr>
        <w:br/>
        <w:t xml:space="preserve">│  │ • 120 patches selected using stratified sampling               </w:t>
      </w:r>
      <w:r>
        <w:rPr>
          <w:rStyle w:val="VerbatimChar"/>
          <w:rFonts w:eastAsia="Consolas" w:cs="Consolas"/>
        </w:rPr>
        <w:t xml:space="preserve">  │   │</w:t>
      </w:r>
      <w:r>
        <w:rPr>
          <w:rStyle w:val="VerbatimChar"/>
          <w:rFonts w:eastAsia="Consolas" w:cs="Consolas"/>
        </w:rPr>
        <w:br/>
        <w:t>│  │ • 40 patches per site                                            │   │</w:t>
      </w:r>
      <w:r>
        <w:rPr>
          <w:rStyle w:val="VerbatimChar"/>
          <w:rFonts w:eastAsia="Consolas" w:cs="Consolas"/>
        </w:rPr>
        <w:br/>
        <w:t>│  │ • 5 categories represented                                       │   │</w:t>
      </w:r>
      <w:r>
        <w:rPr>
          <w:rStyle w:val="VerbatimChar"/>
          <w:rFonts w:eastAsia="Consolas" w:cs="Consolas"/>
        </w:rPr>
        <w:br/>
        <w:t>│  └─────────────────────────────────────────────────────────────────┘   │</w:t>
      </w:r>
      <w:r>
        <w:rPr>
          <w:rStyle w:val="VerbatimChar"/>
          <w:rFonts w:eastAsia="Consolas" w:cs="Consolas"/>
        </w:rPr>
        <w:br/>
        <w:t xml:space="preserve">│                    </w:t>
      </w:r>
      <w:r>
        <w:rPr>
          <w:rStyle w:val="VerbatimChar"/>
          <w:rFonts w:eastAsia="Consolas" w:cs="Consolas"/>
        </w:rPr>
        <w:t xml:space="preserve">               ▼                                     │</w:t>
      </w:r>
      <w:r>
        <w:rPr>
          <w:rStyle w:val="VerbatimChar"/>
          <w:rFonts w:eastAsia="Consolas" w:cs="Consolas"/>
        </w:rPr>
        <w:br/>
        <w:t>│  Step 2: Algorithm Application                                         │</w:t>
      </w:r>
      <w:r>
        <w:rPr>
          <w:rStyle w:val="VerbatimChar"/>
          <w:rFonts w:eastAsia="Consolas" w:cs="Consolas"/>
        </w:rPr>
        <w:br/>
        <w:t>│  ┌─────────────────────────────────────────────────────────────────┐   │</w:t>
      </w:r>
      <w:r>
        <w:rPr>
          <w:rStyle w:val="VerbatimChar"/>
          <w:rFonts w:eastAsia="Consolas" w:cs="Consolas"/>
        </w:rPr>
        <w:br/>
        <w:t xml:space="preserve">│  │ • Unsupervised hierarchical clustering (HSV + </w:t>
      </w:r>
      <w:r>
        <w:rPr>
          <w:rStyle w:val="VerbatimChar"/>
          <w:rFonts w:eastAsia="Consolas" w:cs="Consolas"/>
        </w:rPr>
        <w:t xml:space="preserve">spatial)          │   </w:t>
      </w:r>
      <w:r>
        <w:rPr>
          <w:rStyle w:val="VerbatimChar"/>
          <w:rFonts w:eastAsia="Consolas" w:cs="Consolas"/>
        </w:rPr>
        <w:lastRenderedPageBreak/>
        <w:t>│</w:t>
      </w:r>
      <w:r>
        <w:rPr>
          <w:rStyle w:val="VerbatimChar"/>
          <w:rFonts w:eastAsia="Consolas" w:cs="Consolas"/>
        </w:rPr>
        <w:br/>
        <w:t>│  │ • Supervised Random Forest (full model)                         │   │</w:t>
      </w:r>
      <w:r>
        <w:rPr>
          <w:rStyle w:val="VerbatimChar"/>
          <w:rFonts w:eastAsia="Consolas" w:cs="Consolas"/>
        </w:rPr>
        <w:br/>
        <w:t>│  │ • Both algorithms applied to all 120 patches                    │   │</w:t>
      </w:r>
      <w:r>
        <w:rPr>
          <w:rStyle w:val="VerbatimChar"/>
          <w:rFonts w:eastAsia="Consolas" w:cs="Consolas"/>
        </w:rPr>
        <w:br/>
        <w:t>│  └─────────────────────────────────────────────────────────────────┘   │</w:t>
      </w:r>
      <w:r>
        <w:rPr>
          <w:rStyle w:val="VerbatimChar"/>
          <w:rFonts w:eastAsia="Consolas" w:cs="Consolas"/>
        </w:rPr>
        <w:br/>
        <w:t xml:space="preserve">│      </w:t>
      </w:r>
      <w:r>
        <w:rPr>
          <w:rStyle w:val="VerbatimChar"/>
          <w:rFonts w:eastAsia="Consolas" w:cs="Consolas"/>
        </w:rPr>
        <w:t xml:space="preserve">                             ▼                                     │</w:t>
      </w:r>
      <w:r>
        <w:rPr>
          <w:rStyle w:val="VerbatimChar"/>
          <w:rFonts w:eastAsia="Consolas" w:cs="Consolas"/>
        </w:rPr>
        <w:br/>
        <w:t>│  Step 3: Prediction Extraction                                         │</w:t>
      </w:r>
      <w:r>
        <w:rPr>
          <w:rStyle w:val="VerbatimChar"/>
          <w:rFonts w:eastAsia="Consolas" w:cs="Consolas"/>
        </w:rPr>
        <w:br/>
        <w:t>│  ┌─────────────────────────────────────────────────────────────────┐   │</w:t>
      </w:r>
      <w:r>
        <w:rPr>
          <w:rStyle w:val="VerbatimChar"/>
          <w:rFonts w:eastAsia="Consolas" w:cs="Consolas"/>
        </w:rPr>
        <w:br/>
        <w:t>│  │ • Extract pixel-level prediction</w:t>
      </w:r>
      <w:r>
        <w:rPr>
          <w:rStyle w:val="VerbatimChar"/>
          <w:rFonts w:eastAsia="Consolas" w:cs="Consolas"/>
        </w:rPr>
        <w:t>s from both algorithms          │   │</w:t>
      </w:r>
      <w:r>
        <w:rPr>
          <w:rStyle w:val="VerbatimChar"/>
          <w:rFonts w:eastAsia="Consolas" w:cs="Consolas"/>
        </w:rPr>
        <w:br/>
        <w:t>│  │ • Align to ground truth (expert labels)                         │   │</w:t>
      </w:r>
      <w:r>
        <w:rPr>
          <w:rStyle w:val="VerbatimChar"/>
          <w:rFonts w:eastAsia="Consolas" w:cs="Consolas"/>
        </w:rPr>
        <w:br/>
        <w:t>│  └─────────────────────────────────────────────────────────────────┘   │</w:t>
      </w:r>
      <w:r>
        <w:rPr>
          <w:rStyle w:val="VerbatimChar"/>
          <w:rFonts w:eastAsia="Consolas" w:cs="Consolas"/>
        </w:rPr>
        <w:br/>
        <w:t xml:space="preserve">│                                   ▼                               </w:t>
      </w:r>
      <w:r>
        <w:rPr>
          <w:rStyle w:val="VerbatimChar"/>
          <w:rFonts w:eastAsia="Consolas" w:cs="Consolas"/>
        </w:rPr>
        <w:t xml:space="preserve">      │</w:t>
      </w:r>
      <w:r>
        <w:rPr>
          <w:rStyle w:val="VerbatimChar"/>
          <w:rFonts w:eastAsia="Consolas" w:cs="Consolas"/>
        </w:rPr>
        <w:br/>
        <w:t>│  Step 4: IoU Calculation                                               │</w:t>
      </w:r>
      <w:r>
        <w:rPr>
          <w:rStyle w:val="VerbatimChar"/>
          <w:rFonts w:eastAsia="Consolas" w:cs="Consolas"/>
        </w:rPr>
        <w:br/>
        <w:t>│  ┌─────────────────────────────────────────────────────────────────┐   │</w:t>
      </w:r>
      <w:r>
        <w:rPr>
          <w:rStyle w:val="VerbatimChar"/>
          <w:rFonts w:eastAsia="Consolas" w:cs="Consolas"/>
        </w:rPr>
        <w:br/>
        <w:t>│  │ • For each patch: IoU = (P∩G)/(P∪G)                             │   │</w:t>
      </w:r>
      <w:r>
        <w:rPr>
          <w:rStyle w:val="VerbatimChar"/>
          <w:rFonts w:eastAsia="Consolas" w:cs="Consolas"/>
        </w:rPr>
        <w:br/>
        <w:t>│  │ • Aggregate per ca</w:t>
      </w:r>
      <w:r>
        <w:rPr>
          <w:rStyle w:val="VerbatimChar"/>
          <w:rFonts w:eastAsia="Consolas" w:cs="Consolas"/>
        </w:rPr>
        <w:t>tegory                                        │   │</w:t>
      </w:r>
      <w:r>
        <w:rPr>
          <w:rStyle w:val="VerbatimChar"/>
          <w:rFonts w:eastAsia="Consolas" w:cs="Consolas"/>
        </w:rPr>
        <w:br/>
        <w:t>│  │ • Compute mean ± SD                                             │   │</w:t>
      </w:r>
      <w:r>
        <w:rPr>
          <w:rStyle w:val="VerbatimChar"/>
          <w:rFonts w:eastAsia="Consolas" w:cs="Consolas"/>
        </w:rPr>
        <w:br/>
        <w:t>│  └─────────────────────────────────────────────────────────────────┘   │</w:t>
      </w:r>
      <w:r>
        <w:rPr>
          <w:rStyle w:val="VerbatimChar"/>
          <w:rFonts w:eastAsia="Consolas" w:cs="Consolas"/>
        </w:rPr>
        <w:br/>
        <w:t xml:space="preserve">│                                   ▼                 </w:t>
      </w:r>
      <w:r>
        <w:rPr>
          <w:rStyle w:val="VerbatimChar"/>
          <w:rFonts w:eastAsia="Consolas" w:cs="Consolas"/>
        </w:rPr>
        <w:t xml:space="preserve">                    │</w:t>
      </w:r>
      <w:r>
        <w:rPr>
          <w:rStyle w:val="VerbatimChar"/>
          <w:rFonts w:eastAsia="Consolas" w:cs="Consolas"/>
        </w:rPr>
        <w:br/>
        <w:t>│  Step 5: Statistical Analysis                                          │</w:t>
      </w:r>
      <w:r>
        <w:rPr>
          <w:rStyle w:val="VerbatimChar"/>
          <w:rFonts w:eastAsia="Consolas" w:cs="Consolas"/>
        </w:rPr>
        <w:br/>
        <w:t>│  ┌─────────────────────────────────────────────────────────────────┐   │</w:t>
      </w:r>
      <w:r>
        <w:rPr>
          <w:rStyle w:val="VerbatimChar"/>
          <w:rFonts w:eastAsia="Consolas" w:cs="Consolas"/>
        </w:rPr>
        <w:br/>
        <w:t>│  │ • Paired t-test between algorithms (p &lt; 0.05)                   │   │</w:t>
      </w:r>
      <w:r>
        <w:rPr>
          <w:rStyle w:val="VerbatimChar"/>
          <w:rFonts w:eastAsia="Consolas" w:cs="Consolas"/>
        </w:rPr>
        <w:br/>
        <w:t>│  │ • 95</w:t>
      </w:r>
      <w:r>
        <w:rPr>
          <w:rStyle w:val="VerbatimChar"/>
          <w:rFonts w:eastAsia="Consolas" w:cs="Consolas"/>
        </w:rPr>
        <w:t>% CI for improvement                                         │   │</w:t>
      </w:r>
      <w:r>
        <w:rPr>
          <w:rStyle w:val="VerbatimChar"/>
          <w:rFonts w:eastAsia="Consolas" w:cs="Consolas"/>
        </w:rPr>
        <w:br/>
        <w:t>│  │ • Stratified by category                                         │   │</w:t>
      </w:r>
      <w:r>
        <w:rPr>
          <w:rStyle w:val="VerbatimChar"/>
          <w:rFonts w:eastAsia="Consolas" w:cs="Consolas"/>
        </w:rPr>
        <w:br/>
        <w:t>│  └─────────────────────────────────────────────────────────────────┘   │</w:t>
      </w:r>
      <w:r>
        <w:rPr>
          <w:rStyle w:val="VerbatimChar"/>
          <w:rFonts w:eastAsia="Consolas" w:cs="Consolas"/>
        </w:rPr>
        <w:br/>
        <w:t xml:space="preserve">│                                     </w:t>
      </w:r>
      <w:r>
        <w:rPr>
          <w:rStyle w:val="VerbatimChar"/>
          <w:rFonts w:eastAsia="Consolas" w:cs="Consolas"/>
        </w:rPr>
        <w:t xml:space="preserve">                                    │</w:t>
      </w:r>
      <w:r>
        <w:rPr>
          <w:rStyle w:val="VerbatimChar"/>
          <w:rFonts w:eastAsia="Consolas" w:cs="Consolas"/>
        </w:rPr>
        <w:br/>
        <w:t>└──────────────────────────────────────────────────────────────────────</w:t>
      </w:r>
      <w:r>
        <w:rPr>
          <w:rStyle w:val="VerbatimChar"/>
          <w:rFonts w:eastAsia="Consolas" w:cs="Consolas"/>
        </w:rPr>
        <w:lastRenderedPageBreak/>
        <w:t>───┘</w:t>
      </w:r>
      <w:r>
        <w:rPr>
          <w:rStyle w:val="VerbatimChar"/>
          <w:rFonts w:eastAsia="Consolas" w:cs="Consolas"/>
        </w:rPr>
        <w:br/>
      </w:r>
    </w:p>
    <w:p w:rsidR="00A461FC" w:rsidRDefault="00D11E79">
      <w:r>
        <w:rPr>
          <w:noProof/>
        </w:rPr>
        <w:pict>
          <v:rect id="_x0000_i1031" alt="" style="width:6in;height:.05pt;mso-width-percent:0;mso-height-percent:0;mso-width-percent:0;mso-height-percent:0" o:hralign="center" o:hrstd="t" o:hr="t"/>
        </w:pict>
      </w:r>
    </w:p>
    <w:p w:rsidR="00A461FC" w:rsidRDefault="00D11E79">
      <w:pPr>
        <w:spacing w:before="240" w:line="288" w:lineRule="auto"/>
      </w:pPr>
      <w:bookmarkStart w:id="73" w:name="appendix_g_stakeholder_compositio_4876b2"/>
      <w:r>
        <w:rPr>
          <w:b/>
          <w:sz w:val="56"/>
        </w:rPr>
        <w:t>Appendix G: Stakeholder Composition, Delphi Process Details, and HVI Scoring Rubrics</w:t>
      </w:r>
      <w:bookmarkEnd w:id="73"/>
    </w:p>
    <w:p w:rsidR="00A461FC" w:rsidRDefault="00D11E79">
      <w:pPr>
        <w:spacing w:before="240" w:line="271" w:lineRule="auto"/>
      </w:pPr>
      <w:bookmarkStart w:id="74" w:name="g_1_stakeholder_composition"/>
      <w:r>
        <w:rPr>
          <w:b/>
          <w:sz w:val="42"/>
        </w:rPr>
        <w:t>G.1 Stakeholder Composition</w:t>
      </w:r>
      <w:bookmarkEnd w:id="74"/>
    </w:p>
    <w:p w:rsidR="00A461FC" w:rsidRDefault="00D11E79">
      <w:pPr>
        <w:spacing w:before="240" w:line="271" w:lineRule="auto"/>
      </w:pPr>
      <w:bookmarkStart w:id="75" w:name="g_1_1_overview"/>
      <w:r>
        <w:rPr>
          <w:b/>
          <w:sz w:val="33"/>
        </w:rPr>
        <w:t>G.1.1 Overview</w:t>
      </w:r>
      <w:bookmarkEnd w:id="75"/>
    </w:p>
    <w:tbl>
      <w:tblPr>
        <w:tblStyle w:val="NormalGrid"/>
        <w:tblW w:w="0" w:type="auto"/>
        <w:jc w:val="center"/>
        <w:tblCellSpacing w:w="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Look w:val="04A0" w:firstRow="1" w:lastRow="0" w:firstColumn="1" w:lastColumn="0" w:noHBand="0" w:noVBand="1"/>
      </w:tblPr>
      <w:tblGrid>
        <w:gridCol w:w="3661"/>
        <w:gridCol w:w="1131"/>
        <w:gridCol w:w="1400"/>
      </w:tblGrid>
      <w:tr w:rsidR="00A461FC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Category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Number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Percentage</w:t>
            </w:r>
          </w:p>
        </w:tc>
      </w:tr>
      <w:tr w:rsidR="00A461FC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Heritage Agency Staff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8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32%</w:t>
            </w:r>
          </w:p>
        </w:tc>
      </w:tr>
      <w:tr w:rsidR="00A461FC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Local Community Representatives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7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28%</w:t>
            </w:r>
          </w:p>
        </w:tc>
      </w:tr>
      <w:tr w:rsidR="00A461FC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Conservation Professionals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6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24%</w:t>
            </w:r>
          </w:p>
        </w:tc>
      </w:tr>
      <w:tr w:rsidR="00A461FC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Academic Researchers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4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16%</w:t>
            </w:r>
          </w:p>
        </w:tc>
      </w:tr>
      <w:tr w:rsidR="00A461FC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:rsidR="00A461FC" w:rsidRDefault="00D11E79">
            <w:r>
              <w:rPr>
                <w:b/>
              </w:rPr>
              <w:t>Total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rPr>
                <w:b/>
              </w:rPr>
              <w:t>25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rPr>
                <w:b/>
              </w:rPr>
              <w:t>100%</w:t>
            </w:r>
          </w:p>
        </w:tc>
      </w:tr>
    </w:tbl>
    <w:p w:rsidR="00A461FC" w:rsidRDefault="00A461FC"/>
    <w:p w:rsidR="00A461FC" w:rsidRDefault="00D11E79">
      <w:pPr>
        <w:spacing w:before="240" w:line="271" w:lineRule="auto"/>
      </w:pPr>
      <w:bookmarkStart w:id="76" w:name="g_1_2_detailed_stakeholder_profiles"/>
      <w:r>
        <w:rPr>
          <w:b/>
          <w:sz w:val="33"/>
        </w:rPr>
        <w:t>G.1.2 Detailed Stakeholder Profiles</w:t>
      </w:r>
      <w:bookmarkEnd w:id="76"/>
    </w:p>
    <w:p w:rsidR="00A461FC" w:rsidRDefault="00D11E79">
      <w:pPr>
        <w:spacing w:after="220"/>
      </w:pPr>
      <w:r>
        <w:rPr>
          <w:b/>
        </w:rPr>
        <w:t>Heritage Agency Staff (n=8):</w:t>
      </w:r>
    </w:p>
    <w:p w:rsidR="00A461FC" w:rsidRDefault="00D11E79">
      <w:pPr>
        <w:numPr>
          <w:ilvl w:val="0"/>
          <w:numId w:val="24"/>
        </w:numPr>
      </w:pPr>
      <w:r>
        <w:t>Semarang City Cultural Heritage Agency: 4 staff</w:t>
      </w:r>
    </w:p>
    <w:p w:rsidR="00A461FC" w:rsidRDefault="00D11E79">
      <w:pPr>
        <w:numPr>
          <w:ilvl w:val="0"/>
          <w:numId w:val="24"/>
        </w:numPr>
      </w:pPr>
      <w:r>
        <w:t>Central Java Provincial Heritage Office: 2 staff</w:t>
      </w:r>
    </w:p>
    <w:p w:rsidR="00A461FC" w:rsidRDefault="00D11E79">
      <w:pPr>
        <w:numPr>
          <w:ilvl w:val="0"/>
          <w:numId w:val="24"/>
        </w:numPr>
      </w:pPr>
      <w:r>
        <w:t>Ministry of Education and Culture (Heritage Directorate): 2 staff</w:t>
      </w:r>
    </w:p>
    <w:p w:rsidR="00A461FC" w:rsidRDefault="00D11E79">
      <w:pPr>
        <w:numPr>
          <w:ilvl w:val="0"/>
          <w:numId w:val="24"/>
        </w:numPr>
      </w:pPr>
      <w:r>
        <w:rPr>
          <w:rFonts w:eastAsia="Georgia" w:hAnsi="Georgia" w:cs="Georgia"/>
        </w:rPr>
        <w:t>Average experience: 12 years (range: 5–25 years)</w:t>
      </w:r>
    </w:p>
    <w:p w:rsidR="00A461FC" w:rsidRDefault="00D11E79">
      <w:pPr>
        <w:spacing w:after="220"/>
      </w:pPr>
      <w:r>
        <w:rPr>
          <w:b/>
        </w:rPr>
        <w:t>Local Community Representatives (n=7):</w:t>
      </w:r>
    </w:p>
    <w:p w:rsidR="00A461FC" w:rsidRDefault="00D11E79">
      <w:pPr>
        <w:numPr>
          <w:ilvl w:val="0"/>
          <w:numId w:val="25"/>
        </w:numPr>
      </w:pPr>
      <w:r>
        <w:t>Community leaders from Kota Lama: 3 representatives</w:t>
      </w:r>
    </w:p>
    <w:p w:rsidR="00A461FC" w:rsidRDefault="00D11E79">
      <w:pPr>
        <w:numPr>
          <w:ilvl w:val="0"/>
          <w:numId w:val="25"/>
        </w:numPr>
      </w:pPr>
      <w:r>
        <w:t>Pasar Johar vendor representatives: 2 representatives</w:t>
      </w:r>
    </w:p>
    <w:p w:rsidR="00A461FC" w:rsidRDefault="00D11E79">
      <w:pPr>
        <w:numPr>
          <w:ilvl w:val="0"/>
          <w:numId w:val="25"/>
        </w:numPr>
      </w:pPr>
      <w:r>
        <w:t>Local residents near Tawang Station: 2 representatives</w:t>
      </w:r>
    </w:p>
    <w:p w:rsidR="00A461FC" w:rsidRDefault="00D11E79">
      <w:pPr>
        <w:numPr>
          <w:ilvl w:val="0"/>
          <w:numId w:val="25"/>
        </w:numPr>
      </w:pPr>
      <w:r>
        <w:rPr>
          <w:rFonts w:eastAsia="Georgia" w:hAnsi="Georgia" w:cs="Georgia"/>
        </w:rPr>
        <w:lastRenderedPageBreak/>
        <w:t>Average residency in area: 25 years (range: 10–50 years)</w:t>
      </w:r>
    </w:p>
    <w:p w:rsidR="00A461FC" w:rsidRDefault="00D11E79">
      <w:pPr>
        <w:spacing w:after="220"/>
      </w:pPr>
      <w:r>
        <w:rPr>
          <w:b/>
        </w:rPr>
        <w:t>Conservation Professionals (n=6):</w:t>
      </w:r>
    </w:p>
    <w:p w:rsidR="00A461FC" w:rsidRDefault="00D11E79">
      <w:pPr>
        <w:numPr>
          <w:ilvl w:val="0"/>
          <w:numId w:val="26"/>
        </w:numPr>
      </w:pPr>
      <w:r>
        <w:t>Arch</w:t>
      </w:r>
      <w:r>
        <w:t>itects specialising in heritage conservation: 3 professionals</w:t>
      </w:r>
    </w:p>
    <w:p w:rsidR="00A461FC" w:rsidRDefault="00D11E79">
      <w:pPr>
        <w:numPr>
          <w:ilvl w:val="0"/>
          <w:numId w:val="26"/>
        </w:numPr>
      </w:pPr>
      <w:r>
        <w:t>Conservation engineers (structural): 2 professionals</w:t>
      </w:r>
    </w:p>
    <w:p w:rsidR="00A461FC" w:rsidRDefault="00D11E79">
      <w:pPr>
        <w:numPr>
          <w:ilvl w:val="0"/>
          <w:numId w:val="26"/>
        </w:numPr>
      </w:pPr>
      <w:r>
        <w:t>Materials conservators: 1 professional</w:t>
      </w:r>
    </w:p>
    <w:p w:rsidR="00A461FC" w:rsidRDefault="00D11E79">
      <w:pPr>
        <w:numPr>
          <w:ilvl w:val="0"/>
          <w:numId w:val="26"/>
        </w:numPr>
      </w:pPr>
      <w:r>
        <w:rPr>
          <w:rFonts w:eastAsia="Georgia" w:hAnsi="Georgia" w:cs="Georgia"/>
        </w:rPr>
        <w:t>Average experience: 15 years (range: 8–30 years)</w:t>
      </w:r>
    </w:p>
    <w:p w:rsidR="00A461FC" w:rsidRDefault="00D11E79">
      <w:pPr>
        <w:spacing w:after="220"/>
      </w:pPr>
      <w:r>
        <w:rPr>
          <w:b/>
        </w:rPr>
        <w:t>Academic Researchers (n=4):</w:t>
      </w:r>
    </w:p>
    <w:p w:rsidR="00A461FC" w:rsidRDefault="00D11E79">
      <w:pPr>
        <w:numPr>
          <w:ilvl w:val="0"/>
          <w:numId w:val="27"/>
        </w:numPr>
      </w:pPr>
      <w:r>
        <w:t>Universitas Diponegoro: 2</w:t>
      </w:r>
      <w:r>
        <w:t xml:space="preserve"> researchers</w:t>
      </w:r>
    </w:p>
    <w:p w:rsidR="00A461FC" w:rsidRDefault="00D11E79">
      <w:pPr>
        <w:numPr>
          <w:ilvl w:val="0"/>
          <w:numId w:val="27"/>
        </w:numPr>
      </w:pPr>
      <w:r>
        <w:t>Universitas Gadjah Mada: 1 researcher</w:t>
      </w:r>
    </w:p>
    <w:p w:rsidR="00A461FC" w:rsidRDefault="00D11E79">
      <w:pPr>
        <w:numPr>
          <w:ilvl w:val="0"/>
          <w:numId w:val="27"/>
        </w:numPr>
      </w:pPr>
      <w:r>
        <w:t>Institut Teknologi Bandung: 1 researcher</w:t>
      </w:r>
    </w:p>
    <w:p w:rsidR="00A461FC" w:rsidRDefault="00D11E79">
      <w:pPr>
        <w:numPr>
          <w:ilvl w:val="0"/>
          <w:numId w:val="27"/>
        </w:numPr>
      </w:pPr>
      <w:r>
        <w:rPr>
          <w:rFonts w:eastAsia="Georgia" w:hAnsi="Georgia" w:cs="Georgia"/>
        </w:rPr>
        <w:t>Average experience: 18 years (range: 10–30 years)</w:t>
      </w:r>
    </w:p>
    <w:p w:rsidR="00A461FC" w:rsidRDefault="00D11E79">
      <w:pPr>
        <w:spacing w:before="240" w:line="271" w:lineRule="auto"/>
      </w:pPr>
      <w:bookmarkStart w:id="77" w:name="g_1_3_stakeholder_selection_criteria"/>
      <w:r>
        <w:rPr>
          <w:b/>
          <w:sz w:val="33"/>
        </w:rPr>
        <w:t>G.1.3 Stakeholder Selection Criteria</w:t>
      </w:r>
      <w:bookmarkEnd w:id="77"/>
    </w:p>
    <w:tbl>
      <w:tblPr>
        <w:tblStyle w:val="NormalGrid"/>
        <w:tblW w:w="0" w:type="auto"/>
        <w:jc w:val="center"/>
        <w:tblCellSpacing w:w="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Look w:val="04A0" w:firstRow="1" w:lastRow="0" w:firstColumn="1" w:lastColumn="0" w:noHBand="0" w:noVBand="1"/>
      </w:tblPr>
      <w:tblGrid>
        <w:gridCol w:w="2209"/>
        <w:gridCol w:w="6013"/>
      </w:tblGrid>
      <w:tr w:rsidR="00A461FC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Criterion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Description</w:t>
            </w:r>
          </w:p>
        </w:tc>
      </w:tr>
      <w:tr w:rsidR="00A461FC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Relevance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Direct involvement with or knowledge of the study sites</w:t>
            </w:r>
          </w:p>
        </w:tc>
      </w:tr>
      <w:tr w:rsidR="00A461FC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Expertise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Professional or lived experience relevant to heritage values</w:t>
            </w:r>
          </w:p>
        </w:tc>
      </w:tr>
      <w:tr w:rsidR="00A461FC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Representativeness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Diverse perspectives (cultural, professional, community)</w:t>
            </w:r>
          </w:p>
        </w:tc>
      </w:tr>
      <w:tr w:rsidR="00A461FC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Availability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Willingness to participate in 2 rounds of Delphi process</w:t>
            </w:r>
          </w:p>
        </w:tc>
      </w:tr>
    </w:tbl>
    <w:p w:rsidR="00A461FC" w:rsidRDefault="00A461FC"/>
    <w:p w:rsidR="00A461FC" w:rsidRDefault="00D11E79">
      <w:pPr>
        <w:spacing w:before="240" w:line="271" w:lineRule="auto"/>
      </w:pPr>
      <w:bookmarkStart w:id="78" w:name="g_2_modified_delphi_process"/>
      <w:r>
        <w:rPr>
          <w:b/>
          <w:sz w:val="42"/>
        </w:rPr>
        <w:t>G.2 Modified Delphi Process</w:t>
      </w:r>
      <w:bookmarkEnd w:id="78"/>
    </w:p>
    <w:p w:rsidR="00A461FC" w:rsidRDefault="00D11E79">
      <w:pPr>
        <w:spacing w:before="240" w:line="271" w:lineRule="auto"/>
      </w:pPr>
      <w:bookmarkStart w:id="79" w:name="g_2_1_process_overview"/>
      <w:r>
        <w:rPr>
          <w:b/>
          <w:sz w:val="33"/>
        </w:rPr>
        <w:t>G.2.1 Process Overview</w:t>
      </w:r>
      <w:bookmarkEnd w:id="79"/>
    </w:p>
    <w:tbl>
      <w:tblPr>
        <w:tblStyle w:val="NormalGrid"/>
        <w:tblW w:w="0" w:type="auto"/>
        <w:jc w:val="center"/>
        <w:tblCellSpacing w:w="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Look w:val="04A0" w:firstRow="1" w:lastRow="0" w:firstColumn="1" w:lastColumn="0" w:noHBand="0" w:noVBand="1"/>
      </w:tblPr>
      <w:tblGrid>
        <w:gridCol w:w="1135"/>
        <w:gridCol w:w="3458"/>
        <w:gridCol w:w="1204"/>
        <w:gridCol w:w="2837"/>
      </w:tblGrid>
      <w:tr w:rsidR="00A461FC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Round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Activity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Duration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Output</w:t>
            </w:r>
          </w:p>
        </w:tc>
      </w:tr>
      <w:tr w:rsidR="00A461FC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Round 1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Initial survey (open-ended)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2 weeks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List of values and indicators</w:t>
            </w:r>
          </w:p>
        </w:tc>
      </w:tr>
      <w:tr w:rsidR="00A461FC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Round 2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Rating and ranking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2 weeks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Weighted priorities</w:t>
            </w:r>
          </w:p>
        </w:tc>
      </w:tr>
      <w:tr w:rsidR="00A461FC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Round 3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Consensus discussion (focus group)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1 day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Final HVI dimensions</w:t>
            </w:r>
          </w:p>
        </w:tc>
      </w:tr>
      <w:tr w:rsidR="00A461FC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Round 4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Final validation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1 week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HVI scoring rubrics</w:t>
            </w:r>
          </w:p>
        </w:tc>
      </w:tr>
    </w:tbl>
    <w:p w:rsidR="00A461FC" w:rsidRDefault="00A461FC"/>
    <w:p w:rsidR="00A461FC" w:rsidRDefault="00D11E79">
      <w:pPr>
        <w:spacing w:before="240" w:line="271" w:lineRule="auto"/>
      </w:pPr>
      <w:bookmarkStart w:id="80" w:name="g_2_2_round_1_initial_survey"/>
      <w:r>
        <w:rPr>
          <w:b/>
          <w:sz w:val="33"/>
        </w:rPr>
        <w:t>G.2.2 Round 1: Initial Survey</w:t>
      </w:r>
      <w:bookmarkEnd w:id="80"/>
    </w:p>
    <w:p w:rsidR="00A461FC" w:rsidRDefault="00D11E79">
      <w:pPr>
        <w:spacing w:after="220"/>
      </w:pPr>
      <w:r>
        <w:rPr>
          <w:b/>
        </w:rPr>
        <w:lastRenderedPageBreak/>
        <w:t>Question:</w:t>
      </w:r>
      <w:r>
        <w:t xml:space="preserve"> "What values does this heritage site represent for you and for the community?"</w:t>
      </w:r>
    </w:p>
    <w:p w:rsidR="00A461FC" w:rsidRDefault="00D11E79">
      <w:pPr>
        <w:spacing w:after="220"/>
      </w:pPr>
      <w:r>
        <w:rPr>
          <w:b/>
        </w:rPr>
        <w:t>Thematic Analysis Results:</w:t>
      </w:r>
    </w:p>
    <w:tbl>
      <w:tblPr>
        <w:tblStyle w:val="NormalGrid"/>
        <w:tblW w:w="0" w:type="auto"/>
        <w:jc w:val="center"/>
        <w:tblCellSpacing w:w="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Look w:val="04A0" w:firstRow="1" w:lastRow="0" w:firstColumn="1" w:lastColumn="0" w:noHBand="0" w:noVBand="1"/>
      </w:tblPr>
      <w:tblGrid>
        <w:gridCol w:w="3139"/>
        <w:gridCol w:w="1247"/>
        <w:gridCol w:w="1400"/>
      </w:tblGrid>
      <w:tr w:rsidR="00A461FC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Theme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Mentions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Percentage</w:t>
            </w:r>
          </w:p>
        </w:tc>
      </w:tr>
      <w:tr w:rsidR="00A461FC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Historical significance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22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88%</w:t>
            </w:r>
          </w:p>
        </w:tc>
      </w:tr>
      <w:tr w:rsidR="00A461FC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Social/cultural value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20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80%</w:t>
            </w:r>
          </w:p>
        </w:tc>
      </w:tr>
      <w:tr w:rsidR="00A461FC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Aesthetic/architectural value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19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76%</w:t>
            </w:r>
          </w:p>
        </w:tc>
      </w:tr>
      <w:tr w:rsidR="00A461FC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Authenticity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18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72%</w:t>
            </w:r>
          </w:p>
        </w:tc>
      </w:tr>
      <w:tr w:rsidR="00A461FC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Traditional knowledge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15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60%</w:t>
            </w:r>
          </w:p>
        </w:tc>
      </w:tr>
      <w:tr w:rsidR="00A461FC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Economic value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12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48%</w:t>
            </w:r>
          </w:p>
        </w:tc>
      </w:tr>
      <w:tr w:rsidR="00A461FC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Educational value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10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40%</w:t>
            </w:r>
          </w:p>
        </w:tc>
      </w:tr>
      <w:tr w:rsidR="00A461FC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Identity/belonging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9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36%</w:t>
            </w:r>
          </w:p>
        </w:tc>
      </w:tr>
    </w:tbl>
    <w:p w:rsidR="00A461FC" w:rsidRDefault="00A461FC"/>
    <w:p w:rsidR="00A461FC" w:rsidRDefault="00D11E79">
      <w:pPr>
        <w:spacing w:after="220"/>
      </w:pPr>
      <w:r>
        <w:rPr>
          <w:b/>
        </w:rPr>
        <w:t>Selected Dimensions (based on &gt;60% mentions):</w:t>
      </w:r>
    </w:p>
    <w:p w:rsidR="00A461FC" w:rsidRDefault="00D11E79">
      <w:pPr>
        <w:numPr>
          <w:ilvl w:val="0"/>
          <w:numId w:val="28"/>
        </w:numPr>
      </w:pPr>
      <w:r>
        <w:t>Authenticity</w:t>
      </w:r>
    </w:p>
    <w:p w:rsidR="00A461FC" w:rsidRDefault="00D11E79">
      <w:pPr>
        <w:numPr>
          <w:ilvl w:val="0"/>
          <w:numId w:val="28"/>
        </w:numPr>
      </w:pPr>
      <w:r>
        <w:t>Historical Value</w:t>
      </w:r>
    </w:p>
    <w:p w:rsidR="00A461FC" w:rsidRDefault="00D11E79">
      <w:pPr>
        <w:numPr>
          <w:ilvl w:val="0"/>
          <w:numId w:val="28"/>
        </w:numPr>
      </w:pPr>
      <w:r>
        <w:t>Social Value</w:t>
      </w:r>
    </w:p>
    <w:p w:rsidR="00A461FC" w:rsidRDefault="00D11E79">
      <w:pPr>
        <w:numPr>
          <w:ilvl w:val="0"/>
          <w:numId w:val="28"/>
        </w:numPr>
      </w:pPr>
      <w:r>
        <w:t>Aesthetic Value</w:t>
      </w:r>
    </w:p>
    <w:p w:rsidR="00A461FC" w:rsidRDefault="00D11E79">
      <w:pPr>
        <w:numPr>
          <w:ilvl w:val="0"/>
          <w:numId w:val="28"/>
        </w:numPr>
      </w:pPr>
      <w:r>
        <w:t>Traditional Knowledge Value</w:t>
      </w:r>
    </w:p>
    <w:p w:rsidR="00A461FC" w:rsidRDefault="00D11E79">
      <w:pPr>
        <w:spacing w:before="240" w:line="271" w:lineRule="auto"/>
      </w:pPr>
      <w:bookmarkStart w:id="81" w:name="g_2_3_round_2_rating_and_ranking"/>
      <w:r>
        <w:rPr>
          <w:b/>
          <w:sz w:val="33"/>
        </w:rPr>
        <w:t>G.2.3 Round 2: Rating and Ranking</w:t>
      </w:r>
      <w:bookmarkEnd w:id="81"/>
    </w:p>
    <w:p w:rsidR="00A461FC" w:rsidRDefault="00D11E79">
      <w:pPr>
        <w:spacing w:after="220"/>
      </w:pPr>
      <w:r>
        <w:rPr>
          <w:b/>
        </w:rPr>
        <w:t>Rating Scale:</w:t>
      </w:r>
      <w:r>
        <w:t xml:space="preserve"> 1 (not important) to 10 (extremely important)</w:t>
      </w:r>
    </w:p>
    <w:tbl>
      <w:tblPr>
        <w:tblStyle w:val="NormalGrid"/>
        <w:tblW w:w="0" w:type="auto"/>
        <w:jc w:val="center"/>
        <w:tblCellSpacing w:w="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Look w:val="04A0" w:firstRow="1" w:lastRow="0" w:firstColumn="1" w:lastColumn="0" w:noHBand="0" w:noVBand="1"/>
      </w:tblPr>
      <w:tblGrid>
        <w:gridCol w:w="3153"/>
        <w:gridCol w:w="1574"/>
        <w:gridCol w:w="611"/>
        <w:gridCol w:w="841"/>
      </w:tblGrid>
      <w:tr w:rsidR="00A461FC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Dimension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Mean Rating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SD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Rank</w:t>
            </w:r>
          </w:p>
        </w:tc>
      </w:tr>
      <w:tr w:rsidR="00A461FC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Historical Value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9.2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1.1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1</w:t>
            </w:r>
          </w:p>
        </w:tc>
      </w:tr>
      <w:tr w:rsidR="00A461FC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Authenticity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8.8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1.3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2</w:t>
            </w:r>
          </w:p>
        </w:tc>
      </w:tr>
      <w:tr w:rsidR="00A461FC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Social Value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8.5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1.5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3</w:t>
            </w:r>
          </w:p>
        </w:tc>
      </w:tr>
      <w:tr w:rsidR="00A461FC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Aesthetic Value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8.2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1.4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4</w:t>
            </w:r>
          </w:p>
        </w:tc>
      </w:tr>
      <w:tr w:rsidR="00A461FC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Traditional Knowledge Value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7.8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1.8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5</w:t>
            </w:r>
          </w:p>
        </w:tc>
      </w:tr>
    </w:tbl>
    <w:p w:rsidR="00A461FC" w:rsidRDefault="00A461FC"/>
    <w:p w:rsidR="00A461FC" w:rsidRDefault="00D11E79">
      <w:pPr>
        <w:spacing w:before="240" w:line="271" w:lineRule="auto"/>
      </w:pPr>
      <w:bookmarkStart w:id="82" w:name="g_2_4_round_3_focus_group_discussion"/>
      <w:r>
        <w:rPr>
          <w:b/>
          <w:sz w:val="33"/>
        </w:rPr>
        <w:t>G.2.4 Round 3: Focus Group Discussion</w:t>
      </w:r>
      <w:bookmarkEnd w:id="82"/>
    </w:p>
    <w:p w:rsidR="00A461FC" w:rsidRDefault="00D11E79">
      <w:pPr>
        <w:spacing w:after="220"/>
      </w:pPr>
      <w:r>
        <w:rPr>
          <w:b/>
        </w:rPr>
        <w:t>Date:</w:t>
      </w:r>
      <w:r>
        <w:t xml:space="preserve"> 10 January 2026</w:t>
      </w:r>
      <w:r>
        <w:br/>
      </w:r>
      <w:r>
        <w:rPr>
          <w:b/>
        </w:rPr>
        <w:t>Location:</w:t>
      </w:r>
      <w:r>
        <w:t xml:space="preserve"> Semarang City Hall</w:t>
      </w:r>
      <w:r>
        <w:br/>
      </w:r>
      <w:r>
        <w:rPr>
          <w:b/>
        </w:rPr>
        <w:lastRenderedPageBreak/>
        <w:t>Participants:</w:t>
      </w:r>
      <w:r>
        <w:t xml:space="preserve"> All 25 stakeholders (attendance: 23, 92%)</w:t>
      </w:r>
      <w:r>
        <w:br/>
      </w:r>
      <w:r>
        <w:rPr>
          <w:b/>
        </w:rPr>
        <w:t>Duration:</w:t>
      </w:r>
      <w:r>
        <w:t xml:space="preserve"> 6 hours</w:t>
      </w:r>
    </w:p>
    <w:p w:rsidR="00A461FC" w:rsidRDefault="00D11E79">
      <w:pPr>
        <w:spacing w:after="220"/>
      </w:pPr>
      <w:r>
        <w:rPr>
          <w:b/>
        </w:rPr>
        <w:t>Key Outcomes:</w:t>
      </w:r>
    </w:p>
    <w:p w:rsidR="00A461FC" w:rsidRDefault="00D11E79">
      <w:pPr>
        <w:numPr>
          <w:ilvl w:val="0"/>
          <w:numId w:val="29"/>
        </w:numPr>
      </w:pPr>
      <w:r>
        <w:t>Consensus on 5 dimensions</w:t>
      </w:r>
    </w:p>
    <w:p w:rsidR="00A461FC" w:rsidRDefault="00D11E79">
      <w:pPr>
        <w:numPr>
          <w:ilvl w:val="0"/>
          <w:numId w:val="29"/>
        </w:numPr>
      </w:pPr>
      <w:r>
        <w:t>Agreement on relative importance (rank order)</w:t>
      </w:r>
    </w:p>
    <w:p w:rsidR="00A461FC" w:rsidRDefault="00D11E79">
      <w:pPr>
        <w:numPr>
          <w:ilvl w:val="0"/>
          <w:numId w:val="29"/>
        </w:numPr>
      </w:pPr>
      <w:r>
        <w:t>Definition of indicators for each dimension</w:t>
      </w:r>
    </w:p>
    <w:p w:rsidR="00A461FC" w:rsidRDefault="00D11E79">
      <w:pPr>
        <w:numPr>
          <w:ilvl w:val="0"/>
          <w:numId w:val="29"/>
        </w:numPr>
      </w:pPr>
      <w:r>
        <w:rPr>
          <w:rFonts w:eastAsia="Georgia" w:hAnsi="Georgia" w:cs="Georgia"/>
        </w:rPr>
        <w:t>Agreement on scoring scale (0–100)</w:t>
      </w:r>
    </w:p>
    <w:p w:rsidR="00A461FC" w:rsidRDefault="00D11E79">
      <w:pPr>
        <w:spacing w:before="240" w:line="271" w:lineRule="auto"/>
      </w:pPr>
      <w:bookmarkStart w:id="83" w:name="g_2_5_round_4_final_validation"/>
      <w:r>
        <w:rPr>
          <w:b/>
          <w:sz w:val="33"/>
        </w:rPr>
        <w:t>G.2.5 Round 4: Final Validation</w:t>
      </w:r>
      <w:bookmarkEnd w:id="83"/>
    </w:p>
    <w:p w:rsidR="00A461FC" w:rsidRDefault="00D11E79">
      <w:pPr>
        <w:spacing w:after="220"/>
      </w:pPr>
      <w:r>
        <w:rPr>
          <w:b/>
        </w:rPr>
        <w:t>Method:</w:t>
      </w:r>
      <w:r>
        <w:t xml:space="preserve"> Online survey with scoring rubric testing</w:t>
      </w:r>
    </w:p>
    <w:p w:rsidR="00A461FC" w:rsidRDefault="00D11E79">
      <w:pPr>
        <w:spacing w:after="220"/>
      </w:pPr>
      <w:r>
        <w:rPr>
          <w:b/>
        </w:rPr>
        <w:t>Validation Criteria:</w:t>
      </w:r>
    </w:p>
    <w:p w:rsidR="00A461FC" w:rsidRDefault="00D11E79">
      <w:pPr>
        <w:numPr>
          <w:ilvl w:val="0"/>
          <w:numId w:val="30"/>
        </w:numPr>
      </w:pPr>
      <w:r>
        <w:t>Face validity: 92% agreement</w:t>
      </w:r>
    </w:p>
    <w:p w:rsidR="00A461FC" w:rsidRDefault="00D11E79">
      <w:pPr>
        <w:numPr>
          <w:ilvl w:val="0"/>
          <w:numId w:val="30"/>
        </w:numPr>
      </w:pPr>
      <w:r>
        <w:t>Content validity: 88% agreement</w:t>
      </w:r>
    </w:p>
    <w:p w:rsidR="00A461FC" w:rsidRDefault="00D11E79">
      <w:pPr>
        <w:numPr>
          <w:ilvl w:val="0"/>
          <w:numId w:val="30"/>
        </w:numPr>
      </w:pPr>
      <w:r>
        <w:t>Clarity of rubrics: 85% agreement</w:t>
      </w:r>
    </w:p>
    <w:p w:rsidR="00A461FC" w:rsidRDefault="00D11E79">
      <w:pPr>
        <w:spacing w:before="240" w:line="271" w:lineRule="auto"/>
      </w:pPr>
      <w:bookmarkStart w:id="84" w:name="g_3_hvi_scoring_rubrics"/>
      <w:r>
        <w:rPr>
          <w:b/>
          <w:sz w:val="42"/>
        </w:rPr>
        <w:t>G.3 HVI Scoring Rubrics</w:t>
      </w:r>
      <w:bookmarkEnd w:id="84"/>
    </w:p>
    <w:p w:rsidR="00A461FC" w:rsidRDefault="00D11E79">
      <w:pPr>
        <w:spacing w:before="240" w:line="271" w:lineRule="auto"/>
      </w:pPr>
      <w:bookmarkStart w:id="85" w:name="g_3_1_overview"/>
      <w:r>
        <w:rPr>
          <w:b/>
          <w:sz w:val="33"/>
        </w:rPr>
        <w:t>G.3.1 Overview</w:t>
      </w:r>
      <w:bookmarkEnd w:id="85"/>
    </w:p>
    <w:p w:rsidR="00A461FC" w:rsidRDefault="00D11E79">
      <w:pPr>
        <w:spacing w:after="220"/>
      </w:pPr>
      <w:r>
        <w:t>Each dimension scored from 0 to 100, with a total HVI calculated as the weighted sum:</w:t>
      </w:r>
    </w:p>
    <w:p w:rsidR="00A461FC" w:rsidRDefault="00D11E79">
      <w:pPr>
        <w:spacing w:after="220"/>
      </w:pPr>
      <m:oMathPara>
        <m:oMath>
          <m:r>
            <w:rPr>
              <w:rFonts w:ascii="Cambria Math" w:hAnsi="Cambria Math"/>
            </w:rPr>
            <m:t>HVI</m:t>
          </m:r>
          <m:r>
            <m:rPr>
              <m:sty m:val="p"/>
            </m:rPr>
            <w:rPr>
              <w:rFonts w:ascii="Cambria Math" w:hAnsi="Cambria Math"/>
            </w:rPr>
            <m:t>=</m:t>
          </m:r>
          <m:nary>
            <m:naryPr>
              <m:chr m:val="∑"/>
              <m:limLoc m:val="undOvr"/>
              <m:grow m:val="1"/>
              <m:ctrlPr>
                <w:rPr>
                  <w:rFonts w:ascii="Cambria Math" w:hAnsi="Cambria Math"/>
                </w:rPr>
              </m:ctrlPr>
            </m:naryPr>
            <m:sub>
              <m:r>
                <w:rPr>
                  <w:rFonts w:ascii="Cambria Math" w:hAnsi="Cambria Math"/>
                </w:rPr>
                <m:t>i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=1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</w:rPr>
                <m:t>5</m:t>
              </m:r>
            </m:sup>
            <m:e>
              <m:r>
                <m:rPr>
                  <m:sty m:val="p"/>
                </m:rPr>
                <w:rPr>
                  <w:rFonts w:ascii="Cambria Math" w:hAnsi="Cambria Math"/>
                </w:rPr>
                <m:t> </m:t>
              </m:r>
            </m:e>
          </m:nary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w</m:t>
              </m:r>
            </m:e>
            <m:sub>
              <m:r>
                <w:rPr>
                  <w:rFonts w:ascii="Cambria Math" w:hAnsi="Cambria Math"/>
                </w:rPr>
                <m:t>i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×</m:t>
          </m:r>
          <m:r>
            <w:rPr>
              <w:rFonts w:ascii="Cambria Math" w:hAnsi="Cambria Math"/>
            </w:rPr>
            <m:t>Scor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e</m:t>
              </m:r>
            </m:e>
            <m:sub>
              <m:r>
                <w:rPr>
                  <w:rFonts w:ascii="Cambria Math" w:hAnsi="Cambria Math"/>
                </w:rPr>
                <m:t>i</m:t>
              </m:r>
            </m:sub>
          </m:sSub>
        </m:oMath>
      </m:oMathPara>
    </w:p>
    <w:p w:rsidR="00A461FC" w:rsidRDefault="00D11E79">
      <w:pPr>
        <w:spacing w:before="240" w:line="271" w:lineRule="auto"/>
      </w:pPr>
      <w:bookmarkStart w:id="86" w:name="g_3_2_dimension_weights"/>
      <w:r>
        <w:rPr>
          <w:b/>
          <w:sz w:val="33"/>
        </w:rPr>
        <w:t>G.3.2 Dimension Weights</w:t>
      </w:r>
      <w:bookmarkEnd w:id="86"/>
    </w:p>
    <w:tbl>
      <w:tblPr>
        <w:tblStyle w:val="NormalGrid"/>
        <w:tblW w:w="0" w:type="auto"/>
        <w:jc w:val="center"/>
        <w:tblCellSpacing w:w="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Look w:val="04A0" w:firstRow="1" w:lastRow="0" w:firstColumn="1" w:lastColumn="0" w:noHBand="0" w:noVBand="1"/>
      </w:tblPr>
      <w:tblGrid>
        <w:gridCol w:w="3153"/>
        <w:gridCol w:w="1404"/>
        <w:gridCol w:w="3756"/>
      </w:tblGrid>
      <w:tr w:rsidR="00A461FC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Dimension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Weight (w)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Justification</w:t>
            </w:r>
          </w:p>
        </w:tc>
      </w:tr>
      <w:tr w:rsidR="00A461FC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Historical Value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0.25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Most important dimension (rank 1)</w:t>
            </w:r>
          </w:p>
        </w:tc>
      </w:tr>
      <w:tr w:rsidR="00A461FC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Authenticity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0.22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Second most important (rank 2)</w:t>
            </w:r>
          </w:p>
        </w:tc>
      </w:tr>
      <w:tr w:rsidR="00A461FC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Social Value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0.20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Third most important (rank 3)</w:t>
            </w:r>
          </w:p>
        </w:tc>
      </w:tr>
      <w:tr w:rsidR="00A461FC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Aesthetic Value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0.18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Fourth most important (rank 4)</w:t>
            </w:r>
          </w:p>
        </w:tc>
      </w:tr>
      <w:tr w:rsidR="00A461FC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Traditional Knowledge Value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0.15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Fifth most important (rank 5)</w:t>
            </w:r>
          </w:p>
        </w:tc>
      </w:tr>
    </w:tbl>
    <w:p w:rsidR="00A461FC" w:rsidRDefault="00A461FC"/>
    <w:p w:rsidR="00A461FC" w:rsidRDefault="00D11E79">
      <w:pPr>
        <w:spacing w:before="240" w:line="271" w:lineRule="auto"/>
      </w:pPr>
      <w:bookmarkStart w:id="87" w:name="g_3_3_detailed_scoring_rubrics"/>
      <w:r>
        <w:rPr>
          <w:b/>
          <w:sz w:val="33"/>
        </w:rPr>
        <w:t>G.3.3 Detailed Scoring Rubrics</w:t>
      </w:r>
      <w:bookmarkEnd w:id="87"/>
    </w:p>
    <w:p w:rsidR="00A461FC" w:rsidRDefault="00D11E79">
      <w:pPr>
        <w:spacing w:after="220"/>
      </w:pPr>
      <w:r>
        <w:rPr>
          <w:b/>
        </w:rPr>
        <w:t>A. Historical Value (0</w:t>
      </w:r>
      <w:r>
        <w:rPr>
          <w:b/>
        </w:rPr>
        <w:t>–</w:t>
      </w:r>
      <w:r>
        <w:rPr>
          <w:b/>
        </w:rPr>
        <w:t>100)</w:t>
      </w:r>
    </w:p>
    <w:tbl>
      <w:tblPr>
        <w:tblStyle w:val="NormalGrid"/>
        <w:tblW w:w="0" w:type="auto"/>
        <w:jc w:val="center"/>
        <w:tblCellSpacing w:w="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Look w:val="04A0" w:firstRow="1" w:lastRow="0" w:firstColumn="1" w:lastColumn="0" w:noHBand="0" w:noVBand="1"/>
      </w:tblPr>
      <w:tblGrid>
        <w:gridCol w:w="1474"/>
        <w:gridCol w:w="7160"/>
      </w:tblGrid>
      <w:tr w:rsidR="00A461FC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:rsidR="00A461FC" w:rsidRDefault="00D11E79">
            <w:r>
              <w:lastRenderedPageBreak/>
              <w:t>Score Range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Criteria</w:t>
            </w:r>
          </w:p>
        </w:tc>
      </w:tr>
      <w:tr w:rsidR="00A461FC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:rsidR="00A461FC" w:rsidRDefault="00D11E79">
            <w:r>
              <w:rPr>
                <w:rFonts w:eastAsia="Georgia" w:hAnsi="Georgia" w:cs="Georgia"/>
              </w:rPr>
              <w:t>0–20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No documented history; recent construction (post-1950)</w:t>
            </w:r>
          </w:p>
        </w:tc>
      </w:tr>
      <w:tr w:rsidR="00A461FC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:rsidR="00A461FC" w:rsidRDefault="00D11E79">
            <w:r>
              <w:rPr>
                <w:rFonts w:eastAsia="Georgia" w:hAnsi="Georgia" w:cs="Georgia"/>
              </w:rPr>
              <w:t>21–40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Limited documentation; built early-mid 20th century</w:t>
            </w:r>
          </w:p>
        </w:tc>
      </w:tr>
      <w:tr w:rsidR="00A461FC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:rsidR="00A461FC" w:rsidRDefault="00D11E79">
            <w:r>
              <w:rPr>
                <w:rFonts w:eastAsia="Georgia" w:hAnsi="Georgia" w:cs="Georgia"/>
              </w:rPr>
              <w:t>41–60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Good documentation; built pre-1940; some historical events</w:t>
            </w:r>
          </w:p>
        </w:tc>
      </w:tr>
      <w:tr w:rsidR="00A461FC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:rsidR="00A461FC" w:rsidRDefault="00D11E79">
            <w:r>
              <w:rPr>
                <w:rFonts w:eastAsia="Georgia" w:hAnsi="Georgia" w:cs="Georgia"/>
              </w:rPr>
              <w:t>61–80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Extensive documentation; built pre-1920; significant historical events</w:t>
            </w:r>
          </w:p>
        </w:tc>
      </w:tr>
      <w:tr w:rsidR="00A461FC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:rsidR="00A461FC" w:rsidRDefault="00D11E79">
            <w:r>
              <w:rPr>
                <w:rFonts w:eastAsia="Georgia" w:hAnsi="Georgia" w:cs="Georgia"/>
              </w:rPr>
              <w:t>81–100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Exceptional documentation; built pre-1900; landmark historical importance</w:t>
            </w:r>
          </w:p>
        </w:tc>
      </w:tr>
    </w:tbl>
    <w:p w:rsidR="00A461FC" w:rsidRDefault="00A461FC"/>
    <w:p w:rsidR="00A461FC" w:rsidRDefault="00D11E79">
      <w:pPr>
        <w:spacing w:after="220"/>
      </w:pPr>
      <w:r>
        <w:rPr>
          <w:b/>
        </w:rPr>
        <w:t>B. Authenticity (0</w:t>
      </w:r>
      <w:r>
        <w:rPr>
          <w:b/>
        </w:rPr>
        <w:t>–</w:t>
      </w:r>
      <w:r>
        <w:rPr>
          <w:b/>
        </w:rPr>
        <w:t>100)</w:t>
      </w:r>
    </w:p>
    <w:tbl>
      <w:tblPr>
        <w:tblStyle w:val="NormalGrid"/>
        <w:tblW w:w="0" w:type="auto"/>
        <w:jc w:val="center"/>
        <w:tblCellSpacing w:w="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Look w:val="04A0" w:firstRow="1" w:lastRow="0" w:firstColumn="1" w:lastColumn="0" w:noHBand="0" w:noVBand="1"/>
      </w:tblPr>
      <w:tblGrid>
        <w:gridCol w:w="1531"/>
        <w:gridCol w:w="5800"/>
      </w:tblGrid>
      <w:tr w:rsidR="00A461FC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Score Range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Criteria</w:t>
            </w:r>
          </w:p>
        </w:tc>
      </w:tr>
      <w:tr w:rsidR="00A461FC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:rsidR="00A461FC" w:rsidRDefault="00D11E79">
            <w:r>
              <w:rPr>
                <w:rFonts w:eastAsia="Georgia" w:hAnsi="Georgia" w:cs="Georgia"/>
              </w:rPr>
              <w:t>0–20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Completely altered; no original fabric</w:t>
            </w:r>
          </w:p>
        </w:tc>
      </w:tr>
      <w:tr w:rsidR="00A461FC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:rsidR="00A461FC" w:rsidRDefault="00D11E79">
            <w:r>
              <w:rPr>
                <w:rFonts w:eastAsia="Georgia" w:hAnsi="Georgia" w:cs="Georgia"/>
              </w:rPr>
              <w:t>21–40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Mostly altered; limited original fabric (&lt;25%)</w:t>
            </w:r>
          </w:p>
        </w:tc>
      </w:tr>
      <w:tr w:rsidR="00A461FC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:rsidR="00A461FC" w:rsidRDefault="00D11E79">
            <w:r>
              <w:rPr>
                <w:rFonts w:eastAsia="Georgia" w:hAnsi="Georgia" w:cs="Georgia"/>
              </w:rPr>
              <w:t>41–60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rPr>
                <w:rFonts w:eastAsia="Georgia" w:hAnsi="Georgia" w:cs="Georgia"/>
              </w:rPr>
              <w:t>Partially original (25–50%) with sympathetic alterations</w:t>
            </w:r>
          </w:p>
        </w:tc>
      </w:tr>
      <w:tr w:rsidR="00A461FC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:rsidR="00A461FC" w:rsidRDefault="00D11E79">
            <w:r>
              <w:rPr>
                <w:rFonts w:eastAsia="Georgia" w:hAnsi="Georgia" w:cs="Georgia"/>
              </w:rPr>
              <w:t>61–80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rPr>
                <w:rFonts w:eastAsia="Georgia" w:hAnsi="Georgia" w:cs="Georgia"/>
              </w:rPr>
              <w:t>Largely original (50–75%) with minimal alterations</w:t>
            </w:r>
          </w:p>
        </w:tc>
      </w:tr>
      <w:tr w:rsidR="00A461FC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:rsidR="00A461FC" w:rsidRDefault="00D11E79">
            <w:r>
              <w:rPr>
                <w:rFonts w:eastAsia="Georgia" w:hAnsi="Georgia" w:cs="Georgia"/>
              </w:rPr>
              <w:t>81–100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Substantially original (&gt;75%); preserved with integrity</w:t>
            </w:r>
          </w:p>
        </w:tc>
      </w:tr>
    </w:tbl>
    <w:p w:rsidR="00A461FC" w:rsidRDefault="00A461FC"/>
    <w:p w:rsidR="00A461FC" w:rsidRDefault="00D11E79">
      <w:pPr>
        <w:spacing w:after="220"/>
      </w:pPr>
      <w:r>
        <w:rPr>
          <w:b/>
        </w:rPr>
        <w:t>C. Social Value (0</w:t>
      </w:r>
      <w:r>
        <w:rPr>
          <w:b/>
        </w:rPr>
        <w:t>–</w:t>
      </w:r>
      <w:r>
        <w:rPr>
          <w:b/>
        </w:rPr>
        <w:t>100)</w:t>
      </w:r>
    </w:p>
    <w:tbl>
      <w:tblPr>
        <w:tblStyle w:val="NormalGrid"/>
        <w:tblW w:w="0" w:type="auto"/>
        <w:jc w:val="center"/>
        <w:tblCellSpacing w:w="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Look w:val="04A0" w:firstRow="1" w:lastRow="0" w:firstColumn="1" w:lastColumn="0" w:noHBand="0" w:noVBand="1"/>
      </w:tblPr>
      <w:tblGrid>
        <w:gridCol w:w="1531"/>
        <w:gridCol w:w="5372"/>
      </w:tblGrid>
      <w:tr w:rsidR="00A461FC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Score Range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Criteria</w:t>
            </w:r>
          </w:p>
        </w:tc>
      </w:tr>
      <w:tr w:rsidR="00A461FC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:rsidR="00A461FC" w:rsidRDefault="00D11E79">
            <w:r>
              <w:rPr>
                <w:rFonts w:eastAsia="Georgia" w:hAnsi="Georgia" w:cs="Georgia"/>
              </w:rPr>
              <w:t>0–20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No community connection; inaccessible/abandoned</w:t>
            </w:r>
          </w:p>
        </w:tc>
      </w:tr>
      <w:tr w:rsidR="00A461FC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:rsidR="00A461FC" w:rsidRDefault="00D11E79">
            <w:r>
              <w:rPr>
                <w:rFonts w:eastAsia="Georgia" w:hAnsi="Georgia" w:cs="Georgia"/>
              </w:rPr>
              <w:t>21–40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Limited community use; restricted access</w:t>
            </w:r>
          </w:p>
        </w:tc>
      </w:tr>
      <w:tr w:rsidR="00A461FC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:rsidR="00A461FC" w:rsidRDefault="00D11E79">
            <w:r>
              <w:rPr>
                <w:rFonts w:eastAsia="Georgia" w:hAnsi="Georgia" w:cs="Georgia"/>
              </w:rPr>
              <w:t>41–60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Some community use; regular events</w:t>
            </w:r>
          </w:p>
        </w:tc>
      </w:tr>
      <w:tr w:rsidR="00A461FC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:rsidR="00A461FC" w:rsidRDefault="00D11E79">
            <w:r>
              <w:rPr>
                <w:rFonts w:eastAsia="Georgia" w:hAnsi="Georgia" w:cs="Georgia"/>
              </w:rPr>
              <w:t>61–80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Active community use; significant social gatherings</w:t>
            </w:r>
          </w:p>
        </w:tc>
      </w:tr>
      <w:tr w:rsidR="00A461FC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:rsidR="00A461FC" w:rsidRDefault="00D11E79">
            <w:r>
              <w:rPr>
                <w:rFonts w:eastAsia="Georgia" w:hAnsi="Georgia" w:cs="Georgia"/>
              </w:rPr>
              <w:t>81–100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Vibrant community hub; integral to community life</w:t>
            </w:r>
          </w:p>
        </w:tc>
      </w:tr>
    </w:tbl>
    <w:p w:rsidR="00A461FC" w:rsidRDefault="00A461FC"/>
    <w:p w:rsidR="00A461FC" w:rsidRDefault="00D11E79">
      <w:pPr>
        <w:spacing w:after="220"/>
      </w:pPr>
      <w:r>
        <w:rPr>
          <w:b/>
        </w:rPr>
        <w:t>D. Aesthetic Value (0</w:t>
      </w:r>
      <w:r>
        <w:rPr>
          <w:b/>
        </w:rPr>
        <w:t>–</w:t>
      </w:r>
      <w:r>
        <w:rPr>
          <w:b/>
        </w:rPr>
        <w:t>100)</w:t>
      </w:r>
    </w:p>
    <w:tbl>
      <w:tblPr>
        <w:tblStyle w:val="NormalGrid"/>
        <w:tblW w:w="0" w:type="auto"/>
        <w:jc w:val="center"/>
        <w:tblCellSpacing w:w="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Look w:val="04A0" w:firstRow="1" w:lastRow="0" w:firstColumn="1" w:lastColumn="0" w:noHBand="0" w:noVBand="1"/>
      </w:tblPr>
      <w:tblGrid>
        <w:gridCol w:w="1531"/>
        <w:gridCol w:w="6119"/>
      </w:tblGrid>
      <w:tr w:rsidR="00A461FC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Score Range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Criteria</w:t>
            </w:r>
          </w:p>
        </w:tc>
      </w:tr>
      <w:tr w:rsidR="00A461FC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:rsidR="00A461FC" w:rsidRDefault="00D11E79">
            <w:r>
              <w:rPr>
                <w:rFonts w:eastAsia="Georgia" w:hAnsi="Georgia" w:cs="Georgia"/>
              </w:rPr>
              <w:t>0–20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Visually unremarkable; no architectural significance</w:t>
            </w:r>
          </w:p>
        </w:tc>
      </w:tr>
      <w:tr w:rsidR="00A461FC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:rsidR="00A461FC" w:rsidRDefault="00D11E79">
            <w:r>
              <w:rPr>
                <w:rFonts w:eastAsia="Georgia" w:hAnsi="Georgia" w:cs="Georgia"/>
              </w:rPr>
              <w:t>21–40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Simple design; limited aesthetic appeal</w:t>
            </w:r>
          </w:p>
        </w:tc>
      </w:tr>
      <w:tr w:rsidR="00A461FC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:rsidR="00A461FC" w:rsidRDefault="00D11E79">
            <w:r>
              <w:rPr>
                <w:rFonts w:eastAsia="Georgia" w:hAnsi="Georgia" w:cs="Georgia"/>
              </w:rPr>
              <w:t>41–60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Good design; some architectural interest</w:t>
            </w:r>
          </w:p>
        </w:tc>
      </w:tr>
      <w:tr w:rsidR="00A461FC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:rsidR="00A461FC" w:rsidRDefault="00D11E79">
            <w:r>
              <w:rPr>
                <w:rFonts w:eastAsia="Georgia" w:hAnsi="Georgia" w:cs="Georgia"/>
              </w:rPr>
              <w:t>61–80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Excellent design; significant architectural merit</w:t>
            </w:r>
          </w:p>
        </w:tc>
      </w:tr>
      <w:tr w:rsidR="00A461FC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:rsidR="00A461FC" w:rsidRDefault="00D11E79">
            <w:r>
              <w:rPr>
                <w:rFonts w:eastAsia="Georgia" w:hAnsi="Georgia" w:cs="Georgia"/>
              </w:rPr>
              <w:lastRenderedPageBreak/>
              <w:t>81–100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Outstanding design; internationally recognised architecture</w:t>
            </w:r>
          </w:p>
        </w:tc>
      </w:tr>
    </w:tbl>
    <w:p w:rsidR="00A461FC" w:rsidRDefault="00A461FC"/>
    <w:p w:rsidR="00A461FC" w:rsidRDefault="00D11E79">
      <w:pPr>
        <w:spacing w:after="220"/>
      </w:pPr>
      <w:r>
        <w:rPr>
          <w:b/>
        </w:rPr>
        <w:t>E. Traditional Knowledge Value (0</w:t>
      </w:r>
      <w:r>
        <w:rPr>
          <w:b/>
        </w:rPr>
        <w:t>–</w:t>
      </w:r>
      <w:r>
        <w:rPr>
          <w:b/>
        </w:rPr>
        <w:t>100)</w:t>
      </w:r>
    </w:p>
    <w:tbl>
      <w:tblPr>
        <w:tblStyle w:val="NormalGrid"/>
        <w:tblW w:w="0" w:type="auto"/>
        <w:jc w:val="center"/>
        <w:tblCellSpacing w:w="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Look w:val="04A0" w:firstRow="1" w:lastRow="0" w:firstColumn="1" w:lastColumn="0" w:noHBand="0" w:noVBand="1"/>
      </w:tblPr>
      <w:tblGrid>
        <w:gridCol w:w="1531"/>
        <w:gridCol w:w="5818"/>
      </w:tblGrid>
      <w:tr w:rsidR="00A461FC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Score Range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Criteria</w:t>
            </w:r>
          </w:p>
        </w:tc>
      </w:tr>
      <w:tr w:rsidR="00A461FC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:rsidR="00A461FC" w:rsidRDefault="00D11E79">
            <w:r>
              <w:rPr>
                <w:rFonts w:eastAsia="Georgia" w:hAnsi="Georgia" w:cs="Georgia"/>
              </w:rPr>
              <w:t>0–20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No traditional construction techniques visible</w:t>
            </w:r>
          </w:p>
        </w:tc>
      </w:tr>
      <w:tr w:rsidR="00A461FC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:rsidR="00A461FC" w:rsidRDefault="00D11E79">
            <w:r>
              <w:rPr>
                <w:rFonts w:eastAsia="Georgia" w:hAnsi="Georgia" w:cs="Georgia"/>
              </w:rPr>
              <w:t>21–40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Limited traditional techniques; mostly modern methods</w:t>
            </w:r>
          </w:p>
        </w:tc>
      </w:tr>
      <w:tr w:rsidR="00A461FC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:rsidR="00A461FC" w:rsidRDefault="00D11E79">
            <w:r>
              <w:rPr>
                <w:rFonts w:eastAsia="Georgia" w:hAnsi="Georgia" w:cs="Georgia"/>
              </w:rPr>
              <w:t>41–60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Visible traditional techniques mixed with modern</w:t>
            </w:r>
          </w:p>
        </w:tc>
      </w:tr>
      <w:tr w:rsidR="00A461FC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:rsidR="00A461FC" w:rsidRDefault="00D11E79">
            <w:r>
              <w:rPr>
                <w:rFonts w:eastAsia="Georgia" w:hAnsi="Georgia" w:cs="Georgia"/>
              </w:rPr>
              <w:t>61–80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Predominantly traditional construction techniques</w:t>
            </w:r>
          </w:p>
        </w:tc>
      </w:tr>
      <w:tr w:rsidR="00A461FC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:rsidR="00A461FC" w:rsidRDefault="00D11E79">
            <w:r>
              <w:rPr>
                <w:rFonts w:eastAsia="Georgia" w:hAnsi="Georgia" w:cs="Georgia"/>
              </w:rPr>
              <w:t>81–100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Exemplary traditional construction; living craft tradition</w:t>
            </w:r>
          </w:p>
        </w:tc>
      </w:tr>
    </w:tbl>
    <w:p w:rsidR="00A461FC" w:rsidRDefault="00A461FC"/>
    <w:p w:rsidR="00A461FC" w:rsidRDefault="00D11E79">
      <w:pPr>
        <w:spacing w:before="240" w:line="271" w:lineRule="auto"/>
      </w:pPr>
      <w:bookmarkStart w:id="88" w:name="g_3_4_scoring_protocol"/>
      <w:r>
        <w:rPr>
          <w:b/>
          <w:sz w:val="33"/>
        </w:rPr>
        <w:t>G.3.4 Scoring Protoc</w:t>
      </w:r>
      <w:r>
        <w:rPr>
          <w:b/>
          <w:sz w:val="33"/>
        </w:rPr>
        <w:t>ol</w:t>
      </w:r>
      <w:bookmarkEnd w:id="88"/>
    </w:p>
    <w:p w:rsidR="00A461FC" w:rsidRDefault="00D11E79">
      <w:pPr>
        <w:spacing w:after="220"/>
      </w:pPr>
      <w:r>
        <w:rPr>
          <w:b/>
        </w:rPr>
        <w:t>Step 1:</w:t>
      </w:r>
      <w:r>
        <w:rPr>
          <w:rFonts w:eastAsia="Georgia" w:hAnsi="Georgia" w:cs="Georgia"/>
        </w:rPr>
        <w:t xml:space="preserve"> Each dimension scored by 2–3 independent assessors (heritage professionals)</w:t>
      </w:r>
    </w:p>
    <w:p w:rsidR="00A461FC" w:rsidRDefault="00D11E79">
      <w:pPr>
        <w:spacing w:after="220"/>
      </w:pPr>
      <w:r>
        <w:rPr>
          <w:b/>
        </w:rPr>
        <w:t>Step 2:</w:t>
      </w:r>
      <w:r>
        <w:t xml:space="preserve"> Scores averaged for each dimension</w:t>
      </w:r>
    </w:p>
    <w:p w:rsidR="00A461FC" w:rsidRDefault="00D11E79">
      <w:pPr>
        <w:spacing w:after="220"/>
      </w:pPr>
      <w:r>
        <w:rPr>
          <w:b/>
        </w:rPr>
        <w:t>Step 3:</w:t>
      </w:r>
      <w:r>
        <w:t xml:space="preserve"> Weighted sum calculated</w:t>
      </w:r>
    </w:p>
    <w:p w:rsidR="00A461FC" w:rsidRDefault="00D11E79">
      <w:pPr>
        <w:spacing w:after="220"/>
      </w:pPr>
      <w:r>
        <w:rPr>
          <w:b/>
        </w:rPr>
        <w:t>Step 4:</w:t>
      </w:r>
      <w:r>
        <w:rPr>
          <w:rFonts w:eastAsia="Georgia" w:hAnsi="Georgia" w:cs="Georgia"/>
        </w:rPr>
        <w:t xml:space="preserve"> Final HVI score (0–100)</w:t>
      </w:r>
    </w:p>
    <w:p w:rsidR="00A461FC" w:rsidRDefault="00D11E79">
      <w:pPr>
        <w:spacing w:after="220"/>
      </w:pPr>
      <w:r>
        <w:rPr>
          <w:b/>
        </w:rPr>
        <w:t>Example: Lawang Sewu Main Entrance Hall</w:t>
      </w:r>
    </w:p>
    <w:tbl>
      <w:tblPr>
        <w:tblStyle w:val="NormalGrid"/>
        <w:tblW w:w="0" w:type="auto"/>
        <w:jc w:val="center"/>
        <w:tblCellSpacing w:w="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Look w:val="04A0" w:firstRow="1" w:lastRow="0" w:firstColumn="1" w:lastColumn="0" w:noHBand="0" w:noVBand="1"/>
      </w:tblPr>
      <w:tblGrid>
        <w:gridCol w:w="3153"/>
        <w:gridCol w:w="861"/>
        <w:gridCol w:w="1024"/>
        <w:gridCol w:w="1853"/>
      </w:tblGrid>
      <w:tr w:rsidR="00A461FC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Dimension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Score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Weight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Weighted Score</w:t>
            </w:r>
          </w:p>
        </w:tc>
      </w:tr>
      <w:tr w:rsidR="00A461FC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Historical Value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95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0.25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23.75</w:t>
            </w:r>
          </w:p>
        </w:tc>
      </w:tr>
      <w:tr w:rsidR="00A461FC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Authenticity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92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0.22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20.24</w:t>
            </w:r>
          </w:p>
        </w:tc>
      </w:tr>
      <w:tr w:rsidR="00A461FC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Social Value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78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0.20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15.60</w:t>
            </w:r>
          </w:p>
        </w:tc>
      </w:tr>
      <w:tr w:rsidR="00A461FC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Aesthetic Value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88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0.18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15.84</w:t>
            </w:r>
          </w:p>
        </w:tc>
      </w:tr>
      <w:tr w:rsidR="00A461FC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Traditional Knowledge Value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82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0.15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12.30</w:t>
            </w:r>
          </w:p>
        </w:tc>
      </w:tr>
      <w:tr w:rsidR="00A461FC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:rsidR="00A461FC" w:rsidRDefault="00D11E79">
            <w:r>
              <w:rPr>
                <w:b/>
              </w:rPr>
              <w:t>HVI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-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-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rPr>
                <w:b/>
              </w:rPr>
              <w:t>87.73</w:t>
            </w:r>
          </w:p>
        </w:tc>
      </w:tr>
    </w:tbl>
    <w:p w:rsidR="00A461FC" w:rsidRDefault="00A461FC"/>
    <w:p w:rsidR="00A461FC" w:rsidRDefault="00D11E79">
      <w:r>
        <w:rPr>
          <w:noProof/>
        </w:rPr>
        <w:pict>
          <v:rect id="_x0000_i1032" alt="" style="width:6in;height:.05pt;mso-width-percent:0;mso-height-percent:0;mso-width-percent:0;mso-height-percent:0" o:hralign="center" o:hrstd="t" o:hr="t"/>
        </w:pict>
      </w:r>
    </w:p>
    <w:p w:rsidR="00A461FC" w:rsidRDefault="00D11E79">
      <w:pPr>
        <w:spacing w:before="240" w:line="288" w:lineRule="auto"/>
      </w:pPr>
      <w:bookmarkStart w:id="89" w:name="appendix_h_sensitivity_analysis_f_1851d6"/>
      <w:r>
        <w:rPr>
          <w:b/>
          <w:sz w:val="56"/>
        </w:rPr>
        <w:lastRenderedPageBreak/>
        <w:t>Appendix H: Sensitivity Analysis for FDS Weighting (50/50 to 80/20)</w:t>
      </w:r>
      <w:bookmarkEnd w:id="89"/>
    </w:p>
    <w:p w:rsidR="00A461FC" w:rsidRDefault="00D11E79">
      <w:pPr>
        <w:spacing w:before="240" w:line="271" w:lineRule="auto"/>
      </w:pPr>
      <w:bookmarkStart w:id="90" w:name="h_1_weighting_options_evaluated"/>
      <w:r>
        <w:rPr>
          <w:b/>
          <w:sz w:val="42"/>
        </w:rPr>
        <w:t>H.1 Weighting Options Evaluated</w:t>
      </w:r>
      <w:bookmarkEnd w:id="90"/>
    </w:p>
    <w:tbl>
      <w:tblPr>
        <w:tblStyle w:val="NormalGrid"/>
        <w:tblW w:w="0" w:type="auto"/>
        <w:jc w:val="center"/>
        <w:tblCellSpacing w:w="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Look w:val="04A0" w:firstRow="1" w:lastRow="0" w:firstColumn="1" w:lastColumn="0" w:noHBand="0" w:noVBand="1"/>
      </w:tblPr>
      <w:tblGrid>
        <w:gridCol w:w="1333"/>
        <w:gridCol w:w="1509"/>
        <w:gridCol w:w="1489"/>
        <w:gridCol w:w="2665"/>
      </w:tblGrid>
      <w:tr w:rsidR="00A461FC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Weighting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Risk Weight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HVI Weight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Scenario</w:t>
            </w:r>
          </w:p>
        </w:tc>
      </w:tr>
      <w:tr w:rsidR="00A461FC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W1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0.50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0.50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Equal weighting</w:t>
            </w:r>
          </w:p>
        </w:tc>
      </w:tr>
      <w:tr w:rsidR="00A461FC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W2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0.55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0.45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Slight risk priority</w:t>
            </w:r>
          </w:p>
        </w:tc>
      </w:tr>
      <w:tr w:rsidR="00A461FC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W3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0.60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0.40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Moderate risk priority</w:t>
            </w:r>
          </w:p>
        </w:tc>
      </w:tr>
      <w:tr w:rsidR="00A461FC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W4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0.65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0.35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Strong risk priority</w:t>
            </w:r>
          </w:p>
        </w:tc>
      </w:tr>
      <w:tr w:rsidR="00A461FC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W5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0.70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0.30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Very strong risk priority</w:t>
            </w:r>
          </w:p>
        </w:tc>
      </w:tr>
      <w:tr w:rsidR="00A461FC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W6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0.75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0.25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Extreme risk priority</w:t>
            </w:r>
          </w:p>
        </w:tc>
      </w:tr>
      <w:tr w:rsidR="00A461FC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W7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0.80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0.20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Extreme risk priority</w:t>
            </w:r>
          </w:p>
        </w:tc>
      </w:tr>
    </w:tbl>
    <w:p w:rsidR="00A461FC" w:rsidRDefault="00A461FC"/>
    <w:p w:rsidR="00A461FC" w:rsidRDefault="00D11E79">
      <w:pPr>
        <w:spacing w:before="240" w:line="271" w:lineRule="auto"/>
      </w:pPr>
      <w:bookmarkStart w:id="91" w:name="h_2_impact_on_fds_rankings"/>
      <w:r>
        <w:rPr>
          <w:b/>
          <w:sz w:val="42"/>
        </w:rPr>
        <w:t>H.2 Impact on FDS Rankings</w:t>
      </w:r>
      <w:bookmarkEnd w:id="91"/>
    </w:p>
    <w:p w:rsidR="00A461FC" w:rsidRDefault="00D11E79">
      <w:pPr>
        <w:spacing w:before="240" w:line="271" w:lineRule="auto"/>
      </w:pPr>
      <w:bookmarkStart w:id="92" w:name="h_2_1_zones_analysed"/>
      <w:r>
        <w:rPr>
          <w:b/>
          <w:sz w:val="33"/>
        </w:rPr>
        <w:t>H.2.1 Zones Analysed</w:t>
      </w:r>
      <w:bookmarkEnd w:id="92"/>
    </w:p>
    <w:tbl>
      <w:tblPr>
        <w:tblStyle w:val="NormalGrid"/>
        <w:tblW w:w="0" w:type="auto"/>
        <w:jc w:val="center"/>
        <w:tblCellSpacing w:w="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Look w:val="04A0" w:firstRow="1" w:lastRow="0" w:firstColumn="1" w:lastColumn="0" w:noHBand="0" w:noVBand="1"/>
      </w:tblPr>
      <w:tblGrid>
        <w:gridCol w:w="1116"/>
        <w:gridCol w:w="1837"/>
        <w:gridCol w:w="2361"/>
        <w:gridCol w:w="1346"/>
        <w:gridCol w:w="1331"/>
      </w:tblGrid>
      <w:tr w:rsidR="00A461FC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Zone ID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Site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Description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Risk Score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HVI Score</w:t>
            </w:r>
          </w:p>
        </w:tc>
      </w:tr>
      <w:tr w:rsidR="00A461FC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Z01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Lawang Sewu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Main Entrance Hall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72.4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88.2</w:t>
            </w:r>
          </w:p>
        </w:tc>
      </w:tr>
      <w:tr w:rsidR="00A461FC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Z02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Lawang Sewu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Basement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84.6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58.6</w:t>
            </w:r>
          </w:p>
        </w:tc>
      </w:tr>
      <w:tr w:rsidR="00A461FC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Z03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Lawang Sewu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North Corridor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78.2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72.3</w:t>
            </w:r>
          </w:p>
        </w:tc>
      </w:tr>
      <w:tr w:rsidR="00A461FC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Z04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Lawang Sewu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Front Hall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74.1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79.5</w:t>
            </w:r>
          </w:p>
        </w:tc>
      </w:tr>
      <w:tr w:rsidR="00A461FC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Z05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Pasar Johar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Enclosed Stalls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81.2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72.4</w:t>
            </w:r>
          </w:p>
        </w:tc>
      </w:tr>
      <w:tr w:rsidR="00A461FC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Z06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Pasar Johar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Semi-open Corridors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76.3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68.7</w:t>
            </w:r>
          </w:p>
        </w:tc>
      </w:tr>
      <w:tr w:rsidR="00A461FC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Z07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Tawang Station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Main Hall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72.8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74.8</w:t>
            </w:r>
          </w:p>
        </w:tc>
      </w:tr>
      <w:tr w:rsidR="00A461FC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Z08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Tawang Station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Platform Area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68.5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62.3</w:t>
            </w:r>
          </w:p>
        </w:tc>
      </w:tr>
    </w:tbl>
    <w:p w:rsidR="00A461FC" w:rsidRDefault="00A461FC"/>
    <w:p w:rsidR="00A461FC" w:rsidRDefault="00D11E79">
      <w:pPr>
        <w:spacing w:before="240" w:line="271" w:lineRule="auto"/>
      </w:pPr>
      <w:bookmarkStart w:id="93" w:name="h_2_2_fds_by_weighting"/>
      <w:r>
        <w:rPr>
          <w:b/>
          <w:sz w:val="33"/>
        </w:rPr>
        <w:t>H.2.2 FDS by Weighting</w:t>
      </w:r>
      <w:bookmarkEnd w:id="93"/>
    </w:p>
    <w:tbl>
      <w:tblPr>
        <w:tblStyle w:val="NormalGrid"/>
        <w:tblW w:w="0" w:type="auto"/>
        <w:jc w:val="center"/>
        <w:tblCellSpacing w:w="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Look w:val="04A0" w:firstRow="1" w:lastRow="0" w:firstColumn="1" w:lastColumn="0" w:noHBand="0" w:noVBand="1"/>
      </w:tblPr>
      <w:tblGrid>
        <w:gridCol w:w="814"/>
        <w:gridCol w:w="1123"/>
        <w:gridCol w:w="1095"/>
        <w:gridCol w:w="1140"/>
        <w:gridCol w:w="1100"/>
        <w:gridCol w:w="1124"/>
        <w:gridCol w:w="1088"/>
        <w:gridCol w:w="1150"/>
      </w:tblGrid>
      <w:tr w:rsidR="00A461FC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:rsidR="00A461FC" w:rsidRDefault="00D11E79">
            <w:r>
              <w:lastRenderedPageBreak/>
              <w:t>Zone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W1 (50/50)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W2 (55/45)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W3 (60/40)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W4 (65/35)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W5 (70/30)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W6 (75/25)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W7 (80/20)</w:t>
            </w:r>
          </w:p>
        </w:tc>
      </w:tr>
      <w:tr w:rsidR="00A461FC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Z01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80.30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80.52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80.73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80.95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81.16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81.38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81.59</w:t>
            </w:r>
          </w:p>
        </w:tc>
      </w:tr>
      <w:tr w:rsidR="00A461FC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Z02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71.60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73.00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74.30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75.50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76.60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77.60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78.50</w:t>
            </w:r>
          </w:p>
        </w:tc>
      </w:tr>
      <w:tr w:rsidR="00A461FC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Z03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75.25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75.59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75.93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76.27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76.61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76.95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77.29</w:t>
            </w:r>
          </w:p>
        </w:tc>
      </w:tr>
      <w:tr w:rsidR="00A461FC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Z04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76.80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76.88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76.97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77.05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77.14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77.22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77.31</w:t>
            </w:r>
          </w:p>
        </w:tc>
      </w:tr>
      <w:tr w:rsidR="00A461FC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Z05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76.80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77.25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77.68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78.11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78.54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78.97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79.40</w:t>
            </w:r>
          </w:p>
        </w:tc>
      </w:tr>
      <w:tr w:rsidR="00A461FC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Z06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72.50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72.88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73.26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73.64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74.02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74.40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74.78</w:t>
            </w:r>
          </w:p>
        </w:tc>
      </w:tr>
      <w:tr w:rsidR="00A461FC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Z07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73.80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73.89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73.98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74.07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74.16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74.25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74.34</w:t>
            </w:r>
          </w:p>
        </w:tc>
      </w:tr>
      <w:tr w:rsidR="00A461FC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Z08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65.40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65.65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65.91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66.16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66.41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66.67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66.92</w:t>
            </w:r>
          </w:p>
        </w:tc>
      </w:tr>
    </w:tbl>
    <w:p w:rsidR="00A461FC" w:rsidRDefault="00A461FC"/>
    <w:p w:rsidR="00A461FC" w:rsidRDefault="00D11E79">
      <w:pPr>
        <w:spacing w:before="240" w:line="271" w:lineRule="auto"/>
      </w:pPr>
      <w:bookmarkStart w:id="94" w:name="h_2_3_ranking_stability"/>
      <w:r>
        <w:rPr>
          <w:b/>
          <w:sz w:val="33"/>
        </w:rPr>
        <w:t>H.2.3 Ranking Stability</w:t>
      </w:r>
      <w:bookmarkEnd w:id="94"/>
    </w:p>
    <w:tbl>
      <w:tblPr>
        <w:tblStyle w:val="NormalGrid"/>
        <w:tblW w:w="0" w:type="auto"/>
        <w:jc w:val="center"/>
        <w:tblCellSpacing w:w="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Look w:val="04A0" w:firstRow="1" w:lastRow="0" w:firstColumn="1" w:lastColumn="0" w:noHBand="0" w:noVBand="1"/>
      </w:tblPr>
      <w:tblGrid>
        <w:gridCol w:w="813"/>
        <w:gridCol w:w="632"/>
        <w:gridCol w:w="660"/>
        <w:gridCol w:w="659"/>
        <w:gridCol w:w="661"/>
        <w:gridCol w:w="653"/>
        <w:gridCol w:w="662"/>
        <w:gridCol w:w="648"/>
        <w:gridCol w:w="1717"/>
      </w:tblGrid>
      <w:tr w:rsidR="00A461FC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Zone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W1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W2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W3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W4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W5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W6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W7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Rank Changes</w:t>
            </w:r>
          </w:p>
        </w:tc>
      </w:tr>
      <w:tr w:rsidR="00A461FC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Z01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1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1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1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1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1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1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1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0</w:t>
            </w:r>
          </w:p>
        </w:tc>
      </w:tr>
      <w:tr w:rsidR="00A461FC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Z02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6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5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5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5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5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4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4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+2</w:t>
            </w:r>
          </w:p>
        </w:tc>
      </w:tr>
      <w:tr w:rsidR="00A461FC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Z03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4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4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4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4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4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5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5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+1</w:t>
            </w:r>
          </w:p>
        </w:tc>
      </w:tr>
      <w:tr w:rsidR="00A461FC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Z04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2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2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3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3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3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3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3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+1</w:t>
            </w:r>
          </w:p>
        </w:tc>
      </w:tr>
      <w:tr w:rsidR="00A461FC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Z05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2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3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2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2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2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2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2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0</w:t>
            </w:r>
          </w:p>
        </w:tc>
      </w:tr>
      <w:tr w:rsidR="00A461FC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Z06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5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6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6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6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6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6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6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+1</w:t>
            </w:r>
          </w:p>
        </w:tc>
      </w:tr>
      <w:tr w:rsidR="00A461FC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Z07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3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3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4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4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4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4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4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+1</w:t>
            </w:r>
          </w:p>
        </w:tc>
      </w:tr>
      <w:tr w:rsidR="00A461FC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Z08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7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7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7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7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7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7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7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0</w:t>
            </w:r>
          </w:p>
        </w:tc>
      </w:tr>
    </w:tbl>
    <w:p w:rsidR="00A461FC" w:rsidRDefault="00A461FC"/>
    <w:p w:rsidR="00A461FC" w:rsidRDefault="00D11E79">
      <w:pPr>
        <w:spacing w:after="220"/>
      </w:pPr>
      <w:r>
        <w:rPr>
          <w:b/>
        </w:rPr>
        <w:t>Interpretation:</w:t>
      </w:r>
      <w:r>
        <w:rPr>
          <w:rFonts w:eastAsia="Georgia" w:hAnsi="Georgia" w:cs="Georgia"/>
        </w:rPr>
        <w:t xml:space="preserve"> The top 3 zones (Z01, Z04, Z05) remain stable across all weightings. Only zones with similar FDS scores (Z02, Z03, Z06, Z07) show minor rank changes (±1–2 positions). The 60/40 weighting (W3) provides a balanced ap</w:t>
      </w:r>
      <w:r>
        <w:rPr>
          <w:rFonts w:eastAsia="Georgia" w:hAnsi="Georgia" w:cs="Georgia"/>
        </w:rPr>
        <w:t>proach with minimal rank disruption.</w:t>
      </w:r>
    </w:p>
    <w:p w:rsidR="00A461FC" w:rsidRDefault="00D11E79">
      <w:pPr>
        <w:spacing w:before="240" w:line="271" w:lineRule="auto"/>
      </w:pPr>
      <w:bookmarkStart w:id="95" w:name="h_2_4_priority_classification_stability"/>
      <w:r>
        <w:rPr>
          <w:b/>
          <w:sz w:val="33"/>
        </w:rPr>
        <w:t>H.2.4 Priority Classification Stability</w:t>
      </w:r>
      <w:bookmarkEnd w:id="95"/>
    </w:p>
    <w:tbl>
      <w:tblPr>
        <w:tblStyle w:val="NormalGrid"/>
        <w:tblW w:w="0" w:type="auto"/>
        <w:jc w:val="center"/>
        <w:tblCellSpacing w:w="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Look w:val="04A0" w:firstRow="1" w:lastRow="0" w:firstColumn="1" w:lastColumn="0" w:noHBand="0" w:noVBand="1"/>
      </w:tblPr>
      <w:tblGrid>
        <w:gridCol w:w="686"/>
        <w:gridCol w:w="1014"/>
        <w:gridCol w:w="1014"/>
        <w:gridCol w:w="1014"/>
        <w:gridCol w:w="1014"/>
        <w:gridCol w:w="1014"/>
        <w:gridCol w:w="1014"/>
        <w:gridCol w:w="1014"/>
        <w:gridCol w:w="850"/>
      </w:tblGrid>
      <w:tr w:rsidR="00A461FC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Zone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W1 (50/50)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W2 (55/45)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W3 (60/40)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W4 (65/35)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W5 (70/30)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W6 (75/25)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W7 (80/20)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Stable?</w:t>
            </w:r>
          </w:p>
        </w:tc>
      </w:tr>
      <w:tr w:rsidR="00A461FC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Z01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High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High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High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High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High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High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High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rPr>
                <w:rFonts w:eastAsia="Georgia" w:hAnsi="Georgia" w:cs="Georgia"/>
              </w:rPr>
              <w:t>✓</w:t>
            </w:r>
          </w:p>
        </w:tc>
      </w:tr>
      <w:tr w:rsidR="00A461FC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:rsidR="00A461FC" w:rsidRDefault="00D11E79">
            <w:r>
              <w:lastRenderedPageBreak/>
              <w:t>Z02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Moderate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Moderate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High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High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High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High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High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rPr>
                <w:rFonts w:eastAsia="Georgia" w:hAnsi="Georgia" w:cs="Georgia"/>
              </w:rPr>
              <w:t>✗</w:t>
            </w:r>
          </w:p>
        </w:tc>
      </w:tr>
      <w:tr w:rsidR="00A461FC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Z03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Moderate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Moderate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Moderate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Moderate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Moderate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Moderate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Moderate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rPr>
                <w:rFonts w:eastAsia="Georgia" w:hAnsi="Georgia" w:cs="Georgia"/>
              </w:rPr>
              <w:t>✓</w:t>
            </w:r>
          </w:p>
        </w:tc>
      </w:tr>
      <w:tr w:rsidR="00A461FC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Z04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High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High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High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High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High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High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High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rPr>
                <w:rFonts w:eastAsia="Georgia" w:hAnsi="Georgia" w:cs="Georgia"/>
              </w:rPr>
              <w:t>✓</w:t>
            </w:r>
          </w:p>
        </w:tc>
      </w:tr>
      <w:tr w:rsidR="00A461FC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Z05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High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High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High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High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High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High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High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rPr>
                <w:rFonts w:eastAsia="Georgia" w:hAnsi="Georgia" w:cs="Georgia"/>
              </w:rPr>
              <w:t>✓</w:t>
            </w:r>
          </w:p>
        </w:tc>
      </w:tr>
      <w:tr w:rsidR="00A461FC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Z06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Moderate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Moderate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Moderate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Moderate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Moderate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Moderate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Moderate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rPr>
                <w:rFonts w:eastAsia="Georgia" w:hAnsi="Georgia" w:cs="Georgia"/>
              </w:rPr>
              <w:t>✓</w:t>
            </w:r>
          </w:p>
        </w:tc>
      </w:tr>
      <w:tr w:rsidR="00A461FC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Z07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Moderate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Moderate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Moderate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Moderate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Moderate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Moderate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Moderate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rPr>
                <w:rFonts w:eastAsia="Georgia" w:hAnsi="Georgia" w:cs="Georgia"/>
              </w:rPr>
              <w:t>✓</w:t>
            </w:r>
          </w:p>
        </w:tc>
      </w:tr>
      <w:tr w:rsidR="00A461FC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Z08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Low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Low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Low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Low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Low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Low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Low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rPr>
                <w:rFonts w:eastAsia="Georgia" w:hAnsi="Georgia" w:cs="Georgia"/>
              </w:rPr>
              <w:t>✓</w:t>
            </w:r>
          </w:p>
        </w:tc>
      </w:tr>
    </w:tbl>
    <w:p w:rsidR="00A461FC" w:rsidRDefault="00A461FC"/>
    <w:p w:rsidR="00A461FC" w:rsidRDefault="00D11E79">
      <w:pPr>
        <w:spacing w:after="220"/>
      </w:pPr>
      <w:r>
        <w:rPr>
          <w:b/>
        </w:rPr>
        <w:t>Interpretation:</w:t>
      </w:r>
      <w:r>
        <w:t xml:space="preserve"> Only Z02 changes classification (moderate to high) when risk weighting exceeds 60%. All other zones maintain stable classifications.</w:t>
      </w:r>
    </w:p>
    <w:p w:rsidR="00A461FC" w:rsidRDefault="00D11E79">
      <w:pPr>
        <w:spacing w:before="240" w:line="271" w:lineRule="auto"/>
      </w:pPr>
      <w:bookmarkStart w:id="96" w:name="h_3_recommendation"/>
      <w:r>
        <w:rPr>
          <w:b/>
          <w:sz w:val="42"/>
        </w:rPr>
        <w:t>H.3 Recommendation</w:t>
      </w:r>
      <w:bookmarkEnd w:id="96"/>
    </w:p>
    <w:p w:rsidR="00A461FC" w:rsidRDefault="00D11E79">
      <w:pPr>
        <w:spacing w:after="220"/>
      </w:pPr>
      <w:r>
        <w:rPr>
          <w:b/>
        </w:rPr>
        <w:t>Selected Weighting:</w:t>
      </w:r>
      <w:r>
        <w:t xml:space="preserve"> 60/40 (Risk/HVI)</w:t>
      </w:r>
    </w:p>
    <w:p w:rsidR="00A461FC" w:rsidRDefault="00D11E79">
      <w:pPr>
        <w:spacing w:after="220"/>
      </w:pPr>
      <w:r>
        <w:rPr>
          <w:b/>
        </w:rPr>
        <w:t>Justification:</w:t>
      </w:r>
    </w:p>
    <w:p w:rsidR="00A461FC" w:rsidRDefault="00D11E79">
      <w:pPr>
        <w:numPr>
          <w:ilvl w:val="0"/>
          <w:numId w:val="31"/>
        </w:numPr>
      </w:pPr>
      <w:r>
        <w:t>Balances objective environmental risk with culturally defined significance</w:t>
      </w:r>
    </w:p>
    <w:p w:rsidR="00A461FC" w:rsidRDefault="00D11E79">
      <w:pPr>
        <w:numPr>
          <w:ilvl w:val="0"/>
          <w:numId w:val="31"/>
        </w:numPr>
      </w:pPr>
      <w:r>
        <w:t>Maintains stable rankings (top 3 zones unchanged)</w:t>
      </w:r>
    </w:p>
    <w:p w:rsidR="00A461FC" w:rsidRDefault="00D11E79">
      <w:pPr>
        <w:numPr>
          <w:ilvl w:val="0"/>
          <w:numId w:val="31"/>
        </w:numPr>
      </w:pPr>
      <w:r>
        <w:t>Only one zone changes classification (conservative threshold)</w:t>
      </w:r>
    </w:p>
    <w:p w:rsidR="00A461FC" w:rsidRDefault="00D11E79">
      <w:pPr>
        <w:numPr>
          <w:ilvl w:val="0"/>
          <w:numId w:val="31"/>
        </w:numPr>
      </w:pPr>
      <w:r>
        <w:rPr>
          <w:rFonts w:eastAsia="Georgia" w:hAnsi="Georgia" w:cs="Georgia"/>
        </w:rPr>
        <w:t>Sensitivity analy</w:t>
      </w:r>
      <w:r>
        <w:rPr>
          <w:rFonts w:eastAsia="Georgia" w:hAnsi="Georgia" w:cs="Georgia"/>
        </w:rPr>
        <w:t>sis shows robustness to weight variations within ±10%</w:t>
      </w:r>
    </w:p>
    <w:p w:rsidR="00A461FC" w:rsidRDefault="00D11E79">
      <w:r>
        <w:rPr>
          <w:noProof/>
        </w:rPr>
        <w:pict>
          <v:rect id="_x0000_i1033" alt="" style="width:6in;height:.05pt;mso-width-percent:0;mso-height-percent:0;mso-width-percent:0;mso-height-percent:0" o:hralign="center" o:hrstd="t" o:hr="t"/>
        </w:pict>
      </w:r>
    </w:p>
    <w:p w:rsidR="00A461FC" w:rsidRDefault="00D11E79">
      <w:pPr>
        <w:spacing w:before="240" w:line="288" w:lineRule="auto"/>
      </w:pPr>
      <w:bookmarkStart w:id="97" w:name="appendix_i_reproducibility_package"/>
      <w:r>
        <w:rPr>
          <w:b/>
          <w:sz w:val="56"/>
        </w:rPr>
        <w:t>Appendix I: Reproducibility Package</w:t>
      </w:r>
      <w:bookmarkEnd w:id="97"/>
    </w:p>
    <w:p w:rsidR="00A461FC" w:rsidRDefault="00D11E79">
      <w:pPr>
        <w:spacing w:before="240" w:line="271" w:lineRule="auto"/>
      </w:pPr>
      <w:bookmarkStart w:id="98" w:name="i_1_package_overview"/>
      <w:r>
        <w:rPr>
          <w:b/>
          <w:sz w:val="42"/>
        </w:rPr>
        <w:t>I.1 Package Overview</w:t>
      </w:r>
      <w:bookmarkEnd w:id="98"/>
    </w:p>
    <w:tbl>
      <w:tblPr>
        <w:tblStyle w:val="NormalGrid"/>
        <w:tblW w:w="0" w:type="auto"/>
        <w:jc w:val="center"/>
        <w:tblCellSpacing w:w="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Look w:val="04A0" w:firstRow="1" w:lastRow="0" w:firstColumn="1" w:lastColumn="0" w:noHBand="0" w:noVBand="1"/>
      </w:tblPr>
      <w:tblGrid>
        <w:gridCol w:w="2303"/>
        <w:gridCol w:w="1044"/>
        <w:gridCol w:w="1577"/>
        <w:gridCol w:w="1079"/>
      </w:tblGrid>
      <w:tr w:rsidR="00A461FC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Component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Format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Location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Version</w:t>
            </w:r>
          </w:p>
        </w:tc>
      </w:tr>
      <w:tr w:rsidR="00A461FC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Raw Sensor Data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CSV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Zenodo/OSF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v1.0</w:t>
            </w:r>
          </w:p>
        </w:tc>
      </w:tr>
      <w:tr w:rsidR="00A461FC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:rsidR="00A461FC" w:rsidRDefault="00D11E79">
            <w:r>
              <w:lastRenderedPageBreak/>
              <w:t>Preprocessed Data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HDF5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Zenodo/OSF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v1.0</w:t>
            </w:r>
          </w:p>
        </w:tc>
      </w:tr>
      <w:tr w:rsidR="00A461FC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Expert Labels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JSON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Zenodo/OSF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v1.0</w:t>
            </w:r>
          </w:p>
        </w:tc>
      </w:tr>
      <w:tr w:rsidR="00A461FC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Clustering Code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Python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Zenodo/OSF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v1.0</w:t>
            </w:r>
          </w:p>
        </w:tc>
      </w:tr>
      <w:tr w:rsidR="00A461FC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Classification Code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Python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Zenodo/OSF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v1.0</w:t>
            </w:r>
          </w:p>
        </w:tc>
      </w:tr>
      <w:tr w:rsidR="00A461FC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Calibration Artifacts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Pickle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Zenodo/OSF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v1.0</w:t>
            </w:r>
          </w:p>
        </w:tc>
      </w:tr>
      <w:tr w:rsidR="00A461FC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Figures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PNG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Zenodo/OSF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v1.0</w:t>
            </w:r>
          </w:p>
        </w:tc>
      </w:tr>
      <w:tr w:rsidR="00A461FC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Documentation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PDF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Zenodo/OSF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v1.0</w:t>
            </w:r>
          </w:p>
        </w:tc>
      </w:tr>
    </w:tbl>
    <w:p w:rsidR="00A461FC" w:rsidRDefault="00A461FC"/>
    <w:p w:rsidR="00A461FC" w:rsidRDefault="00D11E79">
      <w:pPr>
        <w:spacing w:before="240" w:line="271" w:lineRule="auto"/>
      </w:pPr>
      <w:bookmarkStart w:id="99" w:name="i_2_repository_links"/>
      <w:r>
        <w:rPr>
          <w:b/>
          <w:sz w:val="42"/>
        </w:rPr>
        <w:t>I.2 Repository Links</w:t>
      </w:r>
      <w:bookmarkEnd w:id="99"/>
    </w:p>
    <w:tbl>
      <w:tblPr>
        <w:tblStyle w:val="NormalGrid"/>
        <w:tblW w:w="0" w:type="auto"/>
        <w:jc w:val="center"/>
        <w:tblCellSpacing w:w="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Look w:val="04A0" w:firstRow="1" w:lastRow="0" w:firstColumn="1" w:lastColumn="0" w:noHBand="0" w:noVBand="1"/>
      </w:tblPr>
      <w:tblGrid>
        <w:gridCol w:w="1183"/>
        <w:gridCol w:w="4452"/>
        <w:gridCol w:w="1550"/>
      </w:tblGrid>
      <w:tr w:rsidR="00A461FC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Platform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URL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Access</w:t>
            </w:r>
          </w:p>
        </w:tc>
      </w:tr>
      <w:tr w:rsidR="00A461FC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Zenodo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hyperlink r:id="rId5">
              <w:r>
                <w:rPr>
                  <w:color w:val="4472C4"/>
                </w:rPr>
                <w:t>https://doi.org/10.5281/zenodo.17333842</w:t>
              </w:r>
            </w:hyperlink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Open Access</w:t>
            </w:r>
          </w:p>
        </w:tc>
      </w:tr>
      <w:tr w:rsidR="00A461FC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OSF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hyperlink r:id="rId6">
              <w:r>
                <w:rPr>
                  <w:color w:val="4472C4"/>
                </w:rPr>
                <w:t>https://doi.org/10.17605/OSF.IO/GM47X</w:t>
              </w:r>
            </w:hyperlink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Open Access</w:t>
            </w:r>
          </w:p>
        </w:tc>
      </w:tr>
    </w:tbl>
    <w:p w:rsidR="00A461FC" w:rsidRDefault="00A461FC"/>
    <w:p w:rsidR="00A461FC" w:rsidRDefault="00D11E79">
      <w:pPr>
        <w:spacing w:before="240" w:line="271" w:lineRule="auto"/>
      </w:pPr>
      <w:bookmarkStart w:id="100" w:name="i_3_data_structure"/>
      <w:r>
        <w:rPr>
          <w:b/>
          <w:sz w:val="42"/>
        </w:rPr>
        <w:t>I.3 Data Structure</w:t>
      </w:r>
      <w:bookmarkEnd w:id="100"/>
    </w:p>
    <w:p w:rsidR="00A461FC" w:rsidRDefault="00D11E79">
      <w:pPr>
        <w:spacing w:before="240" w:line="271" w:lineRule="auto"/>
      </w:pPr>
      <w:bookmarkStart w:id="101" w:name="i_3_1_raw_data"/>
      <w:r>
        <w:rPr>
          <w:b/>
          <w:sz w:val="33"/>
        </w:rPr>
        <w:t>I.3.1 Raw Data</w:t>
      </w:r>
      <w:bookmarkEnd w:id="101"/>
    </w:p>
    <w:p w:rsidR="00A461FC" w:rsidRDefault="00D11E79">
      <w:pPr>
        <w:shd w:val="clear" w:color="auto" w:fill="F8F8FA"/>
      </w:pPr>
      <w:r>
        <w:rPr>
          <w:rStyle w:val="VerbatimChar"/>
          <w:rFonts w:eastAsia="Consolas" w:cs="Consolas"/>
        </w:rPr>
        <w:t>/data/</w:t>
      </w:r>
      <w:r>
        <w:rPr>
          <w:rStyle w:val="VerbatimChar"/>
          <w:rFonts w:eastAsia="Consolas" w:cs="Consolas"/>
        </w:rPr>
        <w:br/>
        <w:t>├── raw/</w:t>
      </w:r>
      <w:r>
        <w:rPr>
          <w:rStyle w:val="VerbatimChar"/>
          <w:rFonts w:eastAsia="Consolas" w:cs="Consolas"/>
        </w:rPr>
        <w:br/>
        <w:t>│   ├── sensor_data_15min.csv         # 517,632 rows</w:t>
      </w:r>
      <w:r>
        <w:rPr>
          <w:rStyle w:val="VerbatimChar"/>
          <w:rFonts w:eastAsia="Consolas" w:cs="Consolas"/>
        </w:rPr>
        <w:br/>
        <w:t>│   ├── lawang_sewu_images.zip        # 450 images (RAW + JPG)</w:t>
      </w:r>
      <w:r>
        <w:rPr>
          <w:rStyle w:val="VerbatimChar"/>
          <w:rFonts w:eastAsia="Consolas" w:cs="Consolas"/>
        </w:rPr>
        <w:br/>
        <w:t>│   ├── pasar_johar_images.zip        # 350 images (RAW + JPG)</w:t>
      </w:r>
      <w:r>
        <w:rPr>
          <w:rStyle w:val="VerbatimChar"/>
          <w:rFonts w:eastAsia="Consolas" w:cs="Consolas"/>
        </w:rPr>
        <w:br/>
        <w:t>│   └── tawang_station_images.zip     # 400 images (RAW + JP</w:t>
      </w:r>
      <w:r>
        <w:rPr>
          <w:rStyle w:val="VerbatimChar"/>
          <w:rFonts w:eastAsia="Consolas" w:cs="Consolas"/>
        </w:rPr>
        <w:t>G)</w:t>
      </w:r>
      <w:r>
        <w:rPr>
          <w:rStyle w:val="VerbatimChar"/>
          <w:rFonts w:eastAsia="Consolas" w:cs="Consolas"/>
        </w:rPr>
        <w:br/>
        <w:t>├── processed/</w:t>
      </w:r>
      <w:r>
        <w:rPr>
          <w:rStyle w:val="VerbatimChar"/>
          <w:rFonts w:eastAsia="Consolas" w:cs="Consolas"/>
        </w:rPr>
        <w:br/>
        <w:t>│   ├── hsv_features.h5               # HSV-transformed features</w:t>
      </w:r>
      <w:r>
        <w:rPr>
          <w:rStyle w:val="VerbatimChar"/>
          <w:rFonts w:eastAsia="Consolas" w:cs="Consolas"/>
        </w:rPr>
        <w:br/>
        <w:t>│   ├── texture_features.h5           # GLCM + LBP features</w:t>
      </w:r>
      <w:r>
        <w:rPr>
          <w:rStyle w:val="VerbatimChar"/>
          <w:rFonts w:eastAsia="Consolas" w:cs="Consolas"/>
        </w:rPr>
        <w:br/>
        <w:t>│   ├── environmental_features.h5     # IoT-derived features</w:t>
      </w:r>
      <w:r>
        <w:rPr>
          <w:rStyle w:val="VerbatimChar"/>
          <w:rFonts w:eastAsia="Consolas" w:cs="Consolas"/>
        </w:rPr>
        <w:br/>
        <w:t>│   └── labels.csv                    # Expert label</w:t>
      </w:r>
      <w:r>
        <w:rPr>
          <w:rStyle w:val="VerbatimChar"/>
          <w:rFonts w:eastAsia="Consolas" w:cs="Consolas"/>
        </w:rPr>
        <w:t>s</w:t>
      </w:r>
      <w:r>
        <w:rPr>
          <w:rStyle w:val="VerbatimChar"/>
          <w:rFonts w:eastAsia="Consolas" w:cs="Consolas"/>
        </w:rPr>
        <w:br/>
        <w:t>└── models/</w:t>
      </w:r>
      <w:r>
        <w:rPr>
          <w:rStyle w:val="VerbatimChar"/>
          <w:rFonts w:eastAsia="Consolas" w:cs="Consolas"/>
        </w:rPr>
        <w:br/>
        <w:t xml:space="preserve">    ├── hierarchical_cluster.pkl      # Trained clustering model</w:t>
      </w:r>
      <w:r>
        <w:rPr>
          <w:rStyle w:val="VerbatimChar"/>
          <w:rFonts w:eastAsia="Consolas" w:cs="Consolas"/>
        </w:rPr>
        <w:br/>
        <w:t xml:space="preserve">    ├── random_forest.pkl             # Trained RF model</w:t>
      </w:r>
      <w:r>
        <w:rPr>
          <w:rStyle w:val="VerbatimChar"/>
          <w:rFonts w:eastAsia="Consolas" w:cs="Consolas"/>
        </w:rPr>
        <w:br/>
        <w:t xml:space="preserve">    ├── platt_scaler.pkl              # Platt calibration</w:t>
      </w:r>
      <w:r>
        <w:rPr>
          <w:rStyle w:val="VerbatimChar"/>
          <w:rFonts w:eastAsia="Consolas" w:cs="Consolas"/>
        </w:rPr>
        <w:br/>
        <w:t xml:space="preserve">    └── hvi_weights.json              # HVI dimension weights</w:t>
      </w:r>
      <w:r>
        <w:rPr>
          <w:rStyle w:val="VerbatimChar"/>
          <w:rFonts w:eastAsia="Consolas" w:cs="Consolas"/>
        </w:rPr>
        <w:br/>
      </w:r>
    </w:p>
    <w:p w:rsidR="00A461FC" w:rsidRDefault="00D11E79">
      <w:pPr>
        <w:spacing w:before="240" w:line="271" w:lineRule="auto"/>
      </w:pPr>
      <w:bookmarkStart w:id="102" w:name="i_3_2_code_structure"/>
      <w:r>
        <w:rPr>
          <w:b/>
          <w:sz w:val="33"/>
        </w:rPr>
        <w:t>I.3.2 Code Structure</w:t>
      </w:r>
      <w:bookmarkEnd w:id="102"/>
    </w:p>
    <w:p w:rsidR="00A461FC" w:rsidRDefault="00D11E79">
      <w:pPr>
        <w:shd w:val="clear" w:color="auto" w:fill="F8F8FA"/>
      </w:pPr>
      <w:r>
        <w:rPr>
          <w:rStyle w:val="VerbatimChar"/>
          <w:rFonts w:eastAsia="Consolas" w:cs="Consolas"/>
        </w:rPr>
        <w:t>/code/</w:t>
      </w:r>
      <w:r>
        <w:rPr>
          <w:rStyle w:val="VerbatimChar"/>
          <w:rFonts w:eastAsia="Consolas" w:cs="Consolas"/>
        </w:rPr>
        <w:br/>
        <w:t>├── preprocessing/</w:t>
      </w:r>
      <w:r>
        <w:rPr>
          <w:rStyle w:val="VerbatimChar"/>
          <w:rFonts w:eastAsia="Consolas" w:cs="Consolas"/>
        </w:rPr>
        <w:br/>
      </w:r>
      <w:r>
        <w:rPr>
          <w:rStyle w:val="VerbatimChar"/>
          <w:rFonts w:eastAsia="Consolas" w:cs="Consolas"/>
        </w:rPr>
        <w:lastRenderedPageBreak/>
        <w:t>│   ├── 01_image_correction.py</w:t>
      </w:r>
      <w:r>
        <w:rPr>
          <w:rStyle w:val="VerbatimChar"/>
          <w:rFonts w:eastAsia="Consolas" w:cs="Consolas"/>
        </w:rPr>
        <w:br/>
        <w:t>│   ├── 02_feature_extraction.py</w:t>
      </w:r>
      <w:r>
        <w:rPr>
          <w:rStyle w:val="VerbatimChar"/>
          <w:rFonts w:eastAsia="Consolas" w:cs="Consolas"/>
        </w:rPr>
        <w:br/>
        <w:t>│   └── 03_environmental_features.py</w:t>
      </w:r>
      <w:r>
        <w:rPr>
          <w:rStyle w:val="VerbatimChar"/>
          <w:rFonts w:eastAsia="Consolas" w:cs="Consolas"/>
        </w:rPr>
        <w:br/>
        <w:t>├── clustering/</w:t>
      </w:r>
      <w:r>
        <w:rPr>
          <w:rStyle w:val="VerbatimChar"/>
          <w:rFonts w:eastAsia="Consolas" w:cs="Consolas"/>
        </w:rPr>
        <w:br/>
        <w:t>│   ├── 01_hierarchical_clustering.py</w:t>
      </w:r>
      <w:r>
        <w:rPr>
          <w:rStyle w:val="VerbatimChar"/>
          <w:rFonts w:eastAsia="Consolas" w:cs="Consolas"/>
        </w:rPr>
        <w:br/>
        <w:t>│   └── 02_cluster_evaluation.py</w:t>
      </w:r>
      <w:r>
        <w:rPr>
          <w:rStyle w:val="VerbatimChar"/>
          <w:rFonts w:eastAsia="Consolas" w:cs="Consolas"/>
        </w:rPr>
        <w:br/>
        <w:t>├── classification/</w:t>
      </w:r>
      <w:r>
        <w:rPr>
          <w:rStyle w:val="VerbatimChar"/>
          <w:rFonts w:eastAsia="Consolas" w:cs="Consolas"/>
        </w:rPr>
        <w:br/>
      </w:r>
      <w:r>
        <w:rPr>
          <w:rStyle w:val="VerbatimChar"/>
          <w:rFonts w:eastAsia="Consolas" w:cs="Consolas"/>
        </w:rPr>
        <w:t>│   ├── 01_random_forest_train.py</w:t>
      </w:r>
      <w:r>
        <w:rPr>
          <w:rStyle w:val="VerbatimChar"/>
          <w:rFonts w:eastAsia="Consolas" w:cs="Consolas"/>
        </w:rPr>
        <w:br/>
        <w:t>│   ├── 02_model_evaluation.py</w:t>
      </w:r>
      <w:r>
        <w:rPr>
          <w:rStyle w:val="VerbatimChar"/>
          <w:rFonts w:eastAsia="Consolas" w:cs="Consolas"/>
        </w:rPr>
        <w:br/>
        <w:t>│   └── 03_ablation_study.py</w:t>
      </w:r>
      <w:r>
        <w:rPr>
          <w:rStyle w:val="VerbatimChar"/>
          <w:rFonts w:eastAsia="Consolas" w:cs="Consolas"/>
        </w:rPr>
        <w:br/>
        <w:t>├── projection/</w:t>
      </w:r>
      <w:r>
        <w:rPr>
          <w:rStyle w:val="VerbatimChar"/>
          <w:rFonts w:eastAsia="Consolas" w:cs="Consolas"/>
        </w:rPr>
        <w:br/>
        <w:t>│   ├── 01_3d_projection.py</w:t>
      </w:r>
      <w:r>
        <w:rPr>
          <w:rStyle w:val="VerbatimChar"/>
          <w:rFonts w:eastAsia="Consolas" w:cs="Consolas"/>
        </w:rPr>
        <w:br/>
        <w:t>│   └── 02_iou_calculation.py</w:t>
      </w:r>
      <w:r>
        <w:rPr>
          <w:rStyle w:val="VerbatimChar"/>
          <w:rFonts w:eastAsia="Consolas" w:cs="Consolas"/>
        </w:rPr>
        <w:br/>
        <w:t>├── decision_support/</w:t>
      </w:r>
      <w:r>
        <w:rPr>
          <w:rStyle w:val="VerbatimChar"/>
          <w:rFonts w:eastAsia="Consolas" w:cs="Consolas"/>
        </w:rPr>
        <w:br/>
        <w:t>│   ├── 01_hvi_calculation.py</w:t>
      </w:r>
      <w:r>
        <w:rPr>
          <w:rStyle w:val="VerbatimChar"/>
          <w:rFonts w:eastAsia="Consolas" w:cs="Consolas"/>
        </w:rPr>
        <w:br/>
        <w:t>│   └── 02_fds_calculation.py</w:t>
      </w:r>
      <w:r>
        <w:rPr>
          <w:rStyle w:val="VerbatimChar"/>
          <w:rFonts w:eastAsia="Consolas" w:cs="Consolas"/>
        </w:rPr>
        <w:br/>
        <w:t>└── fi</w:t>
      </w:r>
      <w:r>
        <w:rPr>
          <w:rStyle w:val="VerbatimChar"/>
          <w:rFonts w:eastAsia="Consolas" w:cs="Consolas"/>
        </w:rPr>
        <w:t>gures/</w:t>
      </w:r>
      <w:r>
        <w:rPr>
          <w:rStyle w:val="VerbatimChar"/>
          <w:rFonts w:eastAsia="Consolas" w:cs="Consolas"/>
        </w:rPr>
        <w:br/>
        <w:t xml:space="preserve">    ├── generate_figure1.py</w:t>
      </w:r>
      <w:r>
        <w:rPr>
          <w:rStyle w:val="VerbatimChar"/>
          <w:rFonts w:eastAsia="Consolas" w:cs="Consolas"/>
        </w:rPr>
        <w:br/>
        <w:t xml:space="preserve">    ├── generate_figure2.py</w:t>
      </w:r>
      <w:r>
        <w:rPr>
          <w:rStyle w:val="VerbatimChar"/>
          <w:rFonts w:eastAsia="Consolas" w:cs="Consolas"/>
        </w:rPr>
        <w:br/>
        <w:t xml:space="preserve">    ├── generate_figure3.py</w:t>
      </w:r>
      <w:r>
        <w:rPr>
          <w:rStyle w:val="VerbatimChar"/>
          <w:rFonts w:eastAsia="Consolas" w:cs="Consolas"/>
        </w:rPr>
        <w:br/>
        <w:t xml:space="preserve">    ├── generate_figure4.py</w:t>
      </w:r>
      <w:r>
        <w:rPr>
          <w:rStyle w:val="VerbatimChar"/>
          <w:rFonts w:eastAsia="Consolas" w:cs="Consolas"/>
        </w:rPr>
        <w:br/>
        <w:t xml:space="preserve">    ├── generate_figure5.py</w:t>
      </w:r>
      <w:r>
        <w:rPr>
          <w:rStyle w:val="VerbatimChar"/>
          <w:rFonts w:eastAsia="Consolas" w:cs="Consolas"/>
        </w:rPr>
        <w:br/>
        <w:t xml:space="preserve">    ├── generate_figure6.py</w:t>
      </w:r>
      <w:r>
        <w:rPr>
          <w:rStyle w:val="VerbatimChar"/>
          <w:rFonts w:eastAsia="Consolas" w:cs="Consolas"/>
        </w:rPr>
        <w:br/>
        <w:t xml:space="preserve">    ├── generate_figure7.py</w:t>
      </w:r>
      <w:r>
        <w:rPr>
          <w:rStyle w:val="VerbatimChar"/>
          <w:rFonts w:eastAsia="Consolas" w:cs="Consolas"/>
        </w:rPr>
        <w:br/>
        <w:t xml:space="preserve">    ├── generate_figure8.py</w:t>
      </w:r>
      <w:r>
        <w:rPr>
          <w:rStyle w:val="VerbatimChar"/>
          <w:rFonts w:eastAsia="Consolas" w:cs="Consolas"/>
        </w:rPr>
        <w:br/>
        <w:t xml:space="preserve">    └── generate_figure9.</w:t>
      </w:r>
      <w:r>
        <w:rPr>
          <w:rStyle w:val="VerbatimChar"/>
          <w:rFonts w:eastAsia="Consolas" w:cs="Consolas"/>
        </w:rPr>
        <w:t>py</w:t>
      </w:r>
      <w:r>
        <w:rPr>
          <w:rStyle w:val="VerbatimChar"/>
          <w:rFonts w:eastAsia="Consolas" w:cs="Consolas"/>
        </w:rPr>
        <w:br/>
      </w:r>
    </w:p>
    <w:p w:rsidR="00A461FC" w:rsidRDefault="00D11E79">
      <w:pPr>
        <w:spacing w:before="240" w:line="271" w:lineRule="auto"/>
      </w:pPr>
      <w:bookmarkStart w:id="103" w:name="i_3_3_dependency_requirements"/>
      <w:r>
        <w:rPr>
          <w:b/>
          <w:sz w:val="33"/>
        </w:rPr>
        <w:t>I.3.3 Dependency Requirements</w:t>
      </w:r>
      <w:bookmarkEnd w:id="103"/>
    </w:p>
    <w:p w:rsidR="00A461FC" w:rsidRDefault="00D11E79">
      <w:pPr>
        <w:shd w:val="clear" w:color="auto" w:fill="F8F8FA"/>
      </w:pPr>
      <w:r>
        <w:rPr>
          <w:rStyle w:val="VerbatimChar"/>
          <w:rFonts w:eastAsia="Consolas" w:cs="Consolas"/>
        </w:rPr>
        <w:t>requirements.txt:</w:t>
      </w:r>
      <w:r>
        <w:rPr>
          <w:rStyle w:val="VerbatimChar"/>
          <w:rFonts w:eastAsia="Consolas" w:cs="Consolas"/>
        </w:rPr>
        <w:br/>
        <w:t>- python &gt;= 3.10</w:t>
      </w:r>
      <w:r>
        <w:rPr>
          <w:rStyle w:val="VerbatimChar"/>
          <w:rFonts w:eastAsia="Consolas" w:cs="Consolas"/>
        </w:rPr>
        <w:br/>
        <w:t>- numpy &gt;= 1.24.0</w:t>
      </w:r>
      <w:r>
        <w:rPr>
          <w:rStyle w:val="VerbatimChar"/>
          <w:rFonts w:eastAsia="Consolas" w:cs="Consolas"/>
        </w:rPr>
        <w:br/>
        <w:t>- pandas &gt;= 2.0.0</w:t>
      </w:r>
      <w:r>
        <w:rPr>
          <w:rStyle w:val="VerbatimChar"/>
          <w:rFonts w:eastAsia="Consolas" w:cs="Consolas"/>
        </w:rPr>
        <w:br/>
        <w:t>- scikit-learn &gt;= 1.3.0</w:t>
      </w:r>
      <w:r>
        <w:rPr>
          <w:rStyle w:val="VerbatimChar"/>
          <w:rFonts w:eastAsia="Consolas" w:cs="Consolas"/>
        </w:rPr>
        <w:br/>
        <w:t>- scipy &gt;= 1.10.0</w:t>
      </w:r>
      <w:r>
        <w:rPr>
          <w:rStyle w:val="VerbatimChar"/>
          <w:rFonts w:eastAsia="Consolas" w:cs="Consolas"/>
        </w:rPr>
        <w:br/>
        <w:t>- opencv-python &gt;= 4.8.0</w:t>
      </w:r>
      <w:r>
        <w:rPr>
          <w:rStyle w:val="VerbatimChar"/>
          <w:rFonts w:eastAsia="Consolas" w:cs="Consolas"/>
        </w:rPr>
        <w:br/>
        <w:t>- matplotlib &gt;= 3.7.0</w:t>
      </w:r>
      <w:r>
        <w:rPr>
          <w:rStyle w:val="VerbatimChar"/>
          <w:rFonts w:eastAsia="Consolas" w:cs="Consolas"/>
        </w:rPr>
        <w:br/>
        <w:t>- seaborn &gt;= 0.12.0</w:t>
      </w:r>
      <w:r>
        <w:rPr>
          <w:rStyle w:val="VerbatimChar"/>
          <w:rFonts w:eastAsia="Consolas" w:cs="Consolas"/>
        </w:rPr>
        <w:br/>
        <w:t>- plotly &gt;= 5.14.0</w:t>
      </w:r>
      <w:r>
        <w:rPr>
          <w:rStyle w:val="VerbatimChar"/>
          <w:rFonts w:eastAsia="Consolas" w:cs="Consolas"/>
        </w:rPr>
        <w:br/>
        <w:t>- h5py &gt;= 3.8.0</w:t>
      </w:r>
      <w:r>
        <w:rPr>
          <w:rStyle w:val="VerbatimChar"/>
          <w:rFonts w:eastAsia="Consolas" w:cs="Consolas"/>
        </w:rPr>
        <w:br/>
      </w:r>
      <w:r>
        <w:rPr>
          <w:rStyle w:val="VerbatimChar"/>
          <w:rFonts w:eastAsia="Consolas" w:cs="Consolas"/>
        </w:rPr>
        <w:t>- tqdm &gt;= 4.65.0</w:t>
      </w:r>
      <w:r>
        <w:rPr>
          <w:rStyle w:val="VerbatimChar"/>
          <w:rFonts w:eastAsia="Consolas" w:cs="Consolas"/>
        </w:rPr>
        <w:br/>
      </w:r>
    </w:p>
    <w:p w:rsidR="00A461FC" w:rsidRDefault="00D11E79">
      <w:pPr>
        <w:spacing w:before="240" w:line="271" w:lineRule="auto"/>
      </w:pPr>
      <w:bookmarkStart w:id="104" w:name="i_4_calibration_artifacts"/>
      <w:r>
        <w:rPr>
          <w:b/>
          <w:sz w:val="42"/>
        </w:rPr>
        <w:t>I.4 Calibration Artifacts</w:t>
      </w:r>
      <w:bookmarkEnd w:id="104"/>
    </w:p>
    <w:tbl>
      <w:tblPr>
        <w:tblStyle w:val="NormalGrid"/>
        <w:tblW w:w="0" w:type="auto"/>
        <w:jc w:val="center"/>
        <w:tblCellSpacing w:w="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Look w:val="04A0" w:firstRow="1" w:lastRow="0" w:firstColumn="1" w:lastColumn="0" w:noHBand="0" w:noVBand="1"/>
      </w:tblPr>
      <w:tblGrid>
        <w:gridCol w:w="3231"/>
        <w:gridCol w:w="3028"/>
        <w:gridCol w:w="1049"/>
      </w:tblGrid>
      <w:tr w:rsidR="00A461FC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Artifact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Description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Format</w:t>
            </w:r>
          </w:p>
        </w:tc>
      </w:tr>
      <w:tr w:rsidR="00A461FC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:rsidR="00A461FC" w:rsidRDefault="00D11E79">
            <w:r>
              <w:rPr>
                <w:rFonts w:eastAsia="Georgia" w:hAnsi="Georgia" w:cs="Georgia"/>
              </w:rPr>
              <w:t>colour_correction_matrix.pkl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CCM for each session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Pickle</w:t>
            </w:r>
          </w:p>
        </w:tc>
      </w:tr>
      <w:tr w:rsidR="00A461FC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:rsidR="00A461FC" w:rsidRDefault="00D11E79">
            <w:r>
              <w:rPr>
                <w:rFonts w:eastAsia="Georgia" w:hAnsi="Georgia" w:cs="Georgia"/>
              </w:rPr>
              <w:lastRenderedPageBreak/>
              <w:t>drift_correction_params.csv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rPr>
                <w:rFonts w:eastAsia="Georgia" w:hAnsi="Georgia" w:cs="Georgia"/>
              </w:rPr>
              <w:t>α and β for each sensor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CSV</w:t>
            </w:r>
          </w:p>
        </w:tc>
      </w:tr>
      <w:tr w:rsidR="00A461FC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:rsidR="00A461FC" w:rsidRDefault="00D11E79">
            <w:r>
              <w:rPr>
                <w:rFonts w:eastAsia="Georgia" w:hAnsi="Georgia" w:cs="Georgia"/>
              </w:rPr>
              <w:t>pca_model.pkl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Trained PCA for HSF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Pickle</w:t>
            </w:r>
          </w:p>
        </w:tc>
      </w:tr>
      <w:tr w:rsidR="00A461FC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:rsidR="00A461FC" w:rsidRDefault="00D11E79">
            <w:r>
              <w:rPr>
                <w:rFonts w:eastAsia="Georgia" w:hAnsi="Georgia" w:cs="Georgia"/>
              </w:rPr>
              <w:t>cluster_centroids.pkl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Centroids for kNN mapping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Pickle</w:t>
            </w:r>
          </w:p>
        </w:tc>
      </w:tr>
      <w:tr w:rsidR="00A461FC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:rsidR="00A461FC" w:rsidRDefault="00D11E79">
            <w:r>
              <w:rPr>
                <w:rFonts w:eastAsia="Georgia" w:hAnsi="Georgia" w:cs="Georgia"/>
              </w:rPr>
              <w:t>feature_scaler.pkl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StandardScaler for features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Pickle</w:t>
            </w:r>
          </w:p>
        </w:tc>
      </w:tr>
      <w:tr w:rsidR="00A461FC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:rsidR="00A461FC" w:rsidRDefault="00D11E79">
            <w:r>
              <w:rPr>
                <w:rFonts w:eastAsia="Georgia" w:hAnsi="Georgia" w:cs="Georgia"/>
              </w:rPr>
              <w:t>label_encoder.pkl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Class label mapping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461FC" w:rsidRDefault="00D11E79">
            <w:r>
              <w:t>Pickle</w:t>
            </w:r>
          </w:p>
        </w:tc>
      </w:tr>
    </w:tbl>
    <w:p w:rsidR="00A461FC" w:rsidRDefault="00A461FC"/>
    <w:p w:rsidR="00A461FC" w:rsidRDefault="00D11E79">
      <w:pPr>
        <w:spacing w:before="240" w:line="271" w:lineRule="auto"/>
      </w:pPr>
      <w:bookmarkStart w:id="105" w:name="i_5_validation_check"/>
      <w:r>
        <w:rPr>
          <w:b/>
          <w:sz w:val="42"/>
        </w:rPr>
        <w:t>I.5 Validation Check</w:t>
      </w:r>
      <w:bookmarkEnd w:id="105"/>
    </w:p>
    <w:p w:rsidR="00A461FC" w:rsidRDefault="00D11E79">
      <w:pPr>
        <w:spacing w:after="220"/>
      </w:pPr>
      <w:r>
        <w:t>To ensure the reproducibility package works, run:</w:t>
      </w:r>
    </w:p>
    <w:p w:rsidR="00A461FC" w:rsidRDefault="00D11E79">
      <w:pPr>
        <w:shd w:val="clear" w:color="auto" w:fill="F8F8FA"/>
      </w:pPr>
      <w:r>
        <w:rPr>
          <w:rStyle w:val="VerbatimChar"/>
          <w:rFonts w:eastAsia="Consolas" w:cs="Consolas"/>
        </w:rPr>
        <w:t>python -m pytest tests/</w:t>
      </w:r>
      <w:r>
        <w:rPr>
          <w:rStyle w:val="VerbatimChar"/>
          <w:rFonts w:eastAsia="Consolas" w:cs="Consolas"/>
        </w:rPr>
        <w:br/>
      </w:r>
    </w:p>
    <w:p w:rsidR="00A461FC" w:rsidRDefault="00D11E79">
      <w:pPr>
        <w:spacing w:after="220"/>
      </w:pPr>
      <w:r>
        <w:rPr>
          <w:b/>
        </w:rPr>
        <w:t>Expected Output:</w:t>
      </w:r>
    </w:p>
    <w:p w:rsidR="00A461FC" w:rsidRDefault="00D11E79">
      <w:pPr>
        <w:shd w:val="clear" w:color="auto" w:fill="F8F8FA"/>
      </w:pPr>
      <w:r>
        <w:rPr>
          <w:rStyle w:val="VerbatimChar"/>
          <w:rFonts w:eastAsia="Consolas" w:cs="Consolas"/>
        </w:rPr>
        <w:t>================================== test session starts ==================================</w:t>
      </w:r>
      <w:r>
        <w:rPr>
          <w:rStyle w:val="VerbatimChar"/>
          <w:rFonts w:eastAsia="Consolas" w:cs="Consolas"/>
        </w:rPr>
        <w:br/>
        <w:t>collected 42 items</w:t>
      </w:r>
      <w:r>
        <w:rPr>
          <w:rStyle w:val="VerbatimChar"/>
          <w:rFonts w:eastAsia="Consolas" w:cs="Consolas"/>
        </w:rPr>
        <w:br/>
      </w:r>
      <w:r>
        <w:rPr>
          <w:rStyle w:val="VerbatimChar"/>
          <w:rFonts w:eastAsia="Consolas" w:cs="Consolas"/>
        </w:rPr>
        <w:br/>
        <w:t>test_preprocessing.py ..........                                          [ 23.8%]</w:t>
      </w:r>
      <w:r>
        <w:rPr>
          <w:rStyle w:val="VerbatimChar"/>
          <w:rFonts w:eastAsia="Consolas" w:cs="Consolas"/>
        </w:rPr>
        <w:br/>
        <w:t xml:space="preserve">test_clustering.py ...........                                 </w:t>
      </w:r>
      <w:r>
        <w:rPr>
          <w:rStyle w:val="VerbatimChar"/>
          <w:rFonts w:eastAsia="Consolas" w:cs="Consolas"/>
        </w:rPr>
        <w:t xml:space="preserve">          [ 50.0%]</w:t>
      </w:r>
      <w:r>
        <w:rPr>
          <w:rStyle w:val="VerbatimChar"/>
          <w:rFonts w:eastAsia="Consolas" w:cs="Consolas"/>
        </w:rPr>
        <w:br/>
        <w:t>test_classification.py ..........                                        [ 73.8%]</w:t>
      </w:r>
      <w:r>
        <w:rPr>
          <w:rStyle w:val="VerbatimChar"/>
          <w:rFonts w:eastAsia="Consolas" w:cs="Consolas"/>
        </w:rPr>
        <w:br/>
        <w:t>test_projection.py ......                                                 [ 88.1%]</w:t>
      </w:r>
      <w:r>
        <w:rPr>
          <w:rStyle w:val="VerbatimChar"/>
          <w:rFonts w:eastAsia="Consolas" w:cs="Consolas"/>
        </w:rPr>
        <w:br/>
        <w:t xml:space="preserve">test_decision_support.py .....                                          </w:t>
      </w:r>
      <w:r>
        <w:rPr>
          <w:rStyle w:val="VerbatimChar"/>
          <w:rFonts w:eastAsia="Consolas" w:cs="Consolas"/>
        </w:rPr>
        <w:t xml:space="preserve">  [100.0%]</w:t>
      </w:r>
      <w:r>
        <w:rPr>
          <w:rStyle w:val="VerbatimChar"/>
          <w:rFonts w:eastAsia="Consolas" w:cs="Consolas"/>
        </w:rPr>
        <w:br/>
      </w:r>
      <w:r>
        <w:rPr>
          <w:rStyle w:val="VerbatimChar"/>
          <w:rFonts w:eastAsia="Consolas" w:cs="Consolas"/>
        </w:rPr>
        <w:br/>
        <w:t>================================== 42 passed in 12.3s ===================================</w:t>
      </w:r>
      <w:r>
        <w:rPr>
          <w:rStyle w:val="VerbatimChar"/>
          <w:rFonts w:eastAsia="Consolas" w:cs="Consolas"/>
        </w:rPr>
        <w:br/>
      </w:r>
    </w:p>
    <w:sectPr w:rsidR="00A461FC"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2518FA"/>
    <w:multiLevelType w:val="hybridMultilevel"/>
    <w:tmpl w:val="C7640150"/>
    <w:lvl w:ilvl="0" w:tplc="A0BCCC48">
      <w:start w:val="1"/>
      <w:numFmt w:val="bullet"/>
      <w:lvlText w:val=""/>
      <w:lvlJc w:val="left"/>
      <w:pPr>
        <w:tabs>
          <w:tab w:val="num" w:pos="1080"/>
        </w:tabs>
        <w:ind w:left="720" w:hanging="360"/>
      </w:pPr>
      <w:rPr>
        <w:rFonts w:ascii="Symbol" w:hAnsi="Symbol" w:hint="default"/>
      </w:rPr>
    </w:lvl>
    <w:lvl w:ilvl="1" w:tplc="682E3FCA">
      <w:numFmt w:val="decimal"/>
      <w:lvlText w:val=""/>
      <w:lvlJc w:val="left"/>
    </w:lvl>
    <w:lvl w:ilvl="2" w:tplc="9BC2FA78">
      <w:numFmt w:val="decimal"/>
      <w:lvlText w:val=""/>
      <w:lvlJc w:val="left"/>
    </w:lvl>
    <w:lvl w:ilvl="3" w:tplc="82CE9A18">
      <w:numFmt w:val="decimal"/>
      <w:lvlText w:val=""/>
      <w:lvlJc w:val="left"/>
    </w:lvl>
    <w:lvl w:ilvl="4" w:tplc="0BE6C76C">
      <w:numFmt w:val="decimal"/>
      <w:lvlText w:val=""/>
      <w:lvlJc w:val="left"/>
    </w:lvl>
    <w:lvl w:ilvl="5" w:tplc="15A81CF6">
      <w:numFmt w:val="decimal"/>
      <w:lvlText w:val=""/>
      <w:lvlJc w:val="left"/>
    </w:lvl>
    <w:lvl w:ilvl="6" w:tplc="6586257C">
      <w:numFmt w:val="decimal"/>
      <w:lvlText w:val=""/>
      <w:lvlJc w:val="left"/>
    </w:lvl>
    <w:lvl w:ilvl="7" w:tplc="870EBF0C">
      <w:numFmt w:val="decimal"/>
      <w:lvlText w:val=""/>
      <w:lvlJc w:val="left"/>
    </w:lvl>
    <w:lvl w:ilvl="8" w:tplc="A8A66B44">
      <w:numFmt w:val="decimal"/>
      <w:lvlText w:val=""/>
      <w:lvlJc w:val="left"/>
    </w:lvl>
  </w:abstractNum>
  <w:abstractNum w:abstractNumId="1" w15:restartNumberingAfterBreak="0">
    <w:nsid w:val="05CC0355"/>
    <w:multiLevelType w:val="hybridMultilevel"/>
    <w:tmpl w:val="0CBE253C"/>
    <w:lvl w:ilvl="0" w:tplc="EDF8E7DE">
      <w:start w:val="1"/>
      <w:numFmt w:val="bullet"/>
      <w:lvlText w:val=""/>
      <w:lvlJc w:val="left"/>
      <w:pPr>
        <w:tabs>
          <w:tab w:val="num" w:pos="1080"/>
        </w:tabs>
        <w:ind w:left="720" w:hanging="360"/>
      </w:pPr>
      <w:rPr>
        <w:rFonts w:ascii="Symbol" w:hAnsi="Symbol" w:hint="default"/>
      </w:rPr>
    </w:lvl>
    <w:lvl w:ilvl="1" w:tplc="C6B6DBEC">
      <w:numFmt w:val="decimal"/>
      <w:lvlText w:val=""/>
      <w:lvlJc w:val="left"/>
    </w:lvl>
    <w:lvl w:ilvl="2" w:tplc="A75AAA34">
      <w:numFmt w:val="decimal"/>
      <w:lvlText w:val=""/>
      <w:lvlJc w:val="left"/>
    </w:lvl>
    <w:lvl w:ilvl="3" w:tplc="F7B2F948">
      <w:numFmt w:val="decimal"/>
      <w:lvlText w:val=""/>
      <w:lvlJc w:val="left"/>
    </w:lvl>
    <w:lvl w:ilvl="4" w:tplc="F120EFF6">
      <w:numFmt w:val="decimal"/>
      <w:lvlText w:val=""/>
      <w:lvlJc w:val="left"/>
    </w:lvl>
    <w:lvl w:ilvl="5" w:tplc="34B8EF4E">
      <w:numFmt w:val="decimal"/>
      <w:lvlText w:val=""/>
      <w:lvlJc w:val="left"/>
    </w:lvl>
    <w:lvl w:ilvl="6" w:tplc="439E6C60">
      <w:numFmt w:val="decimal"/>
      <w:lvlText w:val=""/>
      <w:lvlJc w:val="left"/>
    </w:lvl>
    <w:lvl w:ilvl="7" w:tplc="30045764">
      <w:numFmt w:val="decimal"/>
      <w:lvlText w:val=""/>
      <w:lvlJc w:val="left"/>
    </w:lvl>
    <w:lvl w:ilvl="8" w:tplc="27D0CB68">
      <w:numFmt w:val="decimal"/>
      <w:lvlText w:val=""/>
      <w:lvlJc w:val="left"/>
    </w:lvl>
  </w:abstractNum>
  <w:abstractNum w:abstractNumId="2" w15:restartNumberingAfterBreak="0">
    <w:nsid w:val="08850FFD"/>
    <w:multiLevelType w:val="hybridMultilevel"/>
    <w:tmpl w:val="12E06498"/>
    <w:lvl w:ilvl="0" w:tplc="ADBC9D14">
      <w:start w:val="1"/>
      <w:numFmt w:val="bullet"/>
      <w:lvlText w:val=""/>
      <w:lvlJc w:val="left"/>
      <w:pPr>
        <w:tabs>
          <w:tab w:val="num" w:pos="1080"/>
        </w:tabs>
        <w:ind w:left="720" w:hanging="360"/>
      </w:pPr>
      <w:rPr>
        <w:rFonts w:ascii="Symbol" w:hAnsi="Symbol" w:hint="default"/>
      </w:rPr>
    </w:lvl>
    <w:lvl w:ilvl="1" w:tplc="B0D09826">
      <w:numFmt w:val="decimal"/>
      <w:lvlText w:val=""/>
      <w:lvlJc w:val="left"/>
    </w:lvl>
    <w:lvl w:ilvl="2" w:tplc="9692CFB8">
      <w:numFmt w:val="decimal"/>
      <w:lvlText w:val=""/>
      <w:lvlJc w:val="left"/>
    </w:lvl>
    <w:lvl w:ilvl="3" w:tplc="711A7288">
      <w:numFmt w:val="decimal"/>
      <w:lvlText w:val=""/>
      <w:lvlJc w:val="left"/>
    </w:lvl>
    <w:lvl w:ilvl="4" w:tplc="51E2C4A4">
      <w:numFmt w:val="decimal"/>
      <w:lvlText w:val=""/>
      <w:lvlJc w:val="left"/>
    </w:lvl>
    <w:lvl w:ilvl="5" w:tplc="45183D02">
      <w:numFmt w:val="decimal"/>
      <w:lvlText w:val=""/>
      <w:lvlJc w:val="left"/>
    </w:lvl>
    <w:lvl w:ilvl="6" w:tplc="EA9AAE20">
      <w:numFmt w:val="decimal"/>
      <w:lvlText w:val=""/>
      <w:lvlJc w:val="left"/>
    </w:lvl>
    <w:lvl w:ilvl="7" w:tplc="A3D25B3E">
      <w:numFmt w:val="decimal"/>
      <w:lvlText w:val=""/>
      <w:lvlJc w:val="left"/>
    </w:lvl>
    <w:lvl w:ilvl="8" w:tplc="E346AE3A">
      <w:numFmt w:val="decimal"/>
      <w:lvlText w:val=""/>
      <w:lvlJc w:val="left"/>
    </w:lvl>
  </w:abstractNum>
  <w:abstractNum w:abstractNumId="3" w15:restartNumberingAfterBreak="0">
    <w:nsid w:val="0E446918"/>
    <w:multiLevelType w:val="hybridMultilevel"/>
    <w:tmpl w:val="22B01070"/>
    <w:lvl w:ilvl="0" w:tplc="EEEA2B64">
      <w:start w:val="1"/>
      <w:numFmt w:val="bullet"/>
      <w:lvlText w:val=""/>
      <w:lvlJc w:val="left"/>
      <w:pPr>
        <w:tabs>
          <w:tab w:val="num" w:pos="1080"/>
        </w:tabs>
        <w:ind w:left="720" w:hanging="360"/>
      </w:pPr>
      <w:rPr>
        <w:rFonts w:ascii="Symbol" w:hAnsi="Symbol" w:hint="default"/>
      </w:rPr>
    </w:lvl>
    <w:lvl w:ilvl="1" w:tplc="083AE0DA">
      <w:numFmt w:val="decimal"/>
      <w:lvlText w:val=""/>
      <w:lvlJc w:val="left"/>
    </w:lvl>
    <w:lvl w:ilvl="2" w:tplc="BACEF98E">
      <w:numFmt w:val="decimal"/>
      <w:lvlText w:val=""/>
      <w:lvlJc w:val="left"/>
    </w:lvl>
    <w:lvl w:ilvl="3" w:tplc="6D62DAEE">
      <w:numFmt w:val="decimal"/>
      <w:lvlText w:val=""/>
      <w:lvlJc w:val="left"/>
    </w:lvl>
    <w:lvl w:ilvl="4" w:tplc="6B4CB1A0">
      <w:numFmt w:val="decimal"/>
      <w:lvlText w:val=""/>
      <w:lvlJc w:val="left"/>
    </w:lvl>
    <w:lvl w:ilvl="5" w:tplc="F838FCDE">
      <w:numFmt w:val="decimal"/>
      <w:lvlText w:val=""/>
      <w:lvlJc w:val="left"/>
    </w:lvl>
    <w:lvl w:ilvl="6" w:tplc="644C0E80">
      <w:numFmt w:val="decimal"/>
      <w:lvlText w:val=""/>
      <w:lvlJc w:val="left"/>
    </w:lvl>
    <w:lvl w:ilvl="7" w:tplc="7F04534E">
      <w:numFmt w:val="decimal"/>
      <w:lvlText w:val=""/>
      <w:lvlJc w:val="left"/>
    </w:lvl>
    <w:lvl w:ilvl="8" w:tplc="3D5073EE">
      <w:numFmt w:val="decimal"/>
      <w:lvlText w:val=""/>
      <w:lvlJc w:val="left"/>
    </w:lvl>
  </w:abstractNum>
  <w:abstractNum w:abstractNumId="4" w15:restartNumberingAfterBreak="0">
    <w:nsid w:val="0FCE72A9"/>
    <w:multiLevelType w:val="hybridMultilevel"/>
    <w:tmpl w:val="FF9462AA"/>
    <w:lvl w:ilvl="0" w:tplc="8904CDE4">
      <w:start w:val="1"/>
      <w:numFmt w:val="bullet"/>
      <w:lvlText w:val=""/>
      <w:lvlJc w:val="left"/>
      <w:pPr>
        <w:tabs>
          <w:tab w:val="num" w:pos="1080"/>
        </w:tabs>
        <w:ind w:left="720" w:hanging="360"/>
      </w:pPr>
      <w:rPr>
        <w:rFonts w:ascii="Symbol" w:hAnsi="Symbol" w:hint="default"/>
      </w:rPr>
    </w:lvl>
    <w:lvl w:ilvl="1" w:tplc="1D34951A">
      <w:numFmt w:val="decimal"/>
      <w:lvlText w:val=""/>
      <w:lvlJc w:val="left"/>
    </w:lvl>
    <w:lvl w:ilvl="2" w:tplc="8E6A10DE">
      <w:numFmt w:val="decimal"/>
      <w:lvlText w:val=""/>
      <w:lvlJc w:val="left"/>
    </w:lvl>
    <w:lvl w:ilvl="3" w:tplc="8042F572">
      <w:numFmt w:val="decimal"/>
      <w:lvlText w:val=""/>
      <w:lvlJc w:val="left"/>
    </w:lvl>
    <w:lvl w:ilvl="4" w:tplc="96966C74">
      <w:numFmt w:val="decimal"/>
      <w:lvlText w:val=""/>
      <w:lvlJc w:val="left"/>
    </w:lvl>
    <w:lvl w:ilvl="5" w:tplc="FF32B484">
      <w:numFmt w:val="decimal"/>
      <w:lvlText w:val=""/>
      <w:lvlJc w:val="left"/>
    </w:lvl>
    <w:lvl w:ilvl="6" w:tplc="DE2A7B10">
      <w:numFmt w:val="decimal"/>
      <w:lvlText w:val=""/>
      <w:lvlJc w:val="left"/>
    </w:lvl>
    <w:lvl w:ilvl="7" w:tplc="89B0957C">
      <w:numFmt w:val="decimal"/>
      <w:lvlText w:val=""/>
      <w:lvlJc w:val="left"/>
    </w:lvl>
    <w:lvl w:ilvl="8" w:tplc="332A2C5E">
      <w:numFmt w:val="decimal"/>
      <w:lvlText w:val=""/>
      <w:lvlJc w:val="left"/>
    </w:lvl>
  </w:abstractNum>
  <w:abstractNum w:abstractNumId="5" w15:restartNumberingAfterBreak="0">
    <w:nsid w:val="19854AD6"/>
    <w:multiLevelType w:val="hybridMultilevel"/>
    <w:tmpl w:val="5DAE4744"/>
    <w:lvl w:ilvl="0" w:tplc="903E05BA">
      <w:start w:val="1"/>
      <w:numFmt w:val="bullet"/>
      <w:lvlText w:val=""/>
      <w:lvlJc w:val="left"/>
      <w:pPr>
        <w:tabs>
          <w:tab w:val="num" w:pos="1080"/>
        </w:tabs>
        <w:ind w:left="720" w:hanging="360"/>
      </w:pPr>
      <w:rPr>
        <w:rFonts w:ascii="Symbol" w:hAnsi="Symbol" w:hint="default"/>
      </w:rPr>
    </w:lvl>
    <w:lvl w:ilvl="1" w:tplc="F6EC5DC8">
      <w:numFmt w:val="decimal"/>
      <w:lvlText w:val=""/>
      <w:lvlJc w:val="left"/>
    </w:lvl>
    <w:lvl w:ilvl="2" w:tplc="1D4C3844">
      <w:numFmt w:val="decimal"/>
      <w:lvlText w:val=""/>
      <w:lvlJc w:val="left"/>
    </w:lvl>
    <w:lvl w:ilvl="3" w:tplc="E2E4D386">
      <w:numFmt w:val="decimal"/>
      <w:lvlText w:val=""/>
      <w:lvlJc w:val="left"/>
    </w:lvl>
    <w:lvl w:ilvl="4" w:tplc="77D6CAA2">
      <w:numFmt w:val="decimal"/>
      <w:lvlText w:val=""/>
      <w:lvlJc w:val="left"/>
    </w:lvl>
    <w:lvl w:ilvl="5" w:tplc="5D16A968">
      <w:numFmt w:val="decimal"/>
      <w:lvlText w:val=""/>
      <w:lvlJc w:val="left"/>
    </w:lvl>
    <w:lvl w:ilvl="6" w:tplc="81308EA2">
      <w:numFmt w:val="decimal"/>
      <w:lvlText w:val=""/>
      <w:lvlJc w:val="left"/>
    </w:lvl>
    <w:lvl w:ilvl="7" w:tplc="5B147FE0">
      <w:numFmt w:val="decimal"/>
      <w:lvlText w:val=""/>
      <w:lvlJc w:val="left"/>
    </w:lvl>
    <w:lvl w:ilvl="8" w:tplc="41943098">
      <w:numFmt w:val="decimal"/>
      <w:lvlText w:val=""/>
      <w:lvlJc w:val="left"/>
    </w:lvl>
  </w:abstractNum>
  <w:abstractNum w:abstractNumId="6" w15:restartNumberingAfterBreak="0">
    <w:nsid w:val="1F036773"/>
    <w:multiLevelType w:val="hybridMultilevel"/>
    <w:tmpl w:val="DDF239BA"/>
    <w:lvl w:ilvl="0" w:tplc="0CFEC880">
      <w:start w:val="1"/>
      <w:numFmt w:val="bullet"/>
      <w:lvlText w:val=""/>
      <w:lvlJc w:val="left"/>
      <w:pPr>
        <w:tabs>
          <w:tab w:val="num" w:pos="1080"/>
        </w:tabs>
        <w:ind w:left="720" w:hanging="360"/>
      </w:pPr>
      <w:rPr>
        <w:rFonts w:ascii="Symbol" w:hAnsi="Symbol" w:hint="default"/>
      </w:rPr>
    </w:lvl>
    <w:lvl w:ilvl="1" w:tplc="95381FBE">
      <w:numFmt w:val="decimal"/>
      <w:lvlText w:val=""/>
      <w:lvlJc w:val="left"/>
    </w:lvl>
    <w:lvl w:ilvl="2" w:tplc="2230EDEE">
      <w:numFmt w:val="decimal"/>
      <w:lvlText w:val=""/>
      <w:lvlJc w:val="left"/>
    </w:lvl>
    <w:lvl w:ilvl="3" w:tplc="82F67704">
      <w:numFmt w:val="decimal"/>
      <w:lvlText w:val=""/>
      <w:lvlJc w:val="left"/>
    </w:lvl>
    <w:lvl w:ilvl="4" w:tplc="4BAC8C82">
      <w:numFmt w:val="decimal"/>
      <w:lvlText w:val=""/>
      <w:lvlJc w:val="left"/>
    </w:lvl>
    <w:lvl w:ilvl="5" w:tplc="D9C4DFF8">
      <w:numFmt w:val="decimal"/>
      <w:lvlText w:val=""/>
      <w:lvlJc w:val="left"/>
    </w:lvl>
    <w:lvl w:ilvl="6" w:tplc="AC48C93E">
      <w:numFmt w:val="decimal"/>
      <w:lvlText w:val=""/>
      <w:lvlJc w:val="left"/>
    </w:lvl>
    <w:lvl w:ilvl="7" w:tplc="CE203976">
      <w:numFmt w:val="decimal"/>
      <w:lvlText w:val=""/>
      <w:lvlJc w:val="left"/>
    </w:lvl>
    <w:lvl w:ilvl="8" w:tplc="EAB8454C">
      <w:numFmt w:val="decimal"/>
      <w:lvlText w:val=""/>
      <w:lvlJc w:val="left"/>
    </w:lvl>
  </w:abstractNum>
  <w:abstractNum w:abstractNumId="7" w15:restartNumberingAfterBreak="0">
    <w:nsid w:val="20E1125D"/>
    <w:multiLevelType w:val="hybridMultilevel"/>
    <w:tmpl w:val="477E0714"/>
    <w:lvl w:ilvl="0" w:tplc="C42456A0">
      <w:start w:val="1"/>
      <w:numFmt w:val="bullet"/>
      <w:lvlText w:val=""/>
      <w:lvlJc w:val="left"/>
      <w:pPr>
        <w:tabs>
          <w:tab w:val="num" w:pos="1080"/>
        </w:tabs>
        <w:ind w:left="720" w:hanging="360"/>
      </w:pPr>
      <w:rPr>
        <w:rFonts w:ascii="Symbol" w:hAnsi="Symbol" w:hint="default"/>
      </w:rPr>
    </w:lvl>
    <w:lvl w:ilvl="1" w:tplc="BDA298B2">
      <w:numFmt w:val="decimal"/>
      <w:lvlText w:val=""/>
      <w:lvlJc w:val="left"/>
    </w:lvl>
    <w:lvl w:ilvl="2" w:tplc="5F103C50">
      <w:numFmt w:val="decimal"/>
      <w:lvlText w:val=""/>
      <w:lvlJc w:val="left"/>
    </w:lvl>
    <w:lvl w:ilvl="3" w:tplc="4628E37C">
      <w:numFmt w:val="decimal"/>
      <w:lvlText w:val=""/>
      <w:lvlJc w:val="left"/>
    </w:lvl>
    <w:lvl w:ilvl="4" w:tplc="AE464514">
      <w:numFmt w:val="decimal"/>
      <w:lvlText w:val=""/>
      <w:lvlJc w:val="left"/>
    </w:lvl>
    <w:lvl w:ilvl="5" w:tplc="8BB4EEEC">
      <w:numFmt w:val="decimal"/>
      <w:lvlText w:val=""/>
      <w:lvlJc w:val="left"/>
    </w:lvl>
    <w:lvl w:ilvl="6" w:tplc="830AB484">
      <w:numFmt w:val="decimal"/>
      <w:lvlText w:val=""/>
      <w:lvlJc w:val="left"/>
    </w:lvl>
    <w:lvl w:ilvl="7" w:tplc="D9DEB326">
      <w:numFmt w:val="decimal"/>
      <w:lvlText w:val=""/>
      <w:lvlJc w:val="left"/>
    </w:lvl>
    <w:lvl w:ilvl="8" w:tplc="6C882F78">
      <w:numFmt w:val="decimal"/>
      <w:lvlText w:val=""/>
      <w:lvlJc w:val="left"/>
    </w:lvl>
  </w:abstractNum>
  <w:abstractNum w:abstractNumId="8" w15:restartNumberingAfterBreak="0">
    <w:nsid w:val="21590D7F"/>
    <w:multiLevelType w:val="hybridMultilevel"/>
    <w:tmpl w:val="D0306C7C"/>
    <w:lvl w:ilvl="0" w:tplc="427AA6C8">
      <w:start w:val="1"/>
      <w:numFmt w:val="decimal"/>
      <w:lvlText w:val="%1."/>
      <w:lvlJc w:val="left"/>
      <w:pPr>
        <w:tabs>
          <w:tab w:val="num" w:pos="1080"/>
        </w:tabs>
        <w:ind w:left="720" w:hanging="360"/>
      </w:pPr>
    </w:lvl>
    <w:lvl w:ilvl="1" w:tplc="B5421758">
      <w:numFmt w:val="decimal"/>
      <w:lvlText w:val=""/>
      <w:lvlJc w:val="left"/>
    </w:lvl>
    <w:lvl w:ilvl="2" w:tplc="0C8E19E4">
      <w:numFmt w:val="decimal"/>
      <w:lvlText w:val=""/>
      <w:lvlJc w:val="left"/>
    </w:lvl>
    <w:lvl w:ilvl="3" w:tplc="9A80CE52">
      <w:numFmt w:val="decimal"/>
      <w:lvlText w:val=""/>
      <w:lvlJc w:val="left"/>
    </w:lvl>
    <w:lvl w:ilvl="4" w:tplc="AEEC267E">
      <w:numFmt w:val="decimal"/>
      <w:lvlText w:val=""/>
      <w:lvlJc w:val="left"/>
    </w:lvl>
    <w:lvl w:ilvl="5" w:tplc="093A79E4">
      <w:numFmt w:val="decimal"/>
      <w:lvlText w:val=""/>
      <w:lvlJc w:val="left"/>
    </w:lvl>
    <w:lvl w:ilvl="6" w:tplc="97F4FBF8">
      <w:numFmt w:val="decimal"/>
      <w:lvlText w:val=""/>
      <w:lvlJc w:val="left"/>
    </w:lvl>
    <w:lvl w:ilvl="7" w:tplc="E168E846">
      <w:numFmt w:val="decimal"/>
      <w:lvlText w:val=""/>
      <w:lvlJc w:val="left"/>
    </w:lvl>
    <w:lvl w:ilvl="8" w:tplc="6A4A2C7A">
      <w:numFmt w:val="decimal"/>
      <w:lvlText w:val=""/>
      <w:lvlJc w:val="left"/>
    </w:lvl>
  </w:abstractNum>
  <w:abstractNum w:abstractNumId="9" w15:restartNumberingAfterBreak="0">
    <w:nsid w:val="28B31F22"/>
    <w:multiLevelType w:val="hybridMultilevel"/>
    <w:tmpl w:val="2B524E82"/>
    <w:lvl w:ilvl="0" w:tplc="4A9EEE5C">
      <w:start w:val="1"/>
      <w:numFmt w:val="decimal"/>
      <w:lvlText w:val="%1."/>
      <w:lvlJc w:val="left"/>
      <w:pPr>
        <w:tabs>
          <w:tab w:val="num" w:pos="1080"/>
        </w:tabs>
        <w:ind w:left="720" w:hanging="360"/>
      </w:pPr>
    </w:lvl>
    <w:lvl w:ilvl="1" w:tplc="D144D7A2">
      <w:numFmt w:val="decimal"/>
      <w:lvlText w:val=""/>
      <w:lvlJc w:val="left"/>
    </w:lvl>
    <w:lvl w:ilvl="2" w:tplc="0DAE16FE">
      <w:numFmt w:val="decimal"/>
      <w:lvlText w:val=""/>
      <w:lvlJc w:val="left"/>
    </w:lvl>
    <w:lvl w:ilvl="3" w:tplc="6AACA824">
      <w:numFmt w:val="decimal"/>
      <w:lvlText w:val=""/>
      <w:lvlJc w:val="left"/>
    </w:lvl>
    <w:lvl w:ilvl="4" w:tplc="EDE4F5AC">
      <w:numFmt w:val="decimal"/>
      <w:lvlText w:val=""/>
      <w:lvlJc w:val="left"/>
    </w:lvl>
    <w:lvl w:ilvl="5" w:tplc="4B2419C0">
      <w:numFmt w:val="decimal"/>
      <w:lvlText w:val=""/>
      <w:lvlJc w:val="left"/>
    </w:lvl>
    <w:lvl w:ilvl="6" w:tplc="48AA1F76">
      <w:numFmt w:val="decimal"/>
      <w:lvlText w:val=""/>
      <w:lvlJc w:val="left"/>
    </w:lvl>
    <w:lvl w:ilvl="7" w:tplc="7DA0CE12">
      <w:numFmt w:val="decimal"/>
      <w:lvlText w:val=""/>
      <w:lvlJc w:val="left"/>
    </w:lvl>
    <w:lvl w:ilvl="8" w:tplc="0A5010DE">
      <w:numFmt w:val="decimal"/>
      <w:lvlText w:val=""/>
      <w:lvlJc w:val="left"/>
    </w:lvl>
  </w:abstractNum>
  <w:abstractNum w:abstractNumId="10" w15:restartNumberingAfterBreak="0">
    <w:nsid w:val="2B714657"/>
    <w:multiLevelType w:val="hybridMultilevel"/>
    <w:tmpl w:val="59FED334"/>
    <w:lvl w:ilvl="0" w:tplc="18CEDF28">
      <w:start w:val="1"/>
      <w:numFmt w:val="bullet"/>
      <w:lvlText w:val=""/>
      <w:lvlJc w:val="left"/>
      <w:pPr>
        <w:tabs>
          <w:tab w:val="num" w:pos="1080"/>
        </w:tabs>
        <w:ind w:left="720" w:hanging="360"/>
      </w:pPr>
      <w:rPr>
        <w:rFonts w:ascii="Symbol" w:hAnsi="Symbol" w:hint="default"/>
      </w:rPr>
    </w:lvl>
    <w:lvl w:ilvl="1" w:tplc="8A88E7AE">
      <w:numFmt w:val="decimal"/>
      <w:lvlText w:val=""/>
      <w:lvlJc w:val="left"/>
    </w:lvl>
    <w:lvl w:ilvl="2" w:tplc="83F49298">
      <w:numFmt w:val="decimal"/>
      <w:lvlText w:val=""/>
      <w:lvlJc w:val="left"/>
    </w:lvl>
    <w:lvl w:ilvl="3" w:tplc="411A01CA">
      <w:numFmt w:val="decimal"/>
      <w:lvlText w:val=""/>
      <w:lvlJc w:val="left"/>
    </w:lvl>
    <w:lvl w:ilvl="4" w:tplc="E25EADEE">
      <w:numFmt w:val="decimal"/>
      <w:lvlText w:val=""/>
      <w:lvlJc w:val="left"/>
    </w:lvl>
    <w:lvl w:ilvl="5" w:tplc="059C8990">
      <w:numFmt w:val="decimal"/>
      <w:lvlText w:val=""/>
      <w:lvlJc w:val="left"/>
    </w:lvl>
    <w:lvl w:ilvl="6" w:tplc="CA0A9D28">
      <w:numFmt w:val="decimal"/>
      <w:lvlText w:val=""/>
      <w:lvlJc w:val="left"/>
    </w:lvl>
    <w:lvl w:ilvl="7" w:tplc="A3D83FD4">
      <w:numFmt w:val="decimal"/>
      <w:lvlText w:val=""/>
      <w:lvlJc w:val="left"/>
    </w:lvl>
    <w:lvl w:ilvl="8" w:tplc="385201E2">
      <w:numFmt w:val="decimal"/>
      <w:lvlText w:val=""/>
      <w:lvlJc w:val="left"/>
    </w:lvl>
  </w:abstractNum>
  <w:abstractNum w:abstractNumId="11" w15:restartNumberingAfterBreak="0">
    <w:nsid w:val="2D734E6A"/>
    <w:multiLevelType w:val="hybridMultilevel"/>
    <w:tmpl w:val="16F8923C"/>
    <w:lvl w:ilvl="0" w:tplc="6D4091E8">
      <w:start w:val="1"/>
      <w:numFmt w:val="bullet"/>
      <w:lvlText w:val=""/>
      <w:lvlJc w:val="left"/>
      <w:pPr>
        <w:tabs>
          <w:tab w:val="num" w:pos="1080"/>
        </w:tabs>
        <w:ind w:left="720" w:hanging="360"/>
      </w:pPr>
      <w:rPr>
        <w:rFonts w:ascii="Symbol" w:hAnsi="Symbol" w:hint="default"/>
      </w:rPr>
    </w:lvl>
    <w:lvl w:ilvl="1" w:tplc="10E69F6E">
      <w:numFmt w:val="decimal"/>
      <w:lvlText w:val=""/>
      <w:lvlJc w:val="left"/>
    </w:lvl>
    <w:lvl w:ilvl="2" w:tplc="D99498AC">
      <w:numFmt w:val="decimal"/>
      <w:lvlText w:val=""/>
      <w:lvlJc w:val="left"/>
    </w:lvl>
    <w:lvl w:ilvl="3" w:tplc="98764BDA">
      <w:numFmt w:val="decimal"/>
      <w:lvlText w:val=""/>
      <w:lvlJc w:val="left"/>
    </w:lvl>
    <w:lvl w:ilvl="4" w:tplc="4198D6FC">
      <w:numFmt w:val="decimal"/>
      <w:lvlText w:val=""/>
      <w:lvlJc w:val="left"/>
    </w:lvl>
    <w:lvl w:ilvl="5" w:tplc="423422AE">
      <w:numFmt w:val="decimal"/>
      <w:lvlText w:val=""/>
      <w:lvlJc w:val="left"/>
    </w:lvl>
    <w:lvl w:ilvl="6" w:tplc="D88044F2">
      <w:numFmt w:val="decimal"/>
      <w:lvlText w:val=""/>
      <w:lvlJc w:val="left"/>
    </w:lvl>
    <w:lvl w:ilvl="7" w:tplc="462429F0">
      <w:numFmt w:val="decimal"/>
      <w:lvlText w:val=""/>
      <w:lvlJc w:val="left"/>
    </w:lvl>
    <w:lvl w:ilvl="8" w:tplc="25A6D096">
      <w:numFmt w:val="decimal"/>
      <w:lvlText w:val=""/>
      <w:lvlJc w:val="left"/>
    </w:lvl>
  </w:abstractNum>
  <w:abstractNum w:abstractNumId="12" w15:restartNumberingAfterBreak="0">
    <w:nsid w:val="2DEC6274"/>
    <w:multiLevelType w:val="hybridMultilevel"/>
    <w:tmpl w:val="A690756A"/>
    <w:lvl w:ilvl="0" w:tplc="D5D00694">
      <w:start w:val="1"/>
      <w:numFmt w:val="bullet"/>
      <w:lvlText w:val=""/>
      <w:lvlJc w:val="left"/>
      <w:pPr>
        <w:tabs>
          <w:tab w:val="num" w:pos="1080"/>
        </w:tabs>
        <w:ind w:left="720" w:hanging="360"/>
      </w:pPr>
      <w:rPr>
        <w:rFonts w:ascii="Symbol" w:hAnsi="Symbol" w:hint="default"/>
      </w:rPr>
    </w:lvl>
    <w:lvl w:ilvl="1" w:tplc="BD389E6A">
      <w:numFmt w:val="decimal"/>
      <w:lvlText w:val=""/>
      <w:lvlJc w:val="left"/>
    </w:lvl>
    <w:lvl w:ilvl="2" w:tplc="F3164CE4">
      <w:numFmt w:val="decimal"/>
      <w:lvlText w:val=""/>
      <w:lvlJc w:val="left"/>
    </w:lvl>
    <w:lvl w:ilvl="3" w:tplc="2F788C70">
      <w:numFmt w:val="decimal"/>
      <w:lvlText w:val=""/>
      <w:lvlJc w:val="left"/>
    </w:lvl>
    <w:lvl w:ilvl="4" w:tplc="2A349A2A">
      <w:numFmt w:val="decimal"/>
      <w:lvlText w:val=""/>
      <w:lvlJc w:val="left"/>
    </w:lvl>
    <w:lvl w:ilvl="5" w:tplc="CC4E4234">
      <w:numFmt w:val="decimal"/>
      <w:lvlText w:val=""/>
      <w:lvlJc w:val="left"/>
    </w:lvl>
    <w:lvl w:ilvl="6" w:tplc="325C49A2">
      <w:numFmt w:val="decimal"/>
      <w:lvlText w:val=""/>
      <w:lvlJc w:val="left"/>
    </w:lvl>
    <w:lvl w:ilvl="7" w:tplc="293646F8">
      <w:numFmt w:val="decimal"/>
      <w:lvlText w:val=""/>
      <w:lvlJc w:val="left"/>
    </w:lvl>
    <w:lvl w:ilvl="8" w:tplc="F6EAF50A">
      <w:numFmt w:val="decimal"/>
      <w:lvlText w:val=""/>
      <w:lvlJc w:val="left"/>
    </w:lvl>
  </w:abstractNum>
  <w:abstractNum w:abstractNumId="13" w15:restartNumberingAfterBreak="0">
    <w:nsid w:val="31860EC4"/>
    <w:multiLevelType w:val="hybridMultilevel"/>
    <w:tmpl w:val="5300C154"/>
    <w:lvl w:ilvl="0" w:tplc="66506894">
      <w:start w:val="1"/>
      <w:numFmt w:val="bullet"/>
      <w:lvlText w:val=""/>
      <w:lvlJc w:val="left"/>
      <w:pPr>
        <w:tabs>
          <w:tab w:val="num" w:pos="1080"/>
        </w:tabs>
        <w:ind w:left="720" w:hanging="360"/>
      </w:pPr>
      <w:rPr>
        <w:rFonts w:ascii="Symbol" w:hAnsi="Symbol" w:hint="default"/>
      </w:rPr>
    </w:lvl>
    <w:lvl w:ilvl="1" w:tplc="8AFC6E40">
      <w:numFmt w:val="decimal"/>
      <w:lvlText w:val=""/>
      <w:lvlJc w:val="left"/>
    </w:lvl>
    <w:lvl w:ilvl="2" w:tplc="F43083A6">
      <w:numFmt w:val="decimal"/>
      <w:lvlText w:val=""/>
      <w:lvlJc w:val="left"/>
    </w:lvl>
    <w:lvl w:ilvl="3" w:tplc="14240D36">
      <w:numFmt w:val="decimal"/>
      <w:lvlText w:val=""/>
      <w:lvlJc w:val="left"/>
    </w:lvl>
    <w:lvl w:ilvl="4" w:tplc="52948B38">
      <w:numFmt w:val="decimal"/>
      <w:lvlText w:val=""/>
      <w:lvlJc w:val="left"/>
    </w:lvl>
    <w:lvl w:ilvl="5" w:tplc="6DB2E90A">
      <w:numFmt w:val="decimal"/>
      <w:lvlText w:val=""/>
      <w:lvlJc w:val="left"/>
    </w:lvl>
    <w:lvl w:ilvl="6" w:tplc="E29AD220">
      <w:numFmt w:val="decimal"/>
      <w:lvlText w:val=""/>
      <w:lvlJc w:val="left"/>
    </w:lvl>
    <w:lvl w:ilvl="7" w:tplc="8D1CE3E0">
      <w:numFmt w:val="decimal"/>
      <w:lvlText w:val=""/>
      <w:lvlJc w:val="left"/>
    </w:lvl>
    <w:lvl w:ilvl="8" w:tplc="C5783CC0">
      <w:numFmt w:val="decimal"/>
      <w:lvlText w:val=""/>
      <w:lvlJc w:val="left"/>
    </w:lvl>
  </w:abstractNum>
  <w:abstractNum w:abstractNumId="14" w15:restartNumberingAfterBreak="0">
    <w:nsid w:val="34210DA6"/>
    <w:multiLevelType w:val="hybridMultilevel"/>
    <w:tmpl w:val="93C46BE4"/>
    <w:lvl w:ilvl="0" w:tplc="7ACE9898">
      <w:start w:val="1"/>
      <w:numFmt w:val="bullet"/>
      <w:lvlText w:val=""/>
      <w:lvlJc w:val="left"/>
      <w:pPr>
        <w:tabs>
          <w:tab w:val="num" w:pos="1080"/>
        </w:tabs>
        <w:ind w:left="720" w:hanging="360"/>
      </w:pPr>
      <w:rPr>
        <w:rFonts w:ascii="Symbol" w:hAnsi="Symbol" w:hint="default"/>
      </w:rPr>
    </w:lvl>
    <w:lvl w:ilvl="1" w:tplc="70644A96">
      <w:numFmt w:val="decimal"/>
      <w:lvlText w:val=""/>
      <w:lvlJc w:val="left"/>
    </w:lvl>
    <w:lvl w:ilvl="2" w:tplc="EA5E94BA">
      <w:numFmt w:val="decimal"/>
      <w:lvlText w:val=""/>
      <w:lvlJc w:val="left"/>
    </w:lvl>
    <w:lvl w:ilvl="3" w:tplc="40DA74C8">
      <w:numFmt w:val="decimal"/>
      <w:lvlText w:val=""/>
      <w:lvlJc w:val="left"/>
    </w:lvl>
    <w:lvl w:ilvl="4" w:tplc="A0986A1A">
      <w:numFmt w:val="decimal"/>
      <w:lvlText w:val=""/>
      <w:lvlJc w:val="left"/>
    </w:lvl>
    <w:lvl w:ilvl="5" w:tplc="EDA6AA72">
      <w:numFmt w:val="decimal"/>
      <w:lvlText w:val=""/>
      <w:lvlJc w:val="left"/>
    </w:lvl>
    <w:lvl w:ilvl="6" w:tplc="6ABAB986">
      <w:numFmt w:val="decimal"/>
      <w:lvlText w:val=""/>
      <w:lvlJc w:val="left"/>
    </w:lvl>
    <w:lvl w:ilvl="7" w:tplc="F2F0836C">
      <w:numFmt w:val="decimal"/>
      <w:lvlText w:val=""/>
      <w:lvlJc w:val="left"/>
    </w:lvl>
    <w:lvl w:ilvl="8" w:tplc="5CF2246A">
      <w:numFmt w:val="decimal"/>
      <w:lvlText w:val=""/>
      <w:lvlJc w:val="left"/>
    </w:lvl>
  </w:abstractNum>
  <w:abstractNum w:abstractNumId="15" w15:restartNumberingAfterBreak="0">
    <w:nsid w:val="34E03AF9"/>
    <w:multiLevelType w:val="hybridMultilevel"/>
    <w:tmpl w:val="3A3EC472"/>
    <w:lvl w:ilvl="0" w:tplc="FD16FA3A">
      <w:start w:val="1"/>
      <w:numFmt w:val="bullet"/>
      <w:lvlText w:val=""/>
      <w:lvlJc w:val="left"/>
      <w:pPr>
        <w:tabs>
          <w:tab w:val="num" w:pos="1080"/>
        </w:tabs>
        <w:ind w:left="720" w:hanging="360"/>
      </w:pPr>
      <w:rPr>
        <w:rFonts w:ascii="Symbol" w:hAnsi="Symbol" w:hint="default"/>
      </w:rPr>
    </w:lvl>
    <w:lvl w:ilvl="1" w:tplc="46BACDF8">
      <w:numFmt w:val="decimal"/>
      <w:lvlText w:val=""/>
      <w:lvlJc w:val="left"/>
    </w:lvl>
    <w:lvl w:ilvl="2" w:tplc="56708FA2">
      <w:numFmt w:val="decimal"/>
      <w:lvlText w:val=""/>
      <w:lvlJc w:val="left"/>
    </w:lvl>
    <w:lvl w:ilvl="3" w:tplc="DEACE8FE">
      <w:numFmt w:val="decimal"/>
      <w:lvlText w:val=""/>
      <w:lvlJc w:val="left"/>
    </w:lvl>
    <w:lvl w:ilvl="4" w:tplc="E2A2E756">
      <w:numFmt w:val="decimal"/>
      <w:lvlText w:val=""/>
      <w:lvlJc w:val="left"/>
    </w:lvl>
    <w:lvl w:ilvl="5" w:tplc="7338C93E">
      <w:numFmt w:val="decimal"/>
      <w:lvlText w:val=""/>
      <w:lvlJc w:val="left"/>
    </w:lvl>
    <w:lvl w:ilvl="6" w:tplc="F50EC5BC">
      <w:numFmt w:val="decimal"/>
      <w:lvlText w:val=""/>
      <w:lvlJc w:val="left"/>
    </w:lvl>
    <w:lvl w:ilvl="7" w:tplc="7786D782">
      <w:numFmt w:val="decimal"/>
      <w:lvlText w:val=""/>
      <w:lvlJc w:val="left"/>
    </w:lvl>
    <w:lvl w:ilvl="8" w:tplc="186641DE">
      <w:numFmt w:val="decimal"/>
      <w:lvlText w:val=""/>
      <w:lvlJc w:val="left"/>
    </w:lvl>
  </w:abstractNum>
  <w:abstractNum w:abstractNumId="16" w15:restartNumberingAfterBreak="0">
    <w:nsid w:val="3A993EFA"/>
    <w:multiLevelType w:val="hybridMultilevel"/>
    <w:tmpl w:val="6B8A0500"/>
    <w:lvl w:ilvl="0" w:tplc="1988E78C">
      <w:start w:val="1"/>
      <w:numFmt w:val="decimal"/>
      <w:lvlText w:val="%1."/>
      <w:lvlJc w:val="left"/>
      <w:pPr>
        <w:tabs>
          <w:tab w:val="num" w:pos="1080"/>
        </w:tabs>
        <w:ind w:left="720" w:hanging="360"/>
      </w:pPr>
    </w:lvl>
    <w:lvl w:ilvl="1" w:tplc="7EAC0684">
      <w:numFmt w:val="decimal"/>
      <w:lvlText w:val=""/>
      <w:lvlJc w:val="left"/>
    </w:lvl>
    <w:lvl w:ilvl="2" w:tplc="677C6F6C">
      <w:numFmt w:val="decimal"/>
      <w:lvlText w:val=""/>
      <w:lvlJc w:val="left"/>
    </w:lvl>
    <w:lvl w:ilvl="3" w:tplc="1C4C0D3C">
      <w:numFmt w:val="decimal"/>
      <w:lvlText w:val=""/>
      <w:lvlJc w:val="left"/>
    </w:lvl>
    <w:lvl w:ilvl="4" w:tplc="31780EAA">
      <w:numFmt w:val="decimal"/>
      <w:lvlText w:val=""/>
      <w:lvlJc w:val="left"/>
    </w:lvl>
    <w:lvl w:ilvl="5" w:tplc="0E2E5188">
      <w:numFmt w:val="decimal"/>
      <w:lvlText w:val=""/>
      <w:lvlJc w:val="left"/>
    </w:lvl>
    <w:lvl w:ilvl="6" w:tplc="44CE0814">
      <w:numFmt w:val="decimal"/>
      <w:lvlText w:val=""/>
      <w:lvlJc w:val="left"/>
    </w:lvl>
    <w:lvl w:ilvl="7" w:tplc="43CC75D6">
      <w:numFmt w:val="decimal"/>
      <w:lvlText w:val=""/>
      <w:lvlJc w:val="left"/>
    </w:lvl>
    <w:lvl w:ilvl="8" w:tplc="EEACE98C">
      <w:numFmt w:val="decimal"/>
      <w:lvlText w:val=""/>
      <w:lvlJc w:val="left"/>
    </w:lvl>
  </w:abstractNum>
  <w:abstractNum w:abstractNumId="17" w15:restartNumberingAfterBreak="0">
    <w:nsid w:val="3B671AC8"/>
    <w:multiLevelType w:val="hybridMultilevel"/>
    <w:tmpl w:val="201C53C6"/>
    <w:lvl w:ilvl="0" w:tplc="55F62D20">
      <w:start w:val="1"/>
      <w:numFmt w:val="bullet"/>
      <w:lvlText w:val=""/>
      <w:lvlJc w:val="left"/>
      <w:pPr>
        <w:tabs>
          <w:tab w:val="num" w:pos="1080"/>
        </w:tabs>
        <w:ind w:left="720" w:hanging="360"/>
      </w:pPr>
      <w:rPr>
        <w:rFonts w:ascii="Symbol" w:hAnsi="Symbol" w:hint="default"/>
      </w:rPr>
    </w:lvl>
    <w:lvl w:ilvl="1" w:tplc="7E34EF02">
      <w:numFmt w:val="decimal"/>
      <w:lvlText w:val=""/>
      <w:lvlJc w:val="left"/>
    </w:lvl>
    <w:lvl w:ilvl="2" w:tplc="D99CDCF2">
      <w:numFmt w:val="decimal"/>
      <w:lvlText w:val=""/>
      <w:lvlJc w:val="left"/>
    </w:lvl>
    <w:lvl w:ilvl="3" w:tplc="D76A96E0">
      <w:numFmt w:val="decimal"/>
      <w:lvlText w:val=""/>
      <w:lvlJc w:val="left"/>
    </w:lvl>
    <w:lvl w:ilvl="4" w:tplc="96A4AAB2">
      <w:numFmt w:val="decimal"/>
      <w:lvlText w:val=""/>
      <w:lvlJc w:val="left"/>
    </w:lvl>
    <w:lvl w:ilvl="5" w:tplc="1960EF2E">
      <w:numFmt w:val="decimal"/>
      <w:lvlText w:val=""/>
      <w:lvlJc w:val="left"/>
    </w:lvl>
    <w:lvl w:ilvl="6" w:tplc="4918B5D2">
      <w:numFmt w:val="decimal"/>
      <w:lvlText w:val=""/>
      <w:lvlJc w:val="left"/>
    </w:lvl>
    <w:lvl w:ilvl="7" w:tplc="B2D8750C">
      <w:numFmt w:val="decimal"/>
      <w:lvlText w:val=""/>
      <w:lvlJc w:val="left"/>
    </w:lvl>
    <w:lvl w:ilvl="8" w:tplc="E4CAB3D4">
      <w:numFmt w:val="decimal"/>
      <w:lvlText w:val=""/>
      <w:lvlJc w:val="left"/>
    </w:lvl>
  </w:abstractNum>
  <w:abstractNum w:abstractNumId="18" w15:restartNumberingAfterBreak="0">
    <w:nsid w:val="44BE7619"/>
    <w:multiLevelType w:val="hybridMultilevel"/>
    <w:tmpl w:val="F6F6D3BC"/>
    <w:lvl w:ilvl="0" w:tplc="5770FCA0">
      <w:start w:val="1"/>
      <w:numFmt w:val="bullet"/>
      <w:lvlText w:val=""/>
      <w:lvlJc w:val="left"/>
      <w:pPr>
        <w:tabs>
          <w:tab w:val="num" w:pos="1080"/>
        </w:tabs>
        <w:ind w:left="720" w:hanging="360"/>
      </w:pPr>
      <w:rPr>
        <w:rFonts w:ascii="Symbol" w:hAnsi="Symbol" w:hint="default"/>
      </w:rPr>
    </w:lvl>
    <w:lvl w:ilvl="1" w:tplc="4FB08A8A">
      <w:numFmt w:val="decimal"/>
      <w:lvlText w:val=""/>
      <w:lvlJc w:val="left"/>
    </w:lvl>
    <w:lvl w:ilvl="2" w:tplc="6472C5C6">
      <w:numFmt w:val="decimal"/>
      <w:lvlText w:val=""/>
      <w:lvlJc w:val="left"/>
    </w:lvl>
    <w:lvl w:ilvl="3" w:tplc="DA9075FC">
      <w:numFmt w:val="decimal"/>
      <w:lvlText w:val=""/>
      <w:lvlJc w:val="left"/>
    </w:lvl>
    <w:lvl w:ilvl="4" w:tplc="D0087DAA">
      <w:numFmt w:val="decimal"/>
      <w:lvlText w:val=""/>
      <w:lvlJc w:val="left"/>
    </w:lvl>
    <w:lvl w:ilvl="5" w:tplc="63B80540">
      <w:numFmt w:val="decimal"/>
      <w:lvlText w:val=""/>
      <w:lvlJc w:val="left"/>
    </w:lvl>
    <w:lvl w:ilvl="6" w:tplc="A376811C">
      <w:numFmt w:val="decimal"/>
      <w:lvlText w:val=""/>
      <w:lvlJc w:val="left"/>
    </w:lvl>
    <w:lvl w:ilvl="7" w:tplc="819E3268">
      <w:numFmt w:val="decimal"/>
      <w:lvlText w:val=""/>
      <w:lvlJc w:val="left"/>
    </w:lvl>
    <w:lvl w:ilvl="8" w:tplc="49522944">
      <w:numFmt w:val="decimal"/>
      <w:lvlText w:val=""/>
      <w:lvlJc w:val="left"/>
    </w:lvl>
  </w:abstractNum>
  <w:abstractNum w:abstractNumId="19" w15:restartNumberingAfterBreak="0">
    <w:nsid w:val="46AB5F57"/>
    <w:multiLevelType w:val="hybridMultilevel"/>
    <w:tmpl w:val="8C72864C"/>
    <w:lvl w:ilvl="0" w:tplc="99969B92">
      <w:start w:val="1"/>
      <w:numFmt w:val="bullet"/>
      <w:lvlText w:val=""/>
      <w:lvlJc w:val="left"/>
      <w:pPr>
        <w:tabs>
          <w:tab w:val="num" w:pos="1080"/>
        </w:tabs>
        <w:ind w:left="720" w:hanging="360"/>
      </w:pPr>
      <w:rPr>
        <w:rFonts w:ascii="Symbol" w:hAnsi="Symbol" w:hint="default"/>
      </w:rPr>
    </w:lvl>
    <w:lvl w:ilvl="1" w:tplc="D90AF05A">
      <w:numFmt w:val="decimal"/>
      <w:lvlText w:val=""/>
      <w:lvlJc w:val="left"/>
    </w:lvl>
    <w:lvl w:ilvl="2" w:tplc="383EEF44">
      <w:numFmt w:val="decimal"/>
      <w:lvlText w:val=""/>
      <w:lvlJc w:val="left"/>
    </w:lvl>
    <w:lvl w:ilvl="3" w:tplc="A4AAA5A2">
      <w:numFmt w:val="decimal"/>
      <w:lvlText w:val=""/>
      <w:lvlJc w:val="left"/>
    </w:lvl>
    <w:lvl w:ilvl="4" w:tplc="B114BD8A">
      <w:numFmt w:val="decimal"/>
      <w:lvlText w:val=""/>
      <w:lvlJc w:val="left"/>
    </w:lvl>
    <w:lvl w:ilvl="5" w:tplc="0C3228AE">
      <w:numFmt w:val="decimal"/>
      <w:lvlText w:val=""/>
      <w:lvlJc w:val="left"/>
    </w:lvl>
    <w:lvl w:ilvl="6" w:tplc="0DD28EFE">
      <w:numFmt w:val="decimal"/>
      <w:lvlText w:val=""/>
      <w:lvlJc w:val="left"/>
    </w:lvl>
    <w:lvl w:ilvl="7" w:tplc="5076293A">
      <w:numFmt w:val="decimal"/>
      <w:lvlText w:val=""/>
      <w:lvlJc w:val="left"/>
    </w:lvl>
    <w:lvl w:ilvl="8" w:tplc="DF2E9114">
      <w:numFmt w:val="decimal"/>
      <w:lvlText w:val=""/>
      <w:lvlJc w:val="left"/>
    </w:lvl>
  </w:abstractNum>
  <w:abstractNum w:abstractNumId="20" w15:restartNumberingAfterBreak="0">
    <w:nsid w:val="47710DCE"/>
    <w:multiLevelType w:val="hybridMultilevel"/>
    <w:tmpl w:val="B2C6C250"/>
    <w:lvl w:ilvl="0" w:tplc="1ED8C49A">
      <w:start w:val="1"/>
      <w:numFmt w:val="bullet"/>
      <w:lvlText w:val=""/>
      <w:lvlJc w:val="left"/>
      <w:pPr>
        <w:tabs>
          <w:tab w:val="num" w:pos="1080"/>
        </w:tabs>
        <w:ind w:left="720" w:hanging="360"/>
      </w:pPr>
      <w:rPr>
        <w:rFonts w:ascii="Symbol" w:hAnsi="Symbol" w:hint="default"/>
      </w:rPr>
    </w:lvl>
    <w:lvl w:ilvl="1" w:tplc="DD2222DC">
      <w:numFmt w:val="decimal"/>
      <w:lvlText w:val=""/>
      <w:lvlJc w:val="left"/>
    </w:lvl>
    <w:lvl w:ilvl="2" w:tplc="A5C618BE">
      <w:numFmt w:val="decimal"/>
      <w:lvlText w:val=""/>
      <w:lvlJc w:val="left"/>
    </w:lvl>
    <w:lvl w:ilvl="3" w:tplc="B058A56E">
      <w:numFmt w:val="decimal"/>
      <w:lvlText w:val=""/>
      <w:lvlJc w:val="left"/>
    </w:lvl>
    <w:lvl w:ilvl="4" w:tplc="F392AC1A">
      <w:numFmt w:val="decimal"/>
      <w:lvlText w:val=""/>
      <w:lvlJc w:val="left"/>
    </w:lvl>
    <w:lvl w:ilvl="5" w:tplc="08E0FACA">
      <w:numFmt w:val="decimal"/>
      <w:lvlText w:val=""/>
      <w:lvlJc w:val="left"/>
    </w:lvl>
    <w:lvl w:ilvl="6" w:tplc="A4363D2A">
      <w:numFmt w:val="decimal"/>
      <w:lvlText w:val=""/>
      <w:lvlJc w:val="left"/>
    </w:lvl>
    <w:lvl w:ilvl="7" w:tplc="D32AA872">
      <w:numFmt w:val="decimal"/>
      <w:lvlText w:val=""/>
      <w:lvlJc w:val="left"/>
    </w:lvl>
    <w:lvl w:ilvl="8" w:tplc="B218DBEE">
      <w:numFmt w:val="decimal"/>
      <w:lvlText w:val=""/>
      <w:lvlJc w:val="left"/>
    </w:lvl>
  </w:abstractNum>
  <w:abstractNum w:abstractNumId="21" w15:restartNumberingAfterBreak="0">
    <w:nsid w:val="49E92BA7"/>
    <w:multiLevelType w:val="hybridMultilevel"/>
    <w:tmpl w:val="D756A7A0"/>
    <w:lvl w:ilvl="0" w:tplc="375C3DF4">
      <w:start w:val="1"/>
      <w:numFmt w:val="bullet"/>
      <w:lvlText w:val=""/>
      <w:lvlJc w:val="left"/>
      <w:pPr>
        <w:tabs>
          <w:tab w:val="num" w:pos="1080"/>
        </w:tabs>
        <w:ind w:left="720" w:hanging="360"/>
      </w:pPr>
      <w:rPr>
        <w:rFonts w:ascii="Symbol" w:hAnsi="Symbol" w:hint="default"/>
      </w:rPr>
    </w:lvl>
    <w:lvl w:ilvl="1" w:tplc="10FA9D7E">
      <w:numFmt w:val="decimal"/>
      <w:lvlText w:val=""/>
      <w:lvlJc w:val="left"/>
    </w:lvl>
    <w:lvl w:ilvl="2" w:tplc="8076BE30">
      <w:numFmt w:val="decimal"/>
      <w:lvlText w:val=""/>
      <w:lvlJc w:val="left"/>
    </w:lvl>
    <w:lvl w:ilvl="3" w:tplc="E4AE78B0">
      <w:numFmt w:val="decimal"/>
      <w:lvlText w:val=""/>
      <w:lvlJc w:val="left"/>
    </w:lvl>
    <w:lvl w:ilvl="4" w:tplc="97CE327A">
      <w:numFmt w:val="decimal"/>
      <w:lvlText w:val=""/>
      <w:lvlJc w:val="left"/>
    </w:lvl>
    <w:lvl w:ilvl="5" w:tplc="D5CA22B0">
      <w:numFmt w:val="decimal"/>
      <w:lvlText w:val=""/>
      <w:lvlJc w:val="left"/>
    </w:lvl>
    <w:lvl w:ilvl="6" w:tplc="374A7554">
      <w:numFmt w:val="decimal"/>
      <w:lvlText w:val=""/>
      <w:lvlJc w:val="left"/>
    </w:lvl>
    <w:lvl w:ilvl="7" w:tplc="9B84B172">
      <w:numFmt w:val="decimal"/>
      <w:lvlText w:val=""/>
      <w:lvlJc w:val="left"/>
    </w:lvl>
    <w:lvl w:ilvl="8" w:tplc="CE9CCB36">
      <w:numFmt w:val="decimal"/>
      <w:lvlText w:val=""/>
      <w:lvlJc w:val="left"/>
    </w:lvl>
  </w:abstractNum>
  <w:abstractNum w:abstractNumId="22" w15:restartNumberingAfterBreak="0">
    <w:nsid w:val="5661039B"/>
    <w:multiLevelType w:val="hybridMultilevel"/>
    <w:tmpl w:val="DAE41A50"/>
    <w:lvl w:ilvl="0" w:tplc="D462721A">
      <w:start w:val="1"/>
      <w:numFmt w:val="bullet"/>
      <w:lvlText w:val=""/>
      <w:lvlJc w:val="left"/>
      <w:pPr>
        <w:tabs>
          <w:tab w:val="num" w:pos="1080"/>
        </w:tabs>
        <w:ind w:left="720" w:hanging="360"/>
      </w:pPr>
      <w:rPr>
        <w:rFonts w:ascii="Symbol" w:hAnsi="Symbol" w:hint="default"/>
      </w:rPr>
    </w:lvl>
    <w:lvl w:ilvl="1" w:tplc="DC22B818">
      <w:numFmt w:val="decimal"/>
      <w:lvlText w:val=""/>
      <w:lvlJc w:val="left"/>
    </w:lvl>
    <w:lvl w:ilvl="2" w:tplc="E68406AA">
      <w:numFmt w:val="decimal"/>
      <w:lvlText w:val=""/>
      <w:lvlJc w:val="left"/>
    </w:lvl>
    <w:lvl w:ilvl="3" w:tplc="1C5EC9B2">
      <w:numFmt w:val="decimal"/>
      <w:lvlText w:val=""/>
      <w:lvlJc w:val="left"/>
    </w:lvl>
    <w:lvl w:ilvl="4" w:tplc="61E85CE6">
      <w:numFmt w:val="decimal"/>
      <w:lvlText w:val=""/>
      <w:lvlJc w:val="left"/>
    </w:lvl>
    <w:lvl w:ilvl="5" w:tplc="57A6F3AA">
      <w:numFmt w:val="decimal"/>
      <w:lvlText w:val=""/>
      <w:lvlJc w:val="left"/>
    </w:lvl>
    <w:lvl w:ilvl="6" w:tplc="5E6244AE">
      <w:numFmt w:val="decimal"/>
      <w:lvlText w:val=""/>
      <w:lvlJc w:val="left"/>
    </w:lvl>
    <w:lvl w:ilvl="7" w:tplc="43B26776">
      <w:numFmt w:val="decimal"/>
      <w:lvlText w:val=""/>
      <w:lvlJc w:val="left"/>
    </w:lvl>
    <w:lvl w:ilvl="8" w:tplc="9A3A5396">
      <w:numFmt w:val="decimal"/>
      <w:lvlText w:val=""/>
      <w:lvlJc w:val="left"/>
    </w:lvl>
  </w:abstractNum>
  <w:abstractNum w:abstractNumId="23" w15:restartNumberingAfterBreak="0">
    <w:nsid w:val="5CC9652A"/>
    <w:multiLevelType w:val="hybridMultilevel"/>
    <w:tmpl w:val="7A826D22"/>
    <w:lvl w:ilvl="0" w:tplc="4A5ACD10">
      <w:start w:val="1"/>
      <w:numFmt w:val="decimal"/>
      <w:lvlText w:val="%1."/>
      <w:lvlJc w:val="left"/>
      <w:pPr>
        <w:tabs>
          <w:tab w:val="num" w:pos="1080"/>
        </w:tabs>
        <w:ind w:left="720" w:hanging="360"/>
      </w:pPr>
    </w:lvl>
    <w:lvl w:ilvl="1" w:tplc="69185B74">
      <w:numFmt w:val="decimal"/>
      <w:lvlText w:val=""/>
      <w:lvlJc w:val="left"/>
    </w:lvl>
    <w:lvl w:ilvl="2" w:tplc="D1F8B2BE">
      <w:numFmt w:val="decimal"/>
      <w:lvlText w:val=""/>
      <w:lvlJc w:val="left"/>
    </w:lvl>
    <w:lvl w:ilvl="3" w:tplc="CB0C2630">
      <w:numFmt w:val="decimal"/>
      <w:lvlText w:val=""/>
      <w:lvlJc w:val="left"/>
    </w:lvl>
    <w:lvl w:ilvl="4" w:tplc="495A5736">
      <w:numFmt w:val="decimal"/>
      <w:lvlText w:val=""/>
      <w:lvlJc w:val="left"/>
    </w:lvl>
    <w:lvl w:ilvl="5" w:tplc="2E4CA1D4">
      <w:numFmt w:val="decimal"/>
      <w:lvlText w:val=""/>
      <w:lvlJc w:val="left"/>
    </w:lvl>
    <w:lvl w:ilvl="6" w:tplc="BF2C83C0">
      <w:numFmt w:val="decimal"/>
      <w:lvlText w:val=""/>
      <w:lvlJc w:val="left"/>
    </w:lvl>
    <w:lvl w:ilvl="7" w:tplc="0228F67E">
      <w:numFmt w:val="decimal"/>
      <w:lvlText w:val=""/>
      <w:lvlJc w:val="left"/>
    </w:lvl>
    <w:lvl w:ilvl="8" w:tplc="ED38060E">
      <w:numFmt w:val="decimal"/>
      <w:lvlText w:val=""/>
      <w:lvlJc w:val="left"/>
    </w:lvl>
  </w:abstractNum>
  <w:abstractNum w:abstractNumId="24" w15:restartNumberingAfterBreak="0">
    <w:nsid w:val="5EFC4563"/>
    <w:multiLevelType w:val="hybridMultilevel"/>
    <w:tmpl w:val="46545864"/>
    <w:lvl w:ilvl="0" w:tplc="6F3A6DBA">
      <w:start w:val="1"/>
      <w:numFmt w:val="bullet"/>
      <w:lvlText w:val=""/>
      <w:lvlJc w:val="left"/>
      <w:pPr>
        <w:tabs>
          <w:tab w:val="num" w:pos="1080"/>
        </w:tabs>
        <w:ind w:left="720" w:hanging="360"/>
      </w:pPr>
      <w:rPr>
        <w:rFonts w:ascii="Symbol" w:hAnsi="Symbol" w:hint="default"/>
      </w:rPr>
    </w:lvl>
    <w:lvl w:ilvl="1" w:tplc="EEFA9204">
      <w:numFmt w:val="decimal"/>
      <w:lvlText w:val=""/>
      <w:lvlJc w:val="left"/>
    </w:lvl>
    <w:lvl w:ilvl="2" w:tplc="0EF8A6BE">
      <w:numFmt w:val="decimal"/>
      <w:lvlText w:val=""/>
      <w:lvlJc w:val="left"/>
    </w:lvl>
    <w:lvl w:ilvl="3" w:tplc="41769E04">
      <w:numFmt w:val="decimal"/>
      <w:lvlText w:val=""/>
      <w:lvlJc w:val="left"/>
    </w:lvl>
    <w:lvl w:ilvl="4" w:tplc="A4DACE5A">
      <w:numFmt w:val="decimal"/>
      <w:lvlText w:val=""/>
      <w:lvlJc w:val="left"/>
    </w:lvl>
    <w:lvl w:ilvl="5" w:tplc="0206F434">
      <w:numFmt w:val="decimal"/>
      <w:lvlText w:val=""/>
      <w:lvlJc w:val="left"/>
    </w:lvl>
    <w:lvl w:ilvl="6" w:tplc="3850BA16">
      <w:numFmt w:val="decimal"/>
      <w:lvlText w:val=""/>
      <w:lvlJc w:val="left"/>
    </w:lvl>
    <w:lvl w:ilvl="7" w:tplc="87DA33B6">
      <w:numFmt w:val="decimal"/>
      <w:lvlText w:val=""/>
      <w:lvlJc w:val="left"/>
    </w:lvl>
    <w:lvl w:ilvl="8" w:tplc="4142FBA8">
      <w:numFmt w:val="decimal"/>
      <w:lvlText w:val=""/>
      <w:lvlJc w:val="left"/>
    </w:lvl>
  </w:abstractNum>
  <w:abstractNum w:abstractNumId="25" w15:restartNumberingAfterBreak="0">
    <w:nsid w:val="666B62BF"/>
    <w:multiLevelType w:val="hybridMultilevel"/>
    <w:tmpl w:val="F6DAD088"/>
    <w:lvl w:ilvl="0" w:tplc="78F0EDD2">
      <w:start w:val="1"/>
      <w:numFmt w:val="bullet"/>
      <w:lvlText w:val=""/>
      <w:lvlJc w:val="left"/>
      <w:pPr>
        <w:tabs>
          <w:tab w:val="num" w:pos="1080"/>
        </w:tabs>
        <w:ind w:left="720" w:hanging="360"/>
      </w:pPr>
      <w:rPr>
        <w:rFonts w:ascii="Symbol" w:hAnsi="Symbol" w:hint="default"/>
      </w:rPr>
    </w:lvl>
    <w:lvl w:ilvl="1" w:tplc="1FC2A18A">
      <w:numFmt w:val="decimal"/>
      <w:lvlText w:val=""/>
      <w:lvlJc w:val="left"/>
    </w:lvl>
    <w:lvl w:ilvl="2" w:tplc="920698C4">
      <w:numFmt w:val="decimal"/>
      <w:lvlText w:val=""/>
      <w:lvlJc w:val="left"/>
    </w:lvl>
    <w:lvl w:ilvl="3" w:tplc="45E00B82">
      <w:numFmt w:val="decimal"/>
      <w:lvlText w:val=""/>
      <w:lvlJc w:val="left"/>
    </w:lvl>
    <w:lvl w:ilvl="4" w:tplc="C7A80554">
      <w:numFmt w:val="decimal"/>
      <w:lvlText w:val=""/>
      <w:lvlJc w:val="left"/>
    </w:lvl>
    <w:lvl w:ilvl="5" w:tplc="D3A4E8A4">
      <w:numFmt w:val="decimal"/>
      <w:lvlText w:val=""/>
      <w:lvlJc w:val="left"/>
    </w:lvl>
    <w:lvl w:ilvl="6" w:tplc="740086D0">
      <w:numFmt w:val="decimal"/>
      <w:lvlText w:val=""/>
      <w:lvlJc w:val="left"/>
    </w:lvl>
    <w:lvl w:ilvl="7" w:tplc="59069EA6">
      <w:numFmt w:val="decimal"/>
      <w:lvlText w:val=""/>
      <w:lvlJc w:val="left"/>
    </w:lvl>
    <w:lvl w:ilvl="8" w:tplc="AC105FB6">
      <w:numFmt w:val="decimal"/>
      <w:lvlText w:val=""/>
      <w:lvlJc w:val="left"/>
    </w:lvl>
  </w:abstractNum>
  <w:abstractNum w:abstractNumId="26" w15:restartNumberingAfterBreak="0">
    <w:nsid w:val="6C4901D4"/>
    <w:multiLevelType w:val="hybridMultilevel"/>
    <w:tmpl w:val="ABF08F48"/>
    <w:lvl w:ilvl="0" w:tplc="373419DE">
      <w:start w:val="1"/>
      <w:numFmt w:val="bullet"/>
      <w:lvlText w:val=""/>
      <w:lvlJc w:val="left"/>
      <w:pPr>
        <w:tabs>
          <w:tab w:val="num" w:pos="1080"/>
        </w:tabs>
        <w:ind w:left="720" w:hanging="360"/>
      </w:pPr>
      <w:rPr>
        <w:rFonts w:ascii="Symbol" w:hAnsi="Symbol" w:hint="default"/>
      </w:rPr>
    </w:lvl>
    <w:lvl w:ilvl="1" w:tplc="A96896E0">
      <w:numFmt w:val="decimal"/>
      <w:lvlText w:val=""/>
      <w:lvlJc w:val="left"/>
    </w:lvl>
    <w:lvl w:ilvl="2" w:tplc="A7469B70">
      <w:numFmt w:val="decimal"/>
      <w:lvlText w:val=""/>
      <w:lvlJc w:val="left"/>
    </w:lvl>
    <w:lvl w:ilvl="3" w:tplc="A2D07C28">
      <w:numFmt w:val="decimal"/>
      <w:lvlText w:val=""/>
      <w:lvlJc w:val="left"/>
    </w:lvl>
    <w:lvl w:ilvl="4" w:tplc="7C7884B0">
      <w:numFmt w:val="decimal"/>
      <w:lvlText w:val=""/>
      <w:lvlJc w:val="left"/>
    </w:lvl>
    <w:lvl w:ilvl="5" w:tplc="D63087C2">
      <w:numFmt w:val="decimal"/>
      <w:lvlText w:val=""/>
      <w:lvlJc w:val="left"/>
    </w:lvl>
    <w:lvl w:ilvl="6" w:tplc="B39E5CC4">
      <w:numFmt w:val="decimal"/>
      <w:lvlText w:val=""/>
      <w:lvlJc w:val="left"/>
    </w:lvl>
    <w:lvl w:ilvl="7" w:tplc="5824C344">
      <w:numFmt w:val="decimal"/>
      <w:lvlText w:val=""/>
      <w:lvlJc w:val="left"/>
    </w:lvl>
    <w:lvl w:ilvl="8" w:tplc="B80419AA">
      <w:numFmt w:val="decimal"/>
      <w:lvlText w:val=""/>
      <w:lvlJc w:val="left"/>
    </w:lvl>
  </w:abstractNum>
  <w:abstractNum w:abstractNumId="27" w15:restartNumberingAfterBreak="0">
    <w:nsid w:val="6D330C94"/>
    <w:multiLevelType w:val="hybridMultilevel"/>
    <w:tmpl w:val="80B62FF6"/>
    <w:lvl w:ilvl="0" w:tplc="479A3986">
      <w:start w:val="1"/>
      <w:numFmt w:val="decimal"/>
      <w:lvlText w:val="%1."/>
      <w:lvlJc w:val="left"/>
      <w:pPr>
        <w:tabs>
          <w:tab w:val="num" w:pos="1080"/>
        </w:tabs>
        <w:ind w:left="720" w:hanging="360"/>
      </w:pPr>
    </w:lvl>
    <w:lvl w:ilvl="1" w:tplc="40B02ADA">
      <w:numFmt w:val="decimal"/>
      <w:lvlText w:val=""/>
      <w:lvlJc w:val="left"/>
    </w:lvl>
    <w:lvl w:ilvl="2" w:tplc="67408936">
      <w:numFmt w:val="decimal"/>
      <w:lvlText w:val=""/>
      <w:lvlJc w:val="left"/>
    </w:lvl>
    <w:lvl w:ilvl="3" w:tplc="3FB8DFA6">
      <w:numFmt w:val="decimal"/>
      <w:lvlText w:val=""/>
      <w:lvlJc w:val="left"/>
    </w:lvl>
    <w:lvl w:ilvl="4" w:tplc="63901C24">
      <w:numFmt w:val="decimal"/>
      <w:lvlText w:val=""/>
      <w:lvlJc w:val="left"/>
    </w:lvl>
    <w:lvl w:ilvl="5" w:tplc="E7C051FC">
      <w:numFmt w:val="decimal"/>
      <w:lvlText w:val=""/>
      <w:lvlJc w:val="left"/>
    </w:lvl>
    <w:lvl w:ilvl="6" w:tplc="98C42670">
      <w:numFmt w:val="decimal"/>
      <w:lvlText w:val=""/>
      <w:lvlJc w:val="left"/>
    </w:lvl>
    <w:lvl w:ilvl="7" w:tplc="21029024">
      <w:numFmt w:val="decimal"/>
      <w:lvlText w:val=""/>
      <w:lvlJc w:val="left"/>
    </w:lvl>
    <w:lvl w:ilvl="8" w:tplc="5F8046F4">
      <w:numFmt w:val="decimal"/>
      <w:lvlText w:val=""/>
      <w:lvlJc w:val="left"/>
    </w:lvl>
  </w:abstractNum>
  <w:abstractNum w:abstractNumId="28" w15:restartNumberingAfterBreak="0">
    <w:nsid w:val="70DB4662"/>
    <w:multiLevelType w:val="hybridMultilevel"/>
    <w:tmpl w:val="B3F66C88"/>
    <w:lvl w:ilvl="0" w:tplc="12C8C8D6">
      <w:start w:val="1"/>
      <w:numFmt w:val="bullet"/>
      <w:lvlText w:val=""/>
      <w:lvlJc w:val="left"/>
      <w:pPr>
        <w:tabs>
          <w:tab w:val="num" w:pos="1080"/>
        </w:tabs>
        <w:ind w:left="720" w:hanging="360"/>
      </w:pPr>
      <w:rPr>
        <w:rFonts w:ascii="Symbol" w:hAnsi="Symbol" w:hint="default"/>
      </w:rPr>
    </w:lvl>
    <w:lvl w:ilvl="1" w:tplc="5C6620AA">
      <w:numFmt w:val="decimal"/>
      <w:lvlText w:val=""/>
      <w:lvlJc w:val="left"/>
    </w:lvl>
    <w:lvl w:ilvl="2" w:tplc="72B4DB9E">
      <w:numFmt w:val="decimal"/>
      <w:lvlText w:val=""/>
      <w:lvlJc w:val="left"/>
    </w:lvl>
    <w:lvl w:ilvl="3" w:tplc="F3DA754A">
      <w:numFmt w:val="decimal"/>
      <w:lvlText w:val=""/>
      <w:lvlJc w:val="left"/>
    </w:lvl>
    <w:lvl w:ilvl="4" w:tplc="0D689842">
      <w:numFmt w:val="decimal"/>
      <w:lvlText w:val=""/>
      <w:lvlJc w:val="left"/>
    </w:lvl>
    <w:lvl w:ilvl="5" w:tplc="8F38BEDA">
      <w:numFmt w:val="decimal"/>
      <w:lvlText w:val=""/>
      <w:lvlJc w:val="left"/>
    </w:lvl>
    <w:lvl w:ilvl="6" w:tplc="296EC1B2">
      <w:numFmt w:val="decimal"/>
      <w:lvlText w:val=""/>
      <w:lvlJc w:val="left"/>
    </w:lvl>
    <w:lvl w:ilvl="7" w:tplc="413C0B18">
      <w:numFmt w:val="decimal"/>
      <w:lvlText w:val=""/>
      <w:lvlJc w:val="left"/>
    </w:lvl>
    <w:lvl w:ilvl="8" w:tplc="17B24844">
      <w:numFmt w:val="decimal"/>
      <w:lvlText w:val=""/>
      <w:lvlJc w:val="left"/>
    </w:lvl>
  </w:abstractNum>
  <w:abstractNum w:abstractNumId="29" w15:restartNumberingAfterBreak="0">
    <w:nsid w:val="757F4EBF"/>
    <w:multiLevelType w:val="hybridMultilevel"/>
    <w:tmpl w:val="998C2074"/>
    <w:lvl w:ilvl="0" w:tplc="535C6D68">
      <w:start w:val="1"/>
      <w:numFmt w:val="bullet"/>
      <w:lvlText w:val=""/>
      <w:lvlJc w:val="left"/>
      <w:pPr>
        <w:tabs>
          <w:tab w:val="num" w:pos="1080"/>
        </w:tabs>
        <w:ind w:left="720" w:hanging="360"/>
      </w:pPr>
      <w:rPr>
        <w:rFonts w:ascii="Symbol" w:hAnsi="Symbol" w:hint="default"/>
      </w:rPr>
    </w:lvl>
    <w:lvl w:ilvl="1" w:tplc="CB90E730">
      <w:numFmt w:val="decimal"/>
      <w:lvlText w:val=""/>
      <w:lvlJc w:val="left"/>
    </w:lvl>
    <w:lvl w:ilvl="2" w:tplc="D88CFD74">
      <w:numFmt w:val="decimal"/>
      <w:lvlText w:val=""/>
      <w:lvlJc w:val="left"/>
    </w:lvl>
    <w:lvl w:ilvl="3" w:tplc="F19A592A">
      <w:numFmt w:val="decimal"/>
      <w:lvlText w:val=""/>
      <w:lvlJc w:val="left"/>
    </w:lvl>
    <w:lvl w:ilvl="4" w:tplc="303A750E">
      <w:numFmt w:val="decimal"/>
      <w:lvlText w:val=""/>
      <w:lvlJc w:val="left"/>
    </w:lvl>
    <w:lvl w:ilvl="5" w:tplc="FBA44B64">
      <w:numFmt w:val="decimal"/>
      <w:lvlText w:val=""/>
      <w:lvlJc w:val="left"/>
    </w:lvl>
    <w:lvl w:ilvl="6" w:tplc="D29082F4">
      <w:numFmt w:val="decimal"/>
      <w:lvlText w:val=""/>
      <w:lvlJc w:val="left"/>
    </w:lvl>
    <w:lvl w:ilvl="7" w:tplc="4024112E">
      <w:numFmt w:val="decimal"/>
      <w:lvlText w:val=""/>
      <w:lvlJc w:val="left"/>
    </w:lvl>
    <w:lvl w:ilvl="8" w:tplc="7D36ECF2">
      <w:numFmt w:val="decimal"/>
      <w:lvlText w:val=""/>
      <w:lvlJc w:val="left"/>
    </w:lvl>
  </w:abstractNum>
  <w:abstractNum w:abstractNumId="30" w15:restartNumberingAfterBreak="0">
    <w:nsid w:val="77914FFC"/>
    <w:multiLevelType w:val="hybridMultilevel"/>
    <w:tmpl w:val="8F10DEFA"/>
    <w:lvl w:ilvl="0" w:tplc="C590B450">
      <w:start w:val="1"/>
      <w:numFmt w:val="bullet"/>
      <w:lvlText w:val=""/>
      <w:lvlJc w:val="left"/>
      <w:pPr>
        <w:tabs>
          <w:tab w:val="num" w:pos="1080"/>
        </w:tabs>
        <w:ind w:left="720" w:hanging="360"/>
      </w:pPr>
      <w:rPr>
        <w:rFonts w:ascii="Symbol" w:hAnsi="Symbol" w:hint="default"/>
      </w:rPr>
    </w:lvl>
    <w:lvl w:ilvl="1" w:tplc="1286FA24">
      <w:numFmt w:val="decimal"/>
      <w:lvlText w:val=""/>
      <w:lvlJc w:val="left"/>
    </w:lvl>
    <w:lvl w:ilvl="2" w:tplc="EE281DD8">
      <w:numFmt w:val="decimal"/>
      <w:lvlText w:val=""/>
      <w:lvlJc w:val="left"/>
    </w:lvl>
    <w:lvl w:ilvl="3" w:tplc="52808850">
      <w:numFmt w:val="decimal"/>
      <w:lvlText w:val=""/>
      <w:lvlJc w:val="left"/>
    </w:lvl>
    <w:lvl w:ilvl="4" w:tplc="0C6E3AFE">
      <w:numFmt w:val="decimal"/>
      <w:lvlText w:val=""/>
      <w:lvlJc w:val="left"/>
    </w:lvl>
    <w:lvl w:ilvl="5" w:tplc="74EA9CB8">
      <w:numFmt w:val="decimal"/>
      <w:lvlText w:val=""/>
      <w:lvlJc w:val="left"/>
    </w:lvl>
    <w:lvl w:ilvl="6" w:tplc="E318C770">
      <w:numFmt w:val="decimal"/>
      <w:lvlText w:val=""/>
      <w:lvlJc w:val="left"/>
    </w:lvl>
    <w:lvl w:ilvl="7" w:tplc="C786EF9C">
      <w:numFmt w:val="decimal"/>
      <w:lvlText w:val=""/>
      <w:lvlJc w:val="left"/>
    </w:lvl>
    <w:lvl w:ilvl="8" w:tplc="FD52FC86">
      <w:numFmt w:val="decimal"/>
      <w:lvlText w:val=""/>
      <w:lvlJc w:val="left"/>
    </w:lvl>
  </w:abstractNum>
  <w:num w:numId="1">
    <w:abstractNumId w:val="28"/>
  </w:num>
  <w:num w:numId="2">
    <w:abstractNumId w:val="24"/>
  </w:num>
  <w:num w:numId="3">
    <w:abstractNumId w:val="0"/>
  </w:num>
  <w:num w:numId="4">
    <w:abstractNumId w:val="14"/>
  </w:num>
  <w:num w:numId="5">
    <w:abstractNumId w:val="10"/>
  </w:num>
  <w:num w:numId="6">
    <w:abstractNumId w:val="21"/>
  </w:num>
  <w:num w:numId="7">
    <w:abstractNumId w:val="20"/>
  </w:num>
  <w:num w:numId="8">
    <w:abstractNumId w:val="29"/>
  </w:num>
  <w:num w:numId="9">
    <w:abstractNumId w:val="23"/>
  </w:num>
  <w:num w:numId="10">
    <w:abstractNumId w:val="22"/>
  </w:num>
  <w:num w:numId="11">
    <w:abstractNumId w:val="3"/>
  </w:num>
  <w:num w:numId="12">
    <w:abstractNumId w:val="1"/>
  </w:num>
  <w:num w:numId="13">
    <w:abstractNumId w:val="27"/>
  </w:num>
  <w:num w:numId="14">
    <w:abstractNumId w:val="9"/>
  </w:num>
  <w:num w:numId="15">
    <w:abstractNumId w:val="15"/>
  </w:num>
  <w:num w:numId="16">
    <w:abstractNumId w:val="5"/>
  </w:num>
  <w:num w:numId="17">
    <w:abstractNumId w:val="19"/>
  </w:num>
  <w:num w:numId="18">
    <w:abstractNumId w:val="4"/>
  </w:num>
  <w:num w:numId="19">
    <w:abstractNumId w:val="12"/>
  </w:num>
  <w:num w:numId="20">
    <w:abstractNumId w:val="2"/>
  </w:num>
  <w:num w:numId="21">
    <w:abstractNumId w:val="17"/>
  </w:num>
  <w:num w:numId="22">
    <w:abstractNumId w:val="6"/>
  </w:num>
  <w:num w:numId="23">
    <w:abstractNumId w:val="26"/>
  </w:num>
  <w:num w:numId="24">
    <w:abstractNumId w:val="30"/>
  </w:num>
  <w:num w:numId="25">
    <w:abstractNumId w:val="7"/>
  </w:num>
  <w:num w:numId="26">
    <w:abstractNumId w:val="11"/>
  </w:num>
  <w:num w:numId="27">
    <w:abstractNumId w:val="18"/>
  </w:num>
  <w:num w:numId="28">
    <w:abstractNumId w:val="16"/>
  </w:num>
  <w:num w:numId="29">
    <w:abstractNumId w:val="8"/>
  </w:num>
  <w:num w:numId="30">
    <w:abstractNumId w:val="25"/>
  </w:num>
  <w:num w:numId="3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1FC"/>
    <w:rsid w:val="00A461FC"/>
    <w:rsid w:val="00D11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186FA7"/>
  <w15:docId w15:val="{27578C01-C18A-4D2B-8E78-7C78A61C3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Georgia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20" w:line="240" w:lineRule="atLeas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VerbatimChar">
    <w:name w:val="Verbatim Char"/>
    <w:rPr>
      <w:rFonts w:ascii="Consolas" w:hAnsi="Consolas"/>
      <w:sz w:val="22"/>
    </w:rPr>
  </w:style>
  <w:style w:type="table" w:customStyle="1" w:styleId="NormalGrid">
    <w:name w:val="Normal Grid"/>
    <w:basedOn w:val="TableNormal"/>
    <w:uiPriority w:val="39"/>
    <w:pPr>
      <w:spacing w:after="0" w:line="240" w:lineRule="auto"/>
    </w:pPr>
    <w:tblPr>
      <w:tblCellMar>
        <w:top w:w="80" w:type="dxa"/>
        <w:left w:w="160" w:type="dxa"/>
        <w:bottom w:w="80" w:type="dxa"/>
        <w:right w:w="16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i.org/10.17605/OSF.IO/GM47X" TargetMode="External"/><Relationship Id="rId5" Type="http://schemas.openxmlformats.org/officeDocument/2006/relationships/hyperlink" Target="https://doi.org/10.5281/zenodo.17333842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33</Pages>
  <Words>5415</Words>
  <Characters>30868</Characters>
  <Application>Microsoft Office Word</Application>
  <DocSecurity>0</DocSecurity>
  <Lines>257</Lines>
  <Paragraphs>72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html-to-docx</dc:creator>
  <cp:keywords>html-to-docx</cp:keywords>
  <dc:description/>
  <cp:lastModifiedBy>HP</cp:lastModifiedBy>
  <cp:revision>2</cp:revision>
  <dcterms:created xsi:type="dcterms:W3CDTF">2026-07-13T14:38:00Z</dcterms:created>
  <dcterms:modified xsi:type="dcterms:W3CDTF">2026-07-13T14:38:00Z</dcterms:modified>
</cp:coreProperties>
</file>