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90720F" w14:textId="77669AB2" w:rsidR="00282898" w:rsidRPr="007B409D" w:rsidRDefault="00000000">
      <w:pPr>
        <w:pStyle w:val="2"/>
        <w:rPr>
          <w:rFonts w:ascii="Times New Roman" w:hAnsi="Times New Roman" w:hint="default"/>
        </w:rPr>
      </w:pPr>
      <w:bookmarkStart w:id="0" w:name="OLE_LINK1"/>
      <w:r w:rsidRPr="007B409D">
        <w:rPr>
          <w:rFonts w:ascii="Times New Roman" w:hAnsi="Times New Roman" w:hint="default"/>
        </w:rPr>
        <w:t>Supplementary Method</w:t>
      </w:r>
      <w:r w:rsidR="007B409D">
        <w:rPr>
          <w:rFonts w:ascii="Times New Roman" w:hAnsi="Times New Roman"/>
        </w:rPr>
        <w:t xml:space="preserve"> 1</w:t>
      </w:r>
    </w:p>
    <w:p w14:paraId="1BC6666A" w14:textId="77777777" w:rsidR="00282898" w:rsidRPr="007B409D" w:rsidRDefault="00000000" w:rsidP="007B409D">
      <w:pPr>
        <w:widowControl w:val="0"/>
        <w:spacing w:after="160" w:line="360" w:lineRule="auto"/>
        <w:jc w:val="both"/>
        <w:rPr>
          <w:rFonts w:ascii="Times New Roman" w:hAnsi="Times New Roman" w:cs="Times New Roman"/>
          <w:kern w:val="2"/>
          <w:szCs w:val="21"/>
          <w14:ligatures w14:val="standardContextual"/>
        </w:rPr>
      </w:pPr>
      <w:r w:rsidRPr="007B409D">
        <w:rPr>
          <w:rFonts w:ascii="Times New Roman" w:hAnsi="Times New Roman" w:cs="Times New Roman"/>
          <w:kern w:val="2"/>
          <w:szCs w:val="21"/>
          <w14:ligatures w14:val="standardContextual"/>
        </w:rPr>
        <w:t>We conducted two-sample Mendelian randomization (MR) to investigate whether circulating proteins contributing to the PPS may exert causal effects on frailty. Within this framework, germline genetic variants that influence protein concentrations are used as proxies for long-term biological exposure, helping to reduce residual confounding and reverse causation bias that may affect observational associations.</w:t>
      </w:r>
    </w:p>
    <w:p w14:paraId="15777DCE" w14:textId="79C72A47" w:rsidR="00282898" w:rsidRPr="007B409D" w:rsidRDefault="00000000" w:rsidP="007B409D">
      <w:pPr>
        <w:widowControl w:val="0"/>
        <w:spacing w:after="160" w:line="360" w:lineRule="auto"/>
        <w:jc w:val="both"/>
        <w:rPr>
          <w:rFonts w:ascii="Times New Roman" w:hAnsi="Times New Roman" w:cs="Times New Roman"/>
          <w:kern w:val="2"/>
          <w:szCs w:val="21"/>
          <w14:ligatures w14:val="standardContextual"/>
        </w:rPr>
      </w:pPr>
      <w:r w:rsidRPr="007B409D">
        <w:rPr>
          <w:rFonts w:ascii="Times New Roman" w:hAnsi="Times New Roman" w:cs="Times New Roman"/>
          <w:kern w:val="2"/>
          <w:szCs w:val="21"/>
          <w14:ligatures w14:val="standardContextual"/>
        </w:rPr>
        <w:t>Genetic instruments for circulating proteins were obtained from the large proteome-wide genome-wide association study reported by Ferkingstad et al., which included 35,559 participants</w:t>
      </w:r>
      <w:r w:rsidR="00F20BD6">
        <w:rPr>
          <w:rFonts w:ascii="Times New Roman" w:hAnsi="Times New Roman" w:cs="Times New Roman"/>
          <w:kern w:val="2"/>
          <w:szCs w:val="21"/>
          <w14:ligatures w14:val="standardContextual"/>
        </w:rPr>
        <w:fldChar w:fldCharType="begin">
          <w:fldData xml:space="preserve">PEVuZE5vdGU+PENpdGU+PEF1dGhvcj5GZXJraW5nc3RhZDwvQXV0aG9yPjxZZWFyPjIwMjE8L1ll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</w:fldData>
        </w:fldChar>
      </w:r>
      <w:r w:rsidR="00F20BD6">
        <w:rPr>
          <w:rFonts w:ascii="Times New Roman" w:hAnsi="Times New Roman" w:cs="Times New Roman"/>
          <w:kern w:val="2"/>
          <w:szCs w:val="21"/>
          <w14:ligatures w14:val="standardContextual"/>
        </w:rPr>
        <w:instrText xml:space="preserve"> ADDIN EN.CITE </w:instrText>
      </w:r>
      <w:r w:rsidR="00F20BD6">
        <w:rPr>
          <w:rFonts w:ascii="Times New Roman" w:hAnsi="Times New Roman" w:cs="Times New Roman"/>
          <w:kern w:val="2"/>
          <w:szCs w:val="21"/>
          <w14:ligatures w14:val="standardContextual"/>
        </w:rPr>
        <w:fldChar w:fldCharType="begin">
          <w:fldData xml:space="preserve">PEVuZE5vdGU+PENpdGU+PEF1dGhvcj5GZXJraW5nc3RhZDwvQXV0aG9yPjxZZWFyPjIwMjE8L1ll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</w:fldData>
        </w:fldChar>
      </w:r>
      <w:r w:rsidR="00F20BD6">
        <w:rPr>
          <w:rFonts w:ascii="Times New Roman" w:hAnsi="Times New Roman" w:cs="Times New Roman"/>
          <w:kern w:val="2"/>
          <w:szCs w:val="21"/>
          <w14:ligatures w14:val="standardContextual"/>
        </w:rPr>
        <w:instrText xml:space="preserve"> ADDIN EN.CITE.DATA </w:instrText>
      </w:r>
      <w:r w:rsidR="00F20BD6">
        <w:rPr>
          <w:rFonts w:ascii="Times New Roman" w:hAnsi="Times New Roman" w:cs="Times New Roman"/>
          <w:kern w:val="2"/>
          <w:szCs w:val="21"/>
          <w14:ligatures w14:val="standardContextual"/>
        </w:rPr>
      </w:r>
      <w:r w:rsidR="00F20BD6">
        <w:rPr>
          <w:rFonts w:ascii="Times New Roman" w:hAnsi="Times New Roman" w:cs="Times New Roman"/>
          <w:kern w:val="2"/>
          <w:szCs w:val="21"/>
          <w14:ligatures w14:val="standardContextual"/>
        </w:rPr>
        <w:fldChar w:fldCharType="end"/>
      </w:r>
      <w:r w:rsidR="00F20BD6">
        <w:rPr>
          <w:rFonts w:ascii="Times New Roman" w:hAnsi="Times New Roman" w:cs="Times New Roman"/>
          <w:kern w:val="2"/>
          <w:szCs w:val="21"/>
          <w14:ligatures w14:val="standardContextual"/>
        </w:rPr>
        <w:fldChar w:fldCharType="separate"/>
      </w:r>
      <w:r w:rsidR="00F20BD6" w:rsidRPr="00F20BD6">
        <w:rPr>
          <w:rFonts w:ascii="Times New Roman" w:hAnsi="Times New Roman" w:cs="Times New Roman"/>
          <w:noProof/>
          <w:kern w:val="2"/>
          <w:szCs w:val="21"/>
          <w:vertAlign w:val="superscript"/>
          <w14:ligatures w14:val="standardContextual"/>
        </w:rPr>
        <w:t>1</w:t>
      </w:r>
      <w:r w:rsidR="00F20BD6">
        <w:rPr>
          <w:rFonts w:ascii="Times New Roman" w:hAnsi="Times New Roman" w:cs="Times New Roman"/>
          <w:kern w:val="2"/>
          <w:szCs w:val="21"/>
          <w14:ligatures w14:val="standardContextual"/>
        </w:rPr>
        <w:fldChar w:fldCharType="end"/>
      </w:r>
      <w:r w:rsidRPr="007B409D">
        <w:rPr>
          <w:rFonts w:ascii="Times New Roman" w:hAnsi="Times New Roman" w:cs="Times New Roman"/>
          <w:kern w:val="2"/>
          <w:szCs w:val="21"/>
          <w14:ligatures w14:val="standardContextual"/>
        </w:rPr>
        <w:t xml:space="preserve">. For each protein, we extracted cis-acting variants located near the encoding gene that were associated with protein levels at genome-wide significance (P &lt; 5×10⁻⁸). Restricting instruments to cis </w:t>
      </w:r>
      <w:proofErr w:type="spellStart"/>
      <w:r w:rsidRPr="007B409D">
        <w:rPr>
          <w:rFonts w:ascii="Times New Roman" w:hAnsi="Times New Roman" w:cs="Times New Roman"/>
          <w:kern w:val="2"/>
          <w:szCs w:val="21"/>
          <w14:ligatures w14:val="standardContextual"/>
        </w:rPr>
        <w:t>pQTLs</w:t>
      </w:r>
      <w:proofErr w:type="spellEnd"/>
      <w:r w:rsidRPr="007B409D">
        <w:rPr>
          <w:rFonts w:ascii="Times New Roman" w:hAnsi="Times New Roman" w:cs="Times New Roman"/>
          <w:kern w:val="2"/>
          <w:szCs w:val="21"/>
          <w14:ligatures w14:val="standardContextual"/>
        </w:rPr>
        <w:t xml:space="preserve"> was intended to reduce the likelihood that variants influence frailty through biological pathways unrelated to the protein under investigation. Summary statistics for the frailty index (FI) were obtained from the genome-wide association meta-analysis by Atkins et al., involving 175,226 individuals of European ancestry. FI was defined using a validated accumulation-of-deficits approach</w:t>
      </w:r>
      <w:r w:rsidR="0097383B">
        <w:rPr>
          <w:rFonts w:ascii="Times New Roman" w:hAnsi="Times New Roman" w:cs="Times New Roman"/>
          <w:kern w:val="2"/>
          <w:szCs w:val="21"/>
          <w14:ligatures w14:val="standardContextual"/>
        </w:rPr>
        <w:fldChar w:fldCharType="begin">
          <w:fldData xml:space="preserve">PEVuZE5vdGU+PENpdGU+PEF1dGhvcj5BdGtpbnM8L0F1dGhvcj48WWVhcj4yMDIxPC9ZZWFyPjxS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</w:fldData>
        </w:fldChar>
      </w:r>
      <w:r w:rsidR="00F20BD6">
        <w:rPr>
          <w:rFonts w:ascii="Times New Roman" w:hAnsi="Times New Roman" w:cs="Times New Roman"/>
          <w:kern w:val="2"/>
          <w:szCs w:val="21"/>
          <w14:ligatures w14:val="standardContextual"/>
        </w:rPr>
        <w:instrText xml:space="preserve"> ADDIN EN.CITE </w:instrText>
      </w:r>
      <w:r w:rsidR="00F20BD6">
        <w:rPr>
          <w:rFonts w:ascii="Times New Roman" w:hAnsi="Times New Roman" w:cs="Times New Roman"/>
          <w:kern w:val="2"/>
          <w:szCs w:val="21"/>
          <w14:ligatures w14:val="standardContextual"/>
        </w:rPr>
        <w:fldChar w:fldCharType="begin">
          <w:fldData xml:space="preserve">PEVuZE5vdGU+PENpdGU+PEF1dGhvcj5BdGtpbnM8L0F1dGhvcj48WWVhcj4yMDIxPC9ZZWFyPjxS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</w:fldData>
        </w:fldChar>
      </w:r>
      <w:r w:rsidR="00F20BD6">
        <w:rPr>
          <w:rFonts w:ascii="Times New Roman" w:hAnsi="Times New Roman" w:cs="Times New Roman"/>
          <w:kern w:val="2"/>
          <w:szCs w:val="21"/>
          <w14:ligatures w14:val="standardContextual"/>
        </w:rPr>
        <w:instrText xml:space="preserve"> ADDIN EN.CITE.DATA </w:instrText>
      </w:r>
      <w:r w:rsidR="00F20BD6">
        <w:rPr>
          <w:rFonts w:ascii="Times New Roman" w:hAnsi="Times New Roman" w:cs="Times New Roman"/>
          <w:kern w:val="2"/>
          <w:szCs w:val="21"/>
          <w14:ligatures w14:val="standardContextual"/>
        </w:rPr>
      </w:r>
      <w:r w:rsidR="00F20BD6">
        <w:rPr>
          <w:rFonts w:ascii="Times New Roman" w:hAnsi="Times New Roman" w:cs="Times New Roman"/>
          <w:kern w:val="2"/>
          <w:szCs w:val="21"/>
          <w14:ligatures w14:val="standardContextual"/>
        </w:rPr>
        <w:fldChar w:fldCharType="end"/>
      </w:r>
      <w:r w:rsidR="0097383B">
        <w:rPr>
          <w:rFonts w:ascii="Times New Roman" w:hAnsi="Times New Roman" w:cs="Times New Roman"/>
          <w:kern w:val="2"/>
          <w:szCs w:val="21"/>
          <w14:ligatures w14:val="standardContextual"/>
        </w:rPr>
        <w:fldChar w:fldCharType="separate"/>
      </w:r>
      <w:r w:rsidR="00F20BD6" w:rsidRPr="00F20BD6">
        <w:rPr>
          <w:rFonts w:ascii="Times New Roman" w:hAnsi="Times New Roman" w:cs="Times New Roman"/>
          <w:noProof/>
          <w:kern w:val="2"/>
          <w:szCs w:val="21"/>
          <w:vertAlign w:val="superscript"/>
          <w14:ligatures w14:val="standardContextual"/>
        </w:rPr>
        <w:t>2</w:t>
      </w:r>
      <w:r w:rsidR="0097383B">
        <w:rPr>
          <w:rFonts w:ascii="Times New Roman" w:hAnsi="Times New Roman" w:cs="Times New Roman"/>
          <w:kern w:val="2"/>
          <w:szCs w:val="21"/>
          <w14:ligatures w14:val="standardContextual"/>
        </w:rPr>
        <w:fldChar w:fldCharType="end"/>
      </w:r>
      <w:r w:rsidRPr="007B409D">
        <w:rPr>
          <w:rFonts w:ascii="Times New Roman" w:hAnsi="Times New Roman" w:cs="Times New Roman"/>
          <w:kern w:val="2"/>
          <w:szCs w:val="21"/>
          <w14:ligatures w14:val="standardContextual"/>
        </w:rPr>
        <w:t>. Only variants present in both datasets and passing study-specific quality control procedures were retained.</w:t>
      </w:r>
    </w:p>
    <w:p w14:paraId="1DCB47F9" w14:textId="77777777" w:rsidR="00282898" w:rsidRPr="007B409D" w:rsidRDefault="00000000" w:rsidP="007B409D">
      <w:pPr>
        <w:widowControl w:val="0"/>
        <w:spacing w:after="160" w:line="360" w:lineRule="auto"/>
        <w:jc w:val="both"/>
        <w:rPr>
          <w:rFonts w:ascii="Times New Roman" w:hAnsi="Times New Roman" w:cs="Times New Roman"/>
          <w:kern w:val="2"/>
          <w:szCs w:val="21"/>
          <w14:ligatures w14:val="standardContextual"/>
        </w:rPr>
      </w:pPr>
      <w:r w:rsidRPr="007B409D">
        <w:rPr>
          <w:rFonts w:ascii="Times New Roman" w:hAnsi="Times New Roman" w:cs="Times New Roman"/>
          <w:kern w:val="2"/>
          <w:szCs w:val="21"/>
          <w14:ligatures w14:val="standardContextual"/>
        </w:rPr>
        <w:t>Exposure and outcome datasets were harmonized to ensure that genetic effects referred to the same effect allele, and variants with ambiguous strand alignment were excluded. To avoid potential inflation of precision due to correlated instruments, we pruned variants for linkage disequilibrium using a European ancestry reference panel, retaining a single representative variant within each correlated locus. This process yielded a set of independent instruments for each protein.</w:t>
      </w:r>
    </w:p>
    <w:p w14:paraId="6BED7832" w14:textId="77777777" w:rsidR="00282898" w:rsidRPr="007B409D" w:rsidRDefault="00000000" w:rsidP="007B409D">
      <w:pPr>
        <w:widowControl w:val="0"/>
        <w:spacing w:after="160" w:line="360" w:lineRule="auto"/>
        <w:jc w:val="both"/>
        <w:rPr>
          <w:rFonts w:ascii="Times New Roman" w:hAnsi="Times New Roman" w:cs="Times New Roman"/>
          <w:kern w:val="2"/>
          <w:szCs w:val="21"/>
          <w14:ligatures w14:val="standardContextual"/>
        </w:rPr>
      </w:pPr>
      <w:r w:rsidRPr="007B409D">
        <w:rPr>
          <w:rFonts w:ascii="Times New Roman" w:hAnsi="Times New Roman" w:cs="Times New Roman"/>
          <w:kern w:val="2"/>
          <w:szCs w:val="21"/>
          <w14:ligatures w14:val="standardContextual"/>
        </w:rPr>
        <w:t>The primary causal estimates were obtained using inverse-variance weighted MR under a random-effects framework. Where sufficient instruments were available, complementary MR estimators were applied to examine robustness to potential horizontal pleiotropy. Instrument strength was evaluated using F statistics, and heterogeneity across instruments was examined. We also assessed causal direction using Steiger testing to ensure that the genetic variants explained more variance in the protein than in the FI. Protein–frailty associations that showed weak instruments or incorrect directionality were not considered interpretable.</w:t>
      </w:r>
    </w:p>
    <w:p w14:paraId="6BE02E5F" w14:textId="77777777" w:rsidR="00282898" w:rsidRPr="007B409D" w:rsidRDefault="00000000" w:rsidP="007B409D">
      <w:pPr>
        <w:widowControl w:val="0"/>
        <w:spacing w:after="160" w:line="360" w:lineRule="auto"/>
        <w:jc w:val="both"/>
        <w:rPr>
          <w:rFonts w:ascii="Times New Roman" w:hAnsi="Times New Roman" w:cs="Times New Roman"/>
          <w:kern w:val="2"/>
          <w:szCs w:val="21"/>
          <w14:ligatures w14:val="standardContextual"/>
        </w:rPr>
      </w:pPr>
      <w:r w:rsidRPr="007B409D">
        <w:rPr>
          <w:rFonts w:ascii="Times New Roman" w:hAnsi="Times New Roman" w:cs="Times New Roman"/>
          <w:kern w:val="2"/>
          <w:szCs w:val="21"/>
          <w14:ligatures w14:val="standardContextual"/>
        </w:rPr>
        <w:t>To account for proteome-wide testing, P values from the primary MR analyses were corrected using the false discovery rate. A protein was considered to display evidence consistent with a causal effect on frailty when the MR estimate remained statistically significant after FDR correction, the instruments demonstrated adequate strength, and the inferred direction was compatible with protein influencing frailty rather than the reverse. Associations that achieved nominal statistical significance but did not simultaneously satisfy all validity criteria were regarded as exploratory.</w:t>
      </w:r>
    </w:p>
    <w:p w14:paraId="714CB719" w14:textId="77777777" w:rsidR="0097383B" w:rsidRDefault="00000000" w:rsidP="007B409D">
      <w:pPr>
        <w:widowControl w:val="0"/>
        <w:spacing w:after="160" w:line="360" w:lineRule="auto"/>
        <w:jc w:val="both"/>
        <w:rPr>
          <w:rFonts w:ascii="Times New Roman" w:hAnsi="Times New Roman" w:cs="Times New Roman"/>
          <w:kern w:val="2"/>
          <w:szCs w:val="21"/>
          <w14:ligatures w14:val="standardContextual"/>
        </w:rPr>
      </w:pPr>
      <w:r w:rsidRPr="007B409D">
        <w:rPr>
          <w:rFonts w:ascii="Times New Roman" w:hAnsi="Times New Roman" w:cs="Times New Roman"/>
          <w:kern w:val="2"/>
          <w:szCs w:val="21"/>
          <w14:ligatures w14:val="standardContextual"/>
        </w:rPr>
        <w:t>All analyses were implemented in R using established Mendelian randomization software and standard workflows. The analytical code is available from the authors upon reasonable request.</w:t>
      </w:r>
      <w:bookmarkEnd w:id="0"/>
    </w:p>
    <w:p w14:paraId="0A967A08" w14:textId="77777777" w:rsidR="0097383B" w:rsidRDefault="0097383B" w:rsidP="007B409D">
      <w:pPr>
        <w:widowControl w:val="0"/>
        <w:spacing w:after="160" w:line="360" w:lineRule="auto"/>
        <w:jc w:val="both"/>
        <w:rPr>
          <w:rFonts w:ascii="Times New Roman" w:hAnsi="Times New Roman" w:cs="Times New Roman"/>
          <w:kern w:val="2"/>
          <w:szCs w:val="21"/>
          <w14:ligatures w14:val="standardContextual"/>
        </w:rPr>
      </w:pPr>
    </w:p>
    <w:p w14:paraId="3EB64C23" w14:textId="6FCB2DE6" w:rsidR="0097383B" w:rsidRPr="0097383B" w:rsidRDefault="0097383B" w:rsidP="0097383B">
      <w:pPr>
        <w:pStyle w:val="EndNoteBibliography"/>
        <w:rPr>
          <w:rFonts w:ascii="Times New Roman" w:hAnsi="Times New Roman" w:cs="Times New Roman"/>
          <w:b/>
          <w:bCs/>
          <w:kern w:val="2"/>
          <w:szCs w:val="21"/>
          <w14:ligatures w14:val="standardContextual"/>
        </w:rPr>
      </w:pPr>
      <w:r w:rsidRPr="0097383B">
        <w:rPr>
          <w:rFonts w:ascii="Times New Roman" w:hAnsi="Times New Roman" w:cs="Times New Roman" w:hint="eastAsia"/>
          <w:b/>
          <w:bCs/>
          <w:kern w:val="2"/>
          <w:szCs w:val="21"/>
          <w14:ligatures w14:val="standardContextual"/>
        </w:rPr>
        <w:lastRenderedPageBreak/>
        <w:t>Reference</w:t>
      </w:r>
    </w:p>
    <w:p w14:paraId="1130E3BC" w14:textId="77777777" w:rsidR="00F20BD6" w:rsidRPr="00F20BD6" w:rsidRDefault="0097383B" w:rsidP="00F20BD6">
      <w:pPr>
        <w:pStyle w:val="EndNoteBibliography"/>
        <w:rPr>
          <w:rFonts w:ascii="Times New Roman" w:hAnsi="Times New Roman" w:cs="Times New Roman"/>
        </w:rPr>
      </w:pPr>
      <w:r w:rsidRPr="00F20BD6">
        <w:rPr>
          <w:rFonts w:ascii="Times New Roman" w:hAnsi="Times New Roman" w:cs="Times New Roman"/>
          <w:kern w:val="2"/>
          <w:szCs w:val="21"/>
          <w14:ligatures w14:val="standardContextual"/>
        </w:rPr>
        <w:fldChar w:fldCharType="begin"/>
      </w:r>
      <w:r w:rsidRPr="00F20BD6">
        <w:rPr>
          <w:rFonts w:ascii="Times New Roman" w:hAnsi="Times New Roman" w:cs="Times New Roman"/>
          <w:kern w:val="2"/>
          <w:szCs w:val="21"/>
          <w14:ligatures w14:val="standardContextual"/>
        </w:rPr>
        <w:instrText xml:space="preserve"> ADDIN EN.REFLIST </w:instrText>
      </w:r>
      <w:r w:rsidRPr="00F20BD6">
        <w:rPr>
          <w:rFonts w:ascii="Times New Roman" w:hAnsi="Times New Roman" w:cs="Times New Roman"/>
          <w:kern w:val="2"/>
          <w:szCs w:val="21"/>
          <w14:ligatures w14:val="standardContextual"/>
        </w:rPr>
        <w:fldChar w:fldCharType="separate"/>
      </w:r>
      <w:r w:rsidR="00F20BD6" w:rsidRPr="00F20BD6">
        <w:rPr>
          <w:rFonts w:ascii="Times New Roman" w:hAnsi="Times New Roman" w:cs="Times New Roman"/>
        </w:rPr>
        <w:t>1.</w:t>
      </w:r>
      <w:r w:rsidR="00F20BD6" w:rsidRPr="00F20BD6">
        <w:rPr>
          <w:rFonts w:ascii="Times New Roman" w:hAnsi="Times New Roman" w:cs="Times New Roman"/>
        </w:rPr>
        <w:tab/>
        <w:t>Ferkingstad E, Sulem P, Atlason BA, Sveinbjornsson G, Magnusson MI, Styrmisdottir EL, et al. Large-scale integration of the plasma proteome with genetics and disease. Nat Genet. 2021;53(12):1712-21.</w:t>
      </w:r>
    </w:p>
    <w:p w14:paraId="0872A485" w14:textId="77777777" w:rsidR="00F20BD6" w:rsidRPr="00F20BD6" w:rsidRDefault="00F20BD6" w:rsidP="00F20BD6">
      <w:pPr>
        <w:pStyle w:val="EndNoteBibliography"/>
        <w:rPr>
          <w:rFonts w:ascii="Times New Roman" w:hAnsi="Times New Roman" w:cs="Times New Roman"/>
        </w:rPr>
      </w:pPr>
      <w:r w:rsidRPr="00F20BD6">
        <w:rPr>
          <w:rFonts w:ascii="Times New Roman" w:hAnsi="Times New Roman" w:cs="Times New Roman"/>
        </w:rPr>
        <w:t>2.</w:t>
      </w:r>
      <w:r w:rsidRPr="00F20BD6">
        <w:rPr>
          <w:rFonts w:ascii="Times New Roman" w:hAnsi="Times New Roman" w:cs="Times New Roman"/>
        </w:rPr>
        <w:tab/>
        <w:t>Atkins JL, Jylhävä J, Pedersen NL, Magnusson PK, Lu Y, Wang Y, et al. A genome-wide association study of the frailty index highlights brain pathways in ageing. Aging Cell. 2021;20(9):e13459.</w:t>
      </w:r>
    </w:p>
    <w:p w14:paraId="20B9A702" w14:textId="7C6D4EBD" w:rsidR="007B409D" w:rsidRPr="007B409D" w:rsidRDefault="0097383B" w:rsidP="007B409D">
      <w:pPr>
        <w:widowControl w:val="0"/>
        <w:spacing w:after="160" w:line="360" w:lineRule="auto"/>
        <w:jc w:val="both"/>
        <w:rPr>
          <w:rFonts w:ascii="Times New Roman" w:hAnsi="Times New Roman" w:cs="Times New Roman"/>
          <w:kern w:val="2"/>
          <w:szCs w:val="21"/>
          <w14:ligatures w14:val="standardContextual"/>
        </w:rPr>
      </w:pPr>
      <w:r w:rsidRPr="00F20BD6">
        <w:rPr>
          <w:rFonts w:ascii="Times New Roman" w:hAnsi="Times New Roman" w:cs="Times New Roman"/>
          <w:kern w:val="2"/>
          <w:szCs w:val="21"/>
          <w14:ligatures w14:val="standardContextual"/>
        </w:rPr>
        <w:fldChar w:fldCharType="end"/>
      </w:r>
    </w:p>
    <w:sectPr w:rsidR="007B409D" w:rsidRPr="007B409D">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proofState w:spelling="clean" w:grammar="clean"/>
  <w:defaultTabStop w:val="720"/>
  <w:drawingGridVerticalSpacing w:val="156"/>
  <w:noPunctuationKerning/>
  <w:characterSpacingControl w:val="doNotCompress"/>
  <w:compat>
    <w:spaceForUL/>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aw99radaswdrsevxrhvw9rne050xrp0d2rs&quot;&gt;My EndNote Library&lt;record-ids&gt;&lt;item&gt;882&lt;/item&gt;&lt;item&gt;883&lt;/item&gt;&lt;/record-ids&gt;&lt;/item&gt;&lt;/Libraries&gt;"/>
  </w:docVars>
  <w:rsids>
    <w:rsidRoot w:val="1F36F02D"/>
    <w:rsid w:val="00066FD7"/>
    <w:rsid w:val="000A2B92"/>
    <w:rsid w:val="00282898"/>
    <w:rsid w:val="007B409D"/>
    <w:rsid w:val="0097383B"/>
    <w:rsid w:val="00DA60E3"/>
    <w:rsid w:val="00E57136"/>
    <w:rsid w:val="00F20BD6"/>
    <w:rsid w:val="1F36F0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3935E3"/>
  <w15:docId w15:val="{9DA8BB63-2612-4B0B-BCD8-D0FA1C008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rFonts w:asciiTheme="minorHAnsi" w:eastAsiaTheme="minorEastAsia" w:hAnsiTheme="minorHAnsi" w:cstheme="minorBidi"/>
    </w:rPr>
  </w:style>
  <w:style w:type="paragraph" w:styleId="2">
    <w:name w:val="heading 2"/>
    <w:next w:val="a"/>
    <w:semiHidden/>
    <w:unhideWhenUsed/>
    <w:qFormat/>
    <w:pPr>
      <w:spacing w:beforeAutospacing="1" w:afterAutospacing="1"/>
      <w:outlineLvl w:val="1"/>
    </w:pPr>
    <w:rPr>
      <w:rFonts w:ascii="宋体" w:hAnsi="宋体" w:hint="eastAsia"/>
      <w:b/>
      <w:bCs/>
      <w:sz w:val="36"/>
      <w:szCs w:val="3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style>
  <w:style w:type="paragraph" w:styleId="a4">
    <w:name w:val="Normal (Web)"/>
    <w:pPr>
      <w:spacing w:beforeAutospacing="1" w:afterAutospacing="1"/>
    </w:pPr>
    <w:rPr>
      <w:sz w:val="24"/>
      <w:szCs w:val="24"/>
    </w:rPr>
  </w:style>
  <w:style w:type="character" w:styleId="a5">
    <w:name w:val="annotation reference"/>
    <w:basedOn w:val="a0"/>
    <w:rPr>
      <w:sz w:val="21"/>
      <w:szCs w:val="21"/>
    </w:rPr>
  </w:style>
  <w:style w:type="paragraph" w:customStyle="1" w:styleId="EndNoteBibliographyTitle">
    <w:name w:val="EndNote Bibliography Title"/>
    <w:basedOn w:val="a"/>
    <w:link w:val="EndNoteBibliographyTitle0"/>
    <w:rsid w:val="0097383B"/>
    <w:pPr>
      <w:jc w:val="center"/>
    </w:pPr>
    <w:rPr>
      <w:rFonts w:ascii="Calibri" w:hAnsi="Calibri" w:cs="Calibri"/>
      <w:noProof/>
    </w:rPr>
  </w:style>
  <w:style w:type="character" w:customStyle="1" w:styleId="EndNoteBibliographyTitle0">
    <w:name w:val="EndNote Bibliography Title 字符"/>
    <w:basedOn w:val="a0"/>
    <w:link w:val="EndNoteBibliographyTitle"/>
    <w:rsid w:val="0097383B"/>
    <w:rPr>
      <w:rFonts w:ascii="Calibri" w:eastAsiaTheme="minorEastAsia" w:hAnsi="Calibri" w:cs="Calibri"/>
      <w:noProof/>
    </w:rPr>
  </w:style>
  <w:style w:type="paragraph" w:customStyle="1" w:styleId="EndNoteBibliography">
    <w:name w:val="EndNote Bibliography"/>
    <w:basedOn w:val="a"/>
    <w:link w:val="EndNoteBibliography0"/>
    <w:rsid w:val="0097383B"/>
    <w:pPr>
      <w:jc w:val="both"/>
    </w:pPr>
    <w:rPr>
      <w:rFonts w:ascii="Calibri" w:hAnsi="Calibri" w:cs="Calibri"/>
      <w:noProof/>
    </w:rPr>
  </w:style>
  <w:style w:type="character" w:customStyle="1" w:styleId="EndNoteBibliography0">
    <w:name w:val="EndNote Bibliography 字符"/>
    <w:basedOn w:val="a0"/>
    <w:link w:val="EndNoteBibliography"/>
    <w:rsid w:val="0097383B"/>
    <w:rPr>
      <w:rFonts w:ascii="Calibri" w:eastAsiaTheme="minorEastAsia" w:hAnsi="Calibri" w:cs="Calibr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553</Words>
  <Characters>3155</Characters>
  <Application>Microsoft Office Word</Application>
  <DocSecurity>0</DocSecurity>
  <Lines>26</Lines>
  <Paragraphs>7</Paragraphs>
  <ScaleCrop>false</ScaleCrop>
  <Company/>
  <LinksUpToDate>false</LinksUpToDate>
  <CharactersWithSpaces>3701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胡振生</dc:creator>
  <cp:lastModifiedBy>嘉堂 徐</cp:lastModifiedBy>
  <cp:revision>5</cp:revision>
  <dcterms:created xsi:type="dcterms:W3CDTF">2026-01-04T17:44:00Z</dcterms:created>
  <dcterms:modified xsi:type="dcterms:W3CDTF">2026-01-13T13:23:00Z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1033-12.1.24031.24031</vt:lpwstr>
  </property>
  <property fmtid="{D5CDD505-2E9C-101B-9397-08002B2CF9AE}" pid="3" name="ICV">
    <vt:lpwstr>B300DA59F2E877B36C365A6923DA97FD_41</vt:lpwstr>
  </property>
</Properties>
</file>