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5BC1" w14:textId="77777777" w:rsidR="008E66AA" w:rsidRPr="00385A96" w:rsidRDefault="008E66AA" w:rsidP="008E66AA">
      <w:pPr>
        <w:spacing w:line="480" w:lineRule="auto"/>
        <w:jc w:val="both"/>
        <w:rPr>
          <w:b/>
          <w:bCs/>
        </w:rPr>
      </w:pPr>
      <w:r w:rsidRPr="00385A96">
        <w:rPr>
          <w:b/>
          <w:bCs/>
        </w:rPr>
        <w:t>Supplementary Figure 1. External validation of BUN/Cr, BUN, creatinine, and survival patterns in MIMIC-III CareVue and NWICU.</w:t>
      </w:r>
    </w:p>
    <w:p w14:paraId="0196D841" w14:textId="77777777" w:rsidR="008E66AA" w:rsidRDefault="008E66AA" w:rsidP="008E66AA">
      <w:pPr>
        <w:spacing w:line="480" w:lineRule="auto"/>
        <w:jc w:val="both"/>
      </w:pPr>
      <w:r w:rsidRPr="00385A96">
        <w:t>Panels show BUN/Cr, BUN, and creatinine trajectories during days 1-7 after ICU admission and Kaplan-Meier survival curves through day 28 in the two additional validation cohorts.</w:t>
      </w:r>
    </w:p>
    <w:p w14:paraId="12F2E0A0" w14:textId="77777777" w:rsidR="008E66AA" w:rsidRPr="00385A96" w:rsidRDefault="008E66AA" w:rsidP="008E66AA">
      <w:pPr>
        <w:spacing w:line="480" w:lineRule="auto"/>
        <w:jc w:val="both"/>
      </w:pPr>
      <w:r w:rsidRPr="00385A96">
        <w:rPr>
          <w:b/>
          <w:bCs/>
          <w:i/>
          <w:iCs/>
        </w:rPr>
        <w:t>Abbreviations:</w:t>
      </w:r>
      <w:r w:rsidRPr="00385A96">
        <w:t> BUN, blood urea nitrogen; BUN/Cr, blood urea nitrogen-to-creatinine ratio; ICU, intensive care unit; MIMIC-III CareVue, MIMIC-III Clinical Database CareVue subset; NWICU, Northwestern ICU database.</w:t>
      </w:r>
    </w:p>
    <w:p w14:paraId="0AA017A5" w14:textId="77777777" w:rsidR="008E66AA" w:rsidRPr="00385A96" w:rsidRDefault="008E66AA" w:rsidP="008E66AA">
      <w:pPr>
        <w:spacing w:line="480" w:lineRule="auto"/>
        <w:jc w:val="both"/>
        <w:rPr>
          <w:b/>
          <w:bCs/>
        </w:rPr>
      </w:pPr>
      <w:r w:rsidRPr="00385A96">
        <w:rPr>
          <w:b/>
          <w:bCs/>
        </w:rPr>
        <w:t>Supplementary Figure 2. Day-7 landmark survival analysis across cohorts.</w:t>
      </w:r>
    </w:p>
    <w:p w14:paraId="3AB7D8CA" w14:textId="77777777" w:rsidR="008E66AA" w:rsidRDefault="008E66AA" w:rsidP="008E66AA">
      <w:pPr>
        <w:spacing w:line="480" w:lineRule="auto"/>
        <w:jc w:val="both"/>
      </w:pPr>
      <w:r w:rsidRPr="00385A96">
        <w:t>Landmark Kaplan-Meier curves compare post-landmark survival from day 7 to day 28 across BUN/Cr trajectory classes in MIMIC-IV, eICU, MIMIC-III CareVue, and NWICU. Patients who died before or on day 7 were excluded from the post-landmark analysis.</w:t>
      </w:r>
    </w:p>
    <w:p w14:paraId="3A049649" w14:textId="77777777" w:rsidR="008E66AA" w:rsidRPr="00385A96" w:rsidRDefault="008E66AA" w:rsidP="008E66AA">
      <w:pPr>
        <w:spacing w:line="480" w:lineRule="auto"/>
        <w:jc w:val="both"/>
      </w:pPr>
      <w:r w:rsidRPr="00385A96">
        <w:rPr>
          <w:b/>
          <w:bCs/>
          <w:i/>
          <w:iCs/>
        </w:rPr>
        <w:t>Abbreviations: </w:t>
      </w:r>
      <w:r w:rsidRPr="00385A96">
        <w:t>BUN/Cr, blood urea nitrogen-to-creatinine ratio; eICU, eICU Collaborative Research Database; ICU, intensive care unit; MIMIC-III CareVue, MIMIC-III Clinical Database CareVue subset; MIMIC-IV, Medical Information Mart for Intensive Care IV; NWICU, Northwestern ICU database.</w:t>
      </w:r>
    </w:p>
    <w:p w14:paraId="5D064908" w14:textId="77777777" w:rsidR="008E66AA" w:rsidRPr="000F3A86" w:rsidRDefault="008E66AA" w:rsidP="008E66AA">
      <w:pPr>
        <w:spacing w:line="480" w:lineRule="auto"/>
        <w:jc w:val="both"/>
        <w:rPr>
          <w:b/>
          <w:bCs/>
        </w:rPr>
      </w:pPr>
      <w:r w:rsidRPr="000F3A86">
        <w:rPr>
          <w:b/>
          <w:bCs/>
        </w:rPr>
        <w:t>Table 1. Baseline characteristics of the MIMIC-IV development cohort according to BUN/Cr trajectory class.</w:t>
      </w:r>
    </w:p>
    <w:p w14:paraId="552CA1EE" w14:textId="77777777" w:rsidR="008E66AA" w:rsidRDefault="008E66AA" w:rsidP="008E66AA">
      <w:pPr>
        <w:spacing w:line="480" w:lineRule="auto"/>
        <w:jc w:val="both"/>
      </w:pPr>
      <w:r w:rsidRPr="00385A96">
        <w:t>Continuous variables are summarized as medians with interquartile ranges, and categorical variables as counts and percentages. P values compare characteristics across trajectory classes. Standardized mean differences compare Class 2, Class 3, and Class 4 with Class 1.</w:t>
      </w:r>
    </w:p>
    <w:p w14:paraId="2C4D0220" w14:textId="77777777" w:rsidR="008E66AA" w:rsidRPr="00385A96" w:rsidRDefault="008E66AA" w:rsidP="008E66AA">
      <w:pPr>
        <w:spacing w:line="480" w:lineRule="auto"/>
        <w:jc w:val="both"/>
      </w:pPr>
      <w:r w:rsidRPr="00385A96">
        <w:rPr>
          <w:b/>
          <w:bCs/>
          <w:i/>
          <w:iCs/>
        </w:rPr>
        <w:t>Abbreviations:</w:t>
      </w:r>
      <w:r w:rsidRPr="00385A96">
        <w:t> AKI, acute kidney injury; BUN, blood urea nitrogen; BUN/Cr, blood urea nitrogen-to-creatinine ratio; CABG, coronary artery bypass grafting; CHD, coronary heart disease; CKD, chronic kidney disease; GCS, Glasgow Coma Scale; ICU, intensive care unit; IQR, interquartile range; MIMIC-IV, Medical Information Mart for Intensive Care IV; OASIS, Oxford Acute Severity of Illness Score; PCI, percutaneous coronary intervention; PiCCO, pulse index continuous cardiac output; RRT, renal replacement therapy; SMD, standardized mean difference; SOFA, Sequential Organ Failure Assessment.</w:t>
      </w:r>
    </w:p>
    <w:p w14:paraId="21575739" w14:textId="77777777" w:rsidR="008E66AA" w:rsidRDefault="008E66AA" w:rsidP="008E66AA">
      <w:pPr>
        <w:spacing w:line="480" w:lineRule="auto"/>
        <w:jc w:val="both"/>
      </w:pPr>
      <w:r w:rsidRPr="000F3A86">
        <w:rPr>
          <w:b/>
          <w:bCs/>
        </w:rPr>
        <w:lastRenderedPageBreak/>
        <w:t>Table 2. Association between BUN/Cr trajectory classes and 28-day all-cause mortality across cohorts.</w:t>
      </w:r>
      <w:r w:rsidRPr="000F3A86">
        <w:rPr>
          <w:b/>
          <w:bCs/>
        </w:rPr>
        <w:br/>
      </w:r>
      <w:r w:rsidRPr="000F3A86">
        <w:t xml:space="preserve">Model 1 was unadjusted. </w:t>
      </w:r>
    </w:p>
    <w:p w14:paraId="2EB9F821" w14:textId="77777777" w:rsidR="008E66AA" w:rsidRDefault="008E66AA" w:rsidP="008E66AA">
      <w:pPr>
        <w:spacing w:line="480" w:lineRule="auto"/>
        <w:jc w:val="both"/>
      </w:pPr>
      <w:r w:rsidRPr="000F3A86">
        <w:t xml:space="preserve">Model 2 was adjusted for age, sex, and race. </w:t>
      </w:r>
    </w:p>
    <w:p w14:paraId="2F70DC56" w14:textId="77777777" w:rsidR="008E66AA" w:rsidRDefault="008E66AA" w:rsidP="008E66AA">
      <w:pPr>
        <w:spacing w:line="480" w:lineRule="auto"/>
        <w:jc w:val="both"/>
      </w:pPr>
      <w:r w:rsidRPr="000F3A86">
        <w:t>Model 3 was further adjusted for age, sex, race, SOFA score, OASIS score, Glasgow Coma Scale score, Charlson comorbidity index, hypertension, diabetes mellitus, chronic obstructive pulmonary disease, stroke, liver disease, chronic kidney disease, acute kidney injury, upper gastrointestinal bleeding, coronary heart disease, acute myocardial infarction, atrial fibrillation, cardiomyopathy, cardiogenic shock, minimum mean arterial pressure, minimum systolic blood pressure, minimum oxygen saturation, maximum heart rate, maximum respiratory rate, maximum temperature, hemoglobin, white blood cell count, platelet count, creatinine, international normalized ratio, activated partial thromboplastin time, pH, lactate, bicarbonate, sodium, potassium, calcium, chloride, coronary artery bypass grafting, percutaneous coronary intervention, intra-aortic balloon pump, PiCCO monitoring, mechanical ventilation, renal replacement therapy, vasopressor use, and albumin use within the first 24 h after ICU admission.</w:t>
      </w:r>
    </w:p>
    <w:p w14:paraId="17C19A9F" w14:textId="77777777" w:rsidR="008E66AA" w:rsidRPr="000F3A86" w:rsidRDefault="008E66AA" w:rsidP="008E66AA">
      <w:pPr>
        <w:spacing w:line="480" w:lineRule="auto"/>
        <w:jc w:val="both"/>
      </w:pPr>
      <w:r w:rsidRPr="000F3A86">
        <w:rPr>
          <w:b/>
          <w:bCs/>
          <w:i/>
          <w:iCs/>
        </w:rPr>
        <w:t>Abbreviations: </w:t>
      </w:r>
      <w:r w:rsidRPr="000F3A86">
        <w:t>APTT, activated partial thromboplastin time;</w:t>
      </w:r>
      <w:r>
        <w:rPr>
          <w:rFonts w:hint="eastAsia"/>
        </w:rPr>
        <w:t xml:space="preserve"> </w:t>
      </w:r>
      <w:r w:rsidRPr="000F3A86">
        <w:t>BUN/Cr, blood urea nitrogen-to-creatinine ratio; CABG, coronary artery bypass grafting; CI, confidence interval; GCS, Glasgow Coma Scale; HR, hazard ratio; ICU, intensive care unit; IABP, intra-aortic balloon pump; INR, international normalized ratio; OASIS, Oxford Acute Severity of Illness Score; PCI, percutaneous coronary intervention; PiCCO, pulse index continuous cardiac output; RRT, renal replacement therapy; SOFA, Sequential Organ Failure Assessment.</w:t>
      </w:r>
    </w:p>
    <w:p w14:paraId="79559542" w14:textId="77777777" w:rsidR="008E66AA" w:rsidRPr="00385A96" w:rsidRDefault="008E66AA" w:rsidP="008E66AA">
      <w:pPr>
        <w:spacing w:line="480" w:lineRule="auto"/>
        <w:jc w:val="both"/>
        <w:rPr>
          <w:b/>
          <w:bCs/>
        </w:rPr>
      </w:pPr>
      <w:r w:rsidRPr="00385A96">
        <w:rPr>
          <w:b/>
          <w:bCs/>
        </w:rPr>
        <w:t>Supplementary Table 1. Model-fit and classification metrics for candidate BUN/Cr trajectory models in the MIMIC-IV development cohort.</w:t>
      </w:r>
    </w:p>
    <w:p w14:paraId="634BFA76" w14:textId="77777777" w:rsidR="008E66AA" w:rsidRDefault="008E66AA" w:rsidP="008E66AA">
      <w:pPr>
        <w:spacing w:line="480" w:lineRule="auto"/>
        <w:jc w:val="both"/>
      </w:pPr>
      <w:r w:rsidRPr="00385A96">
        <w:t>Metrics include information criteria, average posterior probability, odds of correct classification, and class proportions.</w:t>
      </w:r>
    </w:p>
    <w:p w14:paraId="74D479E0" w14:textId="77777777" w:rsidR="008E66AA" w:rsidRPr="00385A96" w:rsidRDefault="008E66AA" w:rsidP="008E66AA">
      <w:pPr>
        <w:spacing w:line="480" w:lineRule="auto"/>
        <w:jc w:val="both"/>
      </w:pPr>
      <w:r w:rsidRPr="00385A96">
        <w:rPr>
          <w:b/>
          <w:bCs/>
          <w:i/>
          <w:iCs/>
        </w:rPr>
        <w:t>Abbreviations: </w:t>
      </w:r>
      <w:r w:rsidRPr="00385A96">
        <w:t xml:space="preserve">AIC, Akaike information criterion; AvePP, average posterior probability; BIC, Bayesian information criterion; BUN/Cr, blood urea nitrogen-to-creatinine ratio; CAIC, consistent Akaike </w:t>
      </w:r>
      <w:r w:rsidRPr="00385A96">
        <w:lastRenderedPageBreak/>
        <w:t>information criterion; HQIC, Hannan-Quinn information criterion; MIMIC-IV, Medical Information Mart for Intensive Care IV; OCC, odds of correct classification; SSBIC, sample-size-adjusted Bayesian information criterion.</w:t>
      </w:r>
    </w:p>
    <w:p w14:paraId="16546DA1" w14:textId="77777777" w:rsidR="008E66AA" w:rsidRPr="00301F82" w:rsidRDefault="008E66AA" w:rsidP="008E66AA">
      <w:pPr>
        <w:spacing w:line="480" w:lineRule="auto"/>
        <w:jc w:val="both"/>
        <w:rPr>
          <w:b/>
          <w:bCs/>
        </w:rPr>
      </w:pPr>
      <w:r w:rsidRPr="00301F82">
        <w:rPr>
          <w:b/>
          <w:bCs/>
        </w:rPr>
        <w:t>Supplementary Table 2. Association between BUN/Cr trajectory classes and in-hospital mortality.</w:t>
      </w:r>
    </w:p>
    <w:p w14:paraId="3FFE78A7" w14:textId="77777777" w:rsidR="008E66AA" w:rsidRPr="00301F82" w:rsidRDefault="008E66AA" w:rsidP="008E66AA">
      <w:pPr>
        <w:spacing w:line="480" w:lineRule="auto"/>
        <w:jc w:val="both"/>
      </w:pPr>
      <w:r w:rsidRPr="00301F82">
        <w:t xml:space="preserve">Odds ratios and 95% confidence intervals were estimated using logistic regression models, with Class 3 as the reference group. Model 1 was unadjusted. </w:t>
      </w:r>
      <w:r w:rsidRPr="000F3A86">
        <w:t>Model 2 was adjusted for age, sex, and race</w:t>
      </w:r>
      <w:r w:rsidRPr="00301F82">
        <w:t>. Model 3 was adjusted for the same full covariate set as Table 2, including demographic characteristics, illness severity scores, comorbidities, vital signs, laboratory variables, cardiovascular interventions, organ-support therapies, vasopressor use, and albumin use within the first 24 h after ICU admission.</w:t>
      </w:r>
    </w:p>
    <w:p w14:paraId="20677D3B" w14:textId="77777777" w:rsidR="008E66AA" w:rsidRPr="00301F82" w:rsidRDefault="008E66AA" w:rsidP="008E66AA">
      <w:pPr>
        <w:spacing w:line="480" w:lineRule="auto"/>
        <w:jc w:val="both"/>
      </w:pPr>
      <w:r w:rsidRPr="00301F82">
        <w:rPr>
          <w:b/>
          <w:bCs/>
          <w:i/>
          <w:iCs/>
        </w:rPr>
        <w:t>Abbreviations: </w:t>
      </w:r>
      <w:r w:rsidRPr="00301F82">
        <w:t>BUN/Cr, blood urea nitrogen-to-creatinine ratio; CI, confidence interval; OR, odds ratio.</w:t>
      </w:r>
    </w:p>
    <w:p w14:paraId="3D3BFCC0" w14:textId="77777777" w:rsidR="008E66AA" w:rsidRDefault="008E66AA" w:rsidP="008E66AA">
      <w:pPr>
        <w:spacing w:line="480" w:lineRule="auto"/>
        <w:jc w:val="both"/>
        <w:rPr>
          <w:b/>
          <w:bCs/>
        </w:rPr>
      </w:pPr>
      <w:r w:rsidRPr="00301F82">
        <w:rPr>
          <w:b/>
          <w:bCs/>
        </w:rPr>
        <w:t>Supplementary Table 3. Day-7 landmark Cox regression analysis of BUN/Cr trajectory classes and post-landmark mortality.</w:t>
      </w:r>
    </w:p>
    <w:p w14:paraId="415C340E" w14:textId="77777777" w:rsidR="008E66AA" w:rsidRPr="00301F82" w:rsidRDefault="008E66AA" w:rsidP="008E66AA">
      <w:pPr>
        <w:spacing w:line="480" w:lineRule="auto"/>
        <w:jc w:val="both"/>
      </w:pPr>
      <w:r w:rsidRPr="00301F82">
        <w:t xml:space="preserve">Patients who were alive and event-free at day 7 were retained for the landmark analysis. Follow-up began at day 7 and ended at day 28. Hazard ratios and 95% confidence intervals were estimated using Cox proportional hazards models, with Class 3 as the reference group. Model 1 was unadjusted. </w:t>
      </w:r>
      <w:r w:rsidRPr="000F3A86">
        <w:t xml:space="preserve">Model 2 was adjusted for age, sex, and race. </w:t>
      </w:r>
      <w:r w:rsidRPr="00301F82">
        <w:t>Model 3 was adjusted for the same full covariate set as Table 2.</w:t>
      </w:r>
    </w:p>
    <w:p w14:paraId="0945E2EB" w14:textId="77777777" w:rsidR="008E66AA" w:rsidRPr="00385A96" w:rsidRDefault="008E66AA" w:rsidP="008E66AA">
      <w:pPr>
        <w:spacing w:line="480" w:lineRule="auto"/>
        <w:jc w:val="both"/>
      </w:pPr>
      <w:r w:rsidRPr="00301F82">
        <w:rPr>
          <w:b/>
          <w:bCs/>
          <w:i/>
          <w:iCs/>
        </w:rPr>
        <w:t>Abbreviations: </w:t>
      </w:r>
      <w:r w:rsidRPr="00301F82">
        <w:t>BUN/Cr, blood urea nitrogen-to-creatinine ratio; CI, confidence interval; HR, hazard ratio.</w:t>
      </w:r>
    </w:p>
    <w:p w14:paraId="43B051CA" w14:textId="77777777" w:rsidR="008B07A6" w:rsidRDefault="008B07A6"/>
    <w:sectPr w:rsidR="008B07A6" w:rsidSect="008E66AA">
      <w:footerReference w:type="default" r:id="rId4"/>
      <w:pgSz w:w="12240" w:h="15840"/>
      <w:pgMar w:top="1440" w:right="1440" w:bottom="1440" w:left="1440" w:header="720" w:footer="720" w:gutter="0"/>
      <w:lnNumType w:countBy="1"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093674"/>
      <w:docPartObj>
        <w:docPartGallery w:val="Page Numbers (Bottom of Page)"/>
        <w:docPartUnique/>
      </w:docPartObj>
    </w:sdtPr>
    <w:sdtContent>
      <w:p w14:paraId="591EFF13" w14:textId="77777777" w:rsidR="008E66AA" w:rsidRDefault="008E66AA">
        <w:pPr>
          <w:pStyle w:val="Footer"/>
          <w:jc w:val="right"/>
        </w:pPr>
        <w:r>
          <w:fldChar w:fldCharType="begin"/>
        </w:r>
        <w:r>
          <w:instrText>PAGE   \* MERGEFORMAT</w:instrText>
        </w:r>
        <w:r>
          <w:fldChar w:fldCharType="separate"/>
        </w:r>
        <w:r>
          <w:rPr>
            <w:lang w:val="zh-CN"/>
          </w:rPr>
          <w:t>2</w:t>
        </w:r>
        <w:r>
          <w:fldChar w:fldCharType="end"/>
        </w:r>
      </w:p>
    </w:sdtContent>
  </w:sdt>
  <w:p w14:paraId="152C7477" w14:textId="77777777" w:rsidR="008E66AA" w:rsidRDefault="008E66A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AA"/>
    <w:rsid w:val="00066677"/>
    <w:rsid w:val="00153A17"/>
    <w:rsid w:val="001A37F3"/>
    <w:rsid w:val="003A4E89"/>
    <w:rsid w:val="00556784"/>
    <w:rsid w:val="008B07A6"/>
    <w:rsid w:val="008E66AA"/>
    <w:rsid w:val="0097029A"/>
    <w:rsid w:val="00987B63"/>
    <w:rsid w:val="00A234E6"/>
    <w:rsid w:val="00AD1BC9"/>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FB17"/>
  <w15:chartTrackingRefBased/>
  <w15:docId w15:val="{129ADA15-B784-439E-9FFC-38585FBD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AA"/>
    <w:pPr>
      <w:spacing w:after="0" w:line="240" w:lineRule="auto"/>
    </w:pPr>
    <w:rPr>
      <w:rFonts w:ascii="Times New Roman" w:eastAsiaTheme="minorEastAsia" w:hAnsi="Times New Roman"/>
      <w:sz w:val="22"/>
      <w:szCs w:val="22"/>
      <w:lang w:eastAsia="zh-CN"/>
    </w:rPr>
  </w:style>
  <w:style w:type="paragraph" w:styleId="Heading1">
    <w:name w:val="heading 1"/>
    <w:basedOn w:val="Normal"/>
    <w:next w:val="Normal"/>
    <w:link w:val="Heading1Char"/>
    <w:uiPriority w:val="9"/>
    <w:qFormat/>
    <w:rsid w:val="008E66A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8E66A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8E66AA"/>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E66AA"/>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8E66AA"/>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8E66AA"/>
    <w:pPr>
      <w:keepNext/>
      <w:keepLines/>
      <w:spacing w:before="40" w:line="278" w:lineRule="auto"/>
      <w:outlineLvl w:val="5"/>
    </w:pPr>
    <w:rPr>
      <w:rFonts w:asciiTheme="minorHAnsi" w:eastAsiaTheme="majorEastAsia" w:hAnsiTheme="minorHAnsi"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8E66AA"/>
    <w:pPr>
      <w:keepNext/>
      <w:keepLines/>
      <w:spacing w:before="40" w:line="278" w:lineRule="auto"/>
      <w:outlineLvl w:val="6"/>
    </w:pPr>
    <w:rPr>
      <w:rFonts w:asciiTheme="minorHAnsi" w:eastAsiaTheme="majorEastAsia" w:hAnsiTheme="minorHAnsi"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8E66AA"/>
    <w:pPr>
      <w:keepNext/>
      <w:keepLines/>
      <w:spacing w:line="278" w:lineRule="auto"/>
      <w:outlineLvl w:val="7"/>
    </w:pPr>
    <w:rPr>
      <w:rFonts w:asciiTheme="minorHAnsi" w:eastAsiaTheme="majorEastAsia" w:hAnsiTheme="minorHAnsi"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8E66AA"/>
    <w:pPr>
      <w:keepNext/>
      <w:keepLines/>
      <w:spacing w:line="278" w:lineRule="auto"/>
      <w:outlineLvl w:val="8"/>
    </w:pPr>
    <w:rPr>
      <w:rFonts w:asciiTheme="minorHAnsi" w:eastAsiaTheme="majorEastAsia" w:hAnsiTheme="minorHAnsi"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6AA"/>
    <w:rPr>
      <w:rFonts w:eastAsiaTheme="majorEastAsia" w:cstheme="majorBidi"/>
      <w:color w:val="272727" w:themeColor="text1" w:themeTint="D8"/>
    </w:rPr>
  </w:style>
  <w:style w:type="paragraph" w:styleId="Title">
    <w:name w:val="Title"/>
    <w:basedOn w:val="Normal"/>
    <w:next w:val="Normal"/>
    <w:link w:val="TitleChar"/>
    <w:uiPriority w:val="10"/>
    <w:qFormat/>
    <w:rsid w:val="008E66AA"/>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E6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6AA"/>
    <w:pPr>
      <w:numPr>
        <w:ilvl w:val="1"/>
      </w:numPr>
      <w:spacing w:after="160" w:line="278"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E6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6AA"/>
    <w:pPr>
      <w:spacing w:before="160" w:after="160" w:line="278" w:lineRule="auto"/>
      <w:jc w:val="center"/>
    </w:pPr>
    <w:rPr>
      <w:rFonts w:asciiTheme="minorHAnsi" w:eastAsiaTheme="minorHAnsi" w:hAnsi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8E66AA"/>
    <w:rPr>
      <w:i/>
      <w:iCs/>
      <w:color w:val="404040" w:themeColor="text1" w:themeTint="BF"/>
    </w:rPr>
  </w:style>
  <w:style w:type="paragraph" w:styleId="ListParagraph">
    <w:name w:val="List Paragraph"/>
    <w:basedOn w:val="Normal"/>
    <w:uiPriority w:val="34"/>
    <w:qFormat/>
    <w:rsid w:val="008E66AA"/>
    <w:pPr>
      <w:spacing w:after="160" w:line="278" w:lineRule="auto"/>
      <w:ind w:left="720"/>
      <w:contextualSpacing/>
    </w:pPr>
    <w:rPr>
      <w:rFonts w:asciiTheme="minorHAnsi" w:eastAsiaTheme="minorHAnsi" w:hAnsiTheme="minorHAnsi"/>
      <w:sz w:val="24"/>
      <w:szCs w:val="24"/>
      <w:lang w:eastAsia="en-US"/>
    </w:rPr>
  </w:style>
  <w:style w:type="character" w:styleId="IntenseEmphasis">
    <w:name w:val="Intense Emphasis"/>
    <w:basedOn w:val="DefaultParagraphFont"/>
    <w:uiPriority w:val="21"/>
    <w:qFormat/>
    <w:rsid w:val="008E66AA"/>
    <w:rPr>
      <w:i/>
      <w:iCs/>
      <w:color w:val="0F4761" w:themeColor="accent1" w:themeShade="BF"/>
    </w:rPr>
  </w:style>
  <w:style w:type="paragraph" w:styleId="IntenseQuote">
    <w:name w:val="Intense Quote"/>
    <w:basedOn w:val="Normal"/>
    <w:next w:val="Normal"/>
    <w:link w:val="IntenseQuoteChar"/>
    <w:uiPriority w:val="30"/>
    <w:qFormat/>
    <w:rsid w:val="008E66A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8E66AA"/>
    <w:rPr>
      <w:i/>
      <w:iCs/>
      <w:color w:val="0F4761" w:themeColor="accent1" w:themeShade="BF"/>
    </w:rPr>
  </w:style>
  <w:style w:type="character" w:styleId="IntenseReference">
    <w:name w:val="Intense Reference"/>
    <w:basedOn w:val="DefaultParagraphFont"/>
    <w:uiPriority w:val="32"/>
    <w:qFormat/>
    <w:rsid w:val="008E66AA"/>
    <w:rPr>
      <w:b/>
      <w:bCs/>
      <w:smallCaps/>
      <w:color w:val="0F4761" w:themeColor="accent1" w:themeShade="BF"/>
      <w:spacing w:val="5"/>
    </w:rPr>
  </w:style>
  <w:style w:type="paragraph" w:styleId="Footer">
    <w:name w:val="footer"/>
    <w:basedOn w:val="Normal"/>
    <w:link w:val="FooterChar"/>
    <w:uiPriority w:val="99"/>
    <w:unhideWhenUsed/>
    <w:rsid w:val="008E66A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8E66AA"/>
    <w:rPr>
      <w:rFonts w:ascii="Times New Roman" w:eastAsiaTheme="minorEastAsia" w:hAnsi="Times New Roman"/>
      <w:sz w:val="18"/>
      <w:szCs w:val="18"/>
      <w:lang w:eastAsia="zh-CN"/>
    </w:rPr>
  </w:style>
  <w:style w:type="character" w:styleId="LineNumber">
    <w:name w:val="line number"/>
    <w:basedOn w:val="DefaultParagraphFont"/>
    <w:uiPriority w:val="99"/>
    <w:semiHidden/>
    <w:unhideWhenUsed/>
    <w:rsid w:val="008E6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2026-08-18T12:14:00Z</dcterms:created>
  <dcterms:modified xsi:type="dcterms:W3CDTF">2026-08-18T12:15:00Z</dcterms:modified>
</cp:coreProperties>
</file>