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90AF" w14:textId="77777777" w:rsidR="00261F4C" w:rsidRPr="00EF3F44" w:rsidRDefault="003557E3">
      <w:pPr>
        <w:rPr>
          <w:rFonts w:ascii="Times New Roman" w:hAnsi="Times New Roman" w:cs="Times New Roman"/>
        </w:rPr>
      </w:pPr>
      <w:r w:rsidRPr="00EF3F44">
        <w:rPr>
          <w:rFonts w:ascii="Times New Roman" w:hAnsi="Times New Roman" w:cs="Times New Roman"/>
          <w:noProof/>
        </w:rPr>
        <w:drawing>
          <wp:inline distT="0" distB="0" distL="0" distR="0" wp14:anchorId="467E9790" wp14:editId="0189396C">
            <wp:extent cx="5269230" cy="7453630"/>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69230" cy="7453630"/>
                    </a:xfrm>
                    <a:prstGeom prst="rect">
                      <a:avLst/>
                    </a:prstGeom>
                    <a:noFill/>
                    <a:ln>
                      <a:noFill/>
                    </a:ln>
                  </pic:spPr>
                </pic:pic>
              </a:graphicData>
            </a:graphic>
          </wp:inline>
        </w:drawing>
      </w:r>
    </w:p>
    <w:p w14:paraId="1EC44345" w14:textId="77777777" w:rsidR="00261F4C" w:rsidRPr="00EF3F44" w:rsidRDefault="003557E3">
      <w:pPr>
        <w:rPr>
          <w:rFonts w:ascii="Times New Roman" w:hAnsi="Times New Roman" w:cs="Times New Roman"/>
        </w:rPr>
      </w:pPr>
      <w:r w:rsidRPr="00EF3F44">
        <w:rPr>
          <w:rFonts w:ascii="Times New Roman" w:hAnsi="Times New Roman" w:cs="Times New Roman"/>
        </w:rPr>
        <w:t>Supplementary Figure1. Evaluation of Batch Correction and Dimensionality Reduction. (A) PCA plots of the integrated datasets before and after Harmony batch-effect correction. (B) UMAP visualization of major cell lineages. (C) Comparative analysis of cell type proportions. Box plots illustrating the relative frequency of major cell types (Epithelial cell, T cell, B cell, Plasma cell, Myeloid cell, Endothelial cell, Fibroblast, and NK cell) between the old and y</w:t>
      </w:r>
      <w:r w:rsidRPr="00EF3F44">
        <w:rPr>
          <w:rFonts w:ascii="Times New Roman" w:hAnsi="Times New Roman" w:cs="Times New Roman"/>
        </w:rPr>
        <w:t xml:space="preserve">oung groups. Each dot represents an individual sample. The horizontal lines indicate the median and interquartile range </w:t>
      </w:r>
      <w:r w:rsidRPr="00EF3F44">
        <w:rPr>
          <w:rFonts w:ascii="Times New Roman" w:hAnsi="Times New Roman" w:cs="Times New Roman"/>
        </w:rPr>
        <w:lastRenderedPageBreak/>
        <w:t>(IQR). P-values were calculated using the Wilcoxon rank-sum test (or T-test), with values indicated above the brackets.</w:t>
      </w:r>
    </w:p>
    <w:p w14:paraId="6A5582A8" w14:textId="77777777" w:rsidR="00261F4C" w:rsidRPr="00EF3F44" w:rsidRDefault="003557E3">
      <w:pPr>
        <w:rPr>
          <w:rFonts w:ascii="Times New Roman" w:hAnsi="Times New Roman" w:cs="Times New Roman"/>
        </w:rPr>
      </w:pPr>
      <w:r w:rsidRPr="00EF3F44">
        <w:rPr>
          <w:rFonts w:ascii="Times New Roman" w:hAnsi="Times New Roman" w:cs="Times New Roman"/>
          <w:noProof/>
        </w:rPr>
        <w:drawing>
          <wp:inline distT="0" distB="0" distL="0" distR="0" wp14:anchorId="086C8A01" wp14:editId="46F6EA75">
            <wp:extent cx="5264150" cy="7315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64150" cy="7315200"/>
                    </a:xfrm>
                    <a:prstGeom prst="rect">
                      <a:avLst/>
                    </a:prstGeom>
                    <a:noFill/>
                    <a:ln>
                      <a:noFill/>
                    </a:ln>
                  </pic:spPr>
                </pic:pic>
              </a:graphicData>
            </a:graphic>
          </wp:inline>
        </w:drawing>
      </w:r>
    </w:p>
    <w:p w14:paraId="6D826A01" w14:textId="77777777" w:rsidR="00261F4C" w:rsidRPr="00EF3F44" w:rsidRDefault="003557E3">
      <w:pPr>
        <w:rPr>
          <w:rFonts w:ascii="Times New Roman" w:hAnsi="Times New Roman" w:cs="Times New Roman"/>
        </w:rPr>
      </w:pPr>
      <w:r w:rsidRPr="00EF3F44">
        <w:rPr>
          <w:rFonts w:ascii="Times New Roman" w:hAnsi="Times New Roman" w:cs="Times New Roman"/>
        </w:rPr>
        <w:t>Supplementary Figure 2. (A) t-SNE visualization and compositional analysis of normal epithelial cells. (B) Marker gene expression heatmap for normal epithelial sub-clusters. Bar plot quantifying the percentage of various normal epithelial clusters (C) t-SNE visualization and compositional analysis of tumor epithelial cells. Bar plot quantifying the percentage of various tumor epithelial clusters (D) Marker gene expression heatmap for tumor epithelial sub-clusters.</w:t>
      </w:r>
    </w:p>
    <w:p w14:paraId="3F2995AF" w14:textId="77777777" w:rsidR="00261F4C" w:rsidRPr="00EF3F44" w:rsidRDefault="003557E3">
      <w:pPr>
        <w:rPr>
          <w:rFonts w:ascii="Times New Roman" w:hAnsi="Times New Roman" w:cs="Times New Roman"/>
        </w:rPr>
      </w:pPr>
      <w:r w:rsidRPr="00EF3F44">
        <w:rPr>
          <w:rFonts w:ascii="Times New Roman" w:hAnsi="Times New Roman" w:cs="Times New Roman"/>
          <w:noProof/>
        </w:rPr>
        <w:lastRenderedPageBreak/>
        <w:drawing>
          <wp:inline distT="0" distB="0" distL="0" distR="0" wp14:anchorId="098D6249" wp14:editId="1000492A">
            <wp:extent cx="5269230" cy="6628130"/>
            <wp:effectExtent l="0" t="0" r="762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69230" cy="6628130"/>
                    </a:xfrm>
                    <a:prstGeom prst="rect">
                      <a:avLst/>
                    </a:prstGeom>
                    <a:noFill/>
                    <a:ln>
                      <a:noFill/>
                    </a:ln>
                  </pic:spPr>
                </pic:pic>
              </a:graphicData>
            </a:graphic>
          </wp:inline>
        </w:drawing>
      </w:r>
    </w:p>
    <w:p w14:paraId="39603503" w14:textId="77777777" w:rsidR="00261F4C" w:rsidRPr="00EF3F44" w:rsidRDefault="003557E3">
      <w:pPr>
        <w:rPr>
          <w:rFonts w:ascii="Times New Roman" w:hAnsi="Times New Roman" w:cs="Times New Roman"/>
        </w:rPr>
      </w:pPr>
      <w:r w:rsidRPr="00EF3F44">
        <w:rPr>
          <w:rFonts w:ascii="Times New Roman" w:hAnsi="Times New Roman" w:cs="Times New Roman"/>
        </w:rPr>
        <w:t>Supplementary Figure3. (A) Prognostic value of signature genes in Luminal breast cancer patients. Kaplan-Meier survival curves illustrate the association between high (red) and low (black) expression of NDUFC2 and HIST3H2A with overall survival in Luminal subtype patients. (B) Prognostic value of signature genes in TNBC patients. Kaplan-Meier plots evaluating the impact of CDKN2A, EBS4, and KRT15 expression on the survival of TNBC patients. (C) GSEA plots demonstrate the enrichment of distinct functional pa</w:t>
      </w:r>
      <w:r w:rsidRPr="00EF3F44">
        <w:rPr>
          <w:rFonts w:ascii="Times New Roman" w:hAnsi="Times New Roman" w:cs="Times New Roman"/>
        </w:rPr>
        <w:t>thways across five tumor epithelial clusters.</w:t>
      </w:r>
    </w:p>
    <w:p w14:paraId="3ADE9725" w14:textId="77777777" w:rsidR="00261F4C" w:rsidRPr="00EF3F44" w:rsidRDefault="003557E3">
      <w:pPr>
        <w:rPr>
          <w:rFonts w:ascii="Times New Roman" w:hAnsi="Times New Roman" w:cs="Times New Roman"/>
        </w:rPr>
      </w:pPr>
      <w:r w:rsidRPr="00EF3F44">
        <w:rPr>
          <w:rFonts w:ascii="Times New Roman" w:hAnsi="Times New Roman" w:cs="Times New Roman"/>
          <w:noProof/>
        </w:rPr>
        <w:lastRenderedPageBreak/>
        <w:drawing>
          <wp:inline distT="0" distB="0" distL="0" distR="0" wp14:anchorId="76037E09" wp14:editId="7F071ECB">
            <wp:extent cx="5269230" cy="7453630"/>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9230" cy="7453630"/>
                    </a:xfrm>
                    <a:prstGeom prst="rect">
                      <a:avLst/>
                    </a:prstGeom>
                    <a:noFill/>
                    <a:ln>
                      <a:noFill/>
                    </a:ln>
                  </pic:spPr>
                </pic:pic>
              </a:graphicData>
            </a:graphic>
          </wp:inline>
        </w:drawing>
      </w:r>
    </w:p>
    <w:p w14:paraId="0859453B" w14:textId="77777777" w:rsidR="00261F4C" w:rsidRPr="00EF3F44" w:rsidRDefault="003557E3">
      <w:pPr>
        <w:rPr>
          <w:rFonts w:ascii="Times New Roman" w:hAnsi="Times New Roman" w:cs="Times New Roman"/>
        </w:rPr>
      </w:pPr>
      <w:r w:rsidRPr="00EF3F44">
        <w:rPr>
          <w:rFonts w:ascii="Times New Roman" w:hAnsi="Times New Roman" w:cs="Times New Roman"/>
        </w:rPr>
        <w:t>Supplementary Figure4. (A) Dot plots representing the top enriched Gene Ontology (GO) biological processes for specific normal epithelial subclusters. (B) Pie charts showing the distribution of signaling types. Circle plots illustrating the inferred cell-cell interaction networks for major cell types (Endothelial, Fibroblast, Plasma, and NK cells). (C) Network visualizations of specific signaling pathways.</w:t>
      </w:r>
    </w:p>
    <w:p w14:paraId="63C1934A" w14:textId="77777777" w:rsidR="00261F4C" w:rsidRPr="00EF3F44" w:rsidRDefault="00261F4C">
      <w:pPr>
        <w:rPr>
          <w:rFonts w:ascii="Times New Roman" w:hAnsi="Times New Roman" w:cs="Times New Roman"/>
        </w:rPr>
      </w:pPr>
    </w:p>
    <w:p w14:paraId="143C7A31" w14:textId="77777777" w:rsidR="00261F4C" w:rsidRPr="00EF3F44" w:rsidRDefault="003557E3">
      <w:pPr>
        <w:rPr>
          <w:rFonts w:ascii="Times New Roman" w:hAnsi="Times New Roman" w:cs="Times New Roman"/>
        </w:rPr>
      </w:pPr>
      <w:r w:rsidRPr="00EF3F44">
        <w:rPr>
          <w:rFonts w:ascii="Times New Roman" w:hAnsi="Times New Roman" w:cs="Times New Roman"/>
          <w:noProof/>
        </w:rPr>
        <w:lastRenderedPageBreak/>
        <w:drawing>
          <wp:inline distT="0" distB="0" distL="0" distR="0" wp14:anchorId="4F3557F1" wp14:editId="4C7B9EAD">
            <wp:extent cx="5273675" cy="5629910"/>
            <wp:effectExtent l="0" t="0" r="317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3675" cy="5629910"/>
                    </a:xfrm>
                    <a:prstGeom prst="rect">
                      <a:avLst/>
                    </a:prstGeom>
                    <a:noFill/>
                    <a:ln>
                      <a:noFill/>
                    </a:ln>
                  </pic:spPr>
                </pic:pic>
              </a:graphicData>
            </a:graphic>
          </wp:inline>
        </w:drawing>
      </w:r>
    </w:p>
    <w:p w14:paraId="6F286A63" w14:textId="77777777" w:rsidR="00261F4C" w:rsidRPr="00EF3F44" w:rsidRDefault="003557E3">
      <w:pPr>
        <w:rPr>
          <w:rFonts w:ascii="Times New Roman" w:hAnsi="Times New Roman" w:cs="Times New Roman"/>
        </w:rPr>
      </w:pPr>
      <w:r w:rsidRPr="00EF3F44">
        <w:rPr>
          <w:rFonts w:ascii="Times New Roman" w:hAnsi="Times New Roman" w:cs="Times New Roman"/>
        </w:rPr>
        <w:t xml:space="preserve">Supplementary Figure5. (A) B cell sub-clusters. (Left) Dot plot showing the expression of B-cell lineage markers (CD19, MS4A1) and subset-specific genes such as CD27 (Memory) and HLA-DRA (Activated/Regulatory). (Right) Box plots comparing the proportions of B-cell subsets between the Old and the Young groups. (B) T cell sub-populations. (Left) </w:t>
      </w:r>
      <w:proofErr w:type="spellStart"/>
      <w:r w:rsidRPr="00EF3F44">
        <w:rPr>
          <w:rFonts w:ascii="Times New Roman" w:hAnsi="Times New Roman" w:cs="Times New Roman"/>
        </w:rPr>
        <w:t>DotPlot</w:t>
      </w:r>
      <w:proofErr w:type="spellEnd"/>
      <w:r w:rsidRPr="00EF3F44">
        <w:rPr>
          <w:rFonts w:ascii="Times New Roman" w:hAnsi="Times New Roman" w:cs="Times New Roman"/>
        </w:rPr>
        <w:t xml:space="preserve"> illustrating markers for CD8+ lineages (CD8A, GZMB), Exhaustion (PDCD1, HAVCR2, LAG3), and Regulatory T cells (FOXP3, IL2RA). (Right) Comparison of T-cell subset proportions between groups. (C) Myeloid cell subclusters. (Left) </w:t>
      </w:r>
      <w:proofErr w:type="spellStart"/>
      <w:r w:rsidRPr="00EF3F44">
        <w:rPr>
          <w:rFonts w:ascii="Times New Roman" w:hAnsi="Times New Roman" w:cs="Times New Roman"/>
        </w:rPr>
        <w:t>DotPlot</w:t>
      </w:r>
      <w:proofErr w:type="spellEnd"/>
      <w:r w:rsidRPr="00EF3F44">
        <w:rPr>
          <w:rFonts w:ascii="Times New Roman" w:hAnsi="Times New Roman" w:cs="Times New Roman"/>
        </w:rPr>
        <w:t xml:space="preserve"> highlighting markers for TAM polarization (CD163, MRC1, CXCL9, SPP1) and dendritic cells (CD1C, THBD). (Right) Comparison of myeloid subset proportions between groups.</w:t>
      </w:r>
    </w:p>
    <w:p w14:paraId="7C8647D4" w14:textId="77777777" w:rsidR="00261F4C" w:rsidRPr="00EF3F44" w:rsidRDefault="00261F4C">
      <w:pPr>
        <w:rPr>
          <w:rFonts w:ascii="Times New Roman" w:hAnsi="Times New Roman" w:cs="Times New Roman"/>
        </w:rPr>
      </w:pPr>
    </w:p>
    <w:sectPr w:rsidR="00261F4C" w:rsidRPr="00EF3F44" w:rsidSect="00A3232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37D3B" w14:textId="77777777" w:rsidR="003557E3" w:rsidRDefault="003557E3" w:rsidP="00A32329">
      <w:r>
        <w:separator/>
      </w:r>
    </w:p>
  </w:endnote>
  <w:endnote w:type="continuationSeparator" w:id="0">
    <w:p w14:paraId="0E5BE56E" w14:textId="77777777" w:rsidR="003557E3" w:rsidRDefault="003557E3" w:rsidP="00A3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5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F7856" w14:textId="77777777" w:rsidR="003557E3" w:rsidRDefault="003557E3" w:rsidP="00A32329">
      <w:r>
        <w:separator/>
      </w:r>
    </w:p>
  </w:footnote>
  <w:footnote w:type="continuationSeparator" w:id="0">
    <w:p w14:paraId="5D306670" w14:textId="77777777" w:rsidR="003557E3" w:rsidRDefault="003557E3" w:rsidP="00A323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A73719"/>
    <w:rsid w:val="00091417"/>
    <w:rsid w:val="00261F4C"/>
    <w:rsid w:val="002B0548"/>
    <w:rsid w:val="003557E3"/>
    <w:rsid w:val="00395CB8"/>
    <w:rsid w:val="004978D8"/>
    <w:rsid w:val="004A295B"/>
    <w:rsid w:val="00571A48"/>
    <w:rsid w:val="0066794C"/>
    <w:rsid w:val="00863346"/>
    <w:rsid w:val="00901EBB"/>
    <w:rsid w:val="00A32329"/>
    <w:rsid w:val="00A57639"/>
    <w:rsid w:val="00B81A07"/>
    <w:rsid w:val="00C141A8"/>
    <w:rsid w:val="00C46D29"/>
    <w:rsid w:val="00CC3D55"/>
    <w:rsid w:val="00DD0A65"/>
    <w:rsid w:val="00EF3F44"/>
    <w:rsid w:val="00FB2C6B"/>
    <w:rsid w:val="038B1487"/>
    <w:rsid w:val="03E9636F"/>
    <w:rsid w:val="09D678FF"/>
    <w:rsid w:val="0A567C82"/>
    <w:rsid w:val="10985312"/>
    <w:rsid w:val="140F3F0E"/>
    <w:rsid w:val="15820151"/>
    <w:rsid w:val="15956298"/>
    <w:rsid w:val="16804E96"/>
    <w:rsid w:val="16BC2E04"/>
    <w:rsid w:val="192F7244"/>
    <w:rsid w:val="196C4CD9"/>
    <w:rsid w:val="1C212401"/>
    <w:rsid w:val="1C716FAF"/>
    <w:rsid w:val="1DF3616E"/>
    <w:rsid w:val="1E396257"/>
    <w:rsid w:val="20DF220A"/>
    <w:rsid w:val="233B46EA"/>
    <w:rsid w:val="23776473"/>
    <w:rsid w:val="24860E28"/>
    <w:rsid w:val="286D3507"/>
    <w:rsid w:val="2C8D5567"/>
    <w:rsid w:val="2EBA3565"/>
    <w:rsid w:val="335D4A22"/>
    <w:rsid w:val="355359F9"/>
    <w:rsid w:val="359F4803"/>
    <w:rsid w:val="392B06A6"/>
    <w:rsid w:val="3A752957"/>
    <w:rsid w:val="3A841ECD"/>
    <w:rsid w:val="3EE73471"/>
    <w:rsid w:val="41F514D9"/>
    <w:rsid w:val="42971481"/>
    <w:rsid w:val="43D4616F"/>
    <w:rsid w:val="45A73719"/>
    <w:rsid w:val="46BF7962"/>
    <w:rsid w:val="472C0E79"/>
    <w:rsid w:val="4AB804FA"/>
    <w:rsid w:val="4BBC5949"/>
    <w:rsid w:val="4CA7245A"/>
    <w:rsid w:val="4FF93401"/>
    <w:rsid w:val="544772B9"/>
    <w:rsid w:val="5544022C"/>
    <w:rsid w:val="554D11DB"/>
    <w:rsid w:val="556119FF"/>
    <w:rsid w:val="55747599"/>
    <w:rsid w:val="57106E4E"/>
    <w:rsid w:val="58897261"/>
    <w:rsid w:val="59866B75"/>
    <w:rsid w:val="5AE351E4"/>
    <w:rsid w:val="5B1B6FB2"/>
    <w:rsid w:val="5DEA0441"/>
    <w:rsid w:val="60255718"/>
    <w:rsid w:val="642E30F3"/>
    <w:rsid w:val="669E79D9"/>
    <w:rsid w:val="672957C5"/>
    <w:rsid w:val="678C4E49"/>
    <w:rsid w:val="6A2D58DC"/>
    <w:rsid w:val="6C87685D"/>
    <w:rsid w:val="6F401113"/>
    <w:rsid w:val="7031132B"/>
    <w:rsid w:val="70F311FC"/>
    <w:rsid w:val="714C30F2"/>
    <w:rsid w:val="77FC0FFD"/>
    <w:rsid w:val="792651BE"/>
    <w:rsid w:val="794D255A"/>
    <w:rsid w:val="79747B72"/>
    <w:rsid w:val="79C003E0"/>
    <w:rsid w:val="7BBA2E4A"/>
    <w:rsid w:val="7C1932AD"/>
    <w:rsid w:val="7C290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A943"/>
  <w15:docId w15:val="{A9F63769-3D33-4FC9-8B0B-158FBA277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character" w:styleId="a7">
    <w:name w:val="line number"/>
    <w:basedOn w:val="a0"/>
    <w:rsid w:val="00A32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396</Words>
  <Characters>2514</Characters>
  <Application>Microsoft Office Word</Application>
  <DocSecurity>0</DocSecurity>
  <Lines>41</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陈开妍</dc:creator>
  <cp:lastModifiedBy>M14200</cp:lastModifiedBy>
  <cp:revision>8</cp:revision>
  <dcterms:created xsi:type="dcterms:W3CDTF">2026-01-22T15:26:00Z</dcterms:created>
  <dcterms:modified xsi:type="dcterms:W3CDTF">2026-07-07T07:26:00Z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CC39F5822E3A48ED97C213DCB57962F5_13</vt:lpwstr>
  </property>
  <property fmtid="{D5CDD505-2E9C-101B-9397-08002B2CF9AE}" pid="4" name="KSOTemplateDocerSaveRecord">
    <vt:lpwstr>eyJoZGlkIjoiOTM5ZGIxZTVhNDlmZWVkZTI5ZTc5NzliMmFjOGIzYjAiLCJ1c2VySWQiOiIyNDMyODY0OTcifQ==</vt:lpwstr>
  </property>
</Properties>
</file>