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1511" w14:textId="77777777" w:rsidR="009636CB" w:rsidRDefault="009636CB" w:rsidP="009636CB">
      <w:pPr>
        <w:spacing w:line="360" w:lineRule="auto"/>
        <w:jc w:val="center"/>
        <w:rPr>
          <w:rFonts w:ascii="Times New Roman" w:eastAsia="KaiTi" w:hAnsi="Times New Roman"/>
          <w:b/>
          <w:bCs/>
          <w:color w:val="000000"/>
          <w:szCs w:val="21"/>
        </w:rPr>
      </w:pPr>
      <w:r>
        <w:rPr>
          <w:rFonts w:ascii="Times New Roman" w:eastAsia="KaiTi" w:hAnsi="Times New Roman"/>
          <w:b/>
          <w:bCs/>
          <w:noProof/>
          <w:color w:val="000000"/>
          <w:szCs w:val="21"/>
        </w:rPr>
        <w:drawing>
          <wp:inline distT="0" distB="0" distL="114300" distR="114300" wp14:anchorId="270D4AF7" wp14:editId="4401AF29">
            <wp:extent cx="5274310" cy="3296285"/>
            <wp:effectExtent l="0" t="0" r="13970" b="10795"/>
            <wp:docPr id="4" name="图片 4" descr="Supplementary_Figure_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upplementary_Figure_S2"/>
                    <pic:cNvPicPr>
                      <a:picLocks noChangeAspect="1"/>
                    </pic:cNvPicPr>
                  </pic:nvPicPr>
                  <pic:blipFill>
                    <a:blip r:embed="rId4"/>
                    <a:stretch>
                      <a:fillRect/>
                    </a:stretch>
                  </pic:blipFill>
                  <pic:spPr>
                    <a:xfrm>
                      <a:off x="0" y="0"/>
                      <a:ext cx="5274310" cy="3296285"/>
                    </a:xfrm>
                    <a:prstGeom prst="rect">
                      <a:avLst/>
                    </a:prstGeom>
                    <a:noFill/>
                    <a:ln>
                      <a:noFill/>
                    </a:ln>
                  </pic:spPr>
                </pic:pic>
              </a:graphicData>
            </a:graphic>
          </wp:inline>
        </w:drawing>
      </w:r>
    </w:p>
    <w:p w14:paraId="24EAE107" w14:textId="77777777" w:rsidR="009636CB" w:rsidRDefault="009636CB" w:rsidP="009636CB">
      <w:pPr>
        <w:spacing w:line="360" w:lineRule="auto"/>
        <w:jc w:val="center"/>
        <w:rPr>
          <w:rFonts w:ascii="Times New Roman" w:eastAsia="KaiTi" w:hAnsi="Times New Roman"/>
          <w:b/>
          <w:bCs/>
          <w:color w:val="000000"/>
          <w:sz w:val="20"/>
          <w:szCs w:val="20"/>
        </w:rPr>
      </w:pPr>
      <w:r>
        <w:rPr>
          <w:rFonts w:ascii="Times New Roman" w:eastAsia="KaiTi" w:hAnsi="Times New Roman" w:hint="eastAsia"/>
          <w:b/>
          <w:bCs/>
          <w:color w:val="000000"/>
          <w:sz w:val="20"/>
          <w:szCs w:val="20"/>
        </w:rPr>
        <w:t>Supplementary Figure S1. Distribution of CES-D-10 scores among study participants</w:t>
      </w:r>
    </w:p>
    <w:p w14:paraId="61C797B1" w14:textId="77777777" w:rsidR="009636CB" w:rsidRDefault="009636CB" w:rsidP="009636CB">
      <w:pPr>
        <w:spacing w:line="360" w:lineRule="auto"/>
        <w:jc w:val="center"/>
        <w:rPr>
          <w:rFonts w:ascii="Times New Roman" w:eastAsia="KaiTi" w:hAnsi="Times New Roman"/>
          <w:b/>
          <w:bCs/>
          <w:color w:val="000000"/>
          <w:sz w:val="20"/>
          <w:szCs w:val="20"/>
        </w:rPr>
      </w:pPr>
      <w:r>
        <w:rPr>
          <w:rFonts w:ascii="Times New Roman" w:eastAsia="KaiTi" w:hAnsi="Times New Roman" w:hint="eastAsia"/>
          <w:b/>
          <w:bCs/>
          <w:color w:val="000000"/>
          <w:sz w:val="20"/>
          <w:szCs w:val="20"/>
        </w:rPr>
        <w:t>Note: Distribution of CES-D-10 scores among study participants.</w:t>
      </w:r>
    </w:p>
    <w:p w14:paraId="41134C73" w14:textId="77777777" w:rsidR="009636CB" w:rsidRDefault="009636CB" w:rsidP="009636CB">
      <w:pPr>
        <w:spacing w:line="360" w:lineRule="auto"/>
        <w:jc w:val="center"/>
        <w:rPr>
          <w:rFonts w:ascii="Times New Roman" w:eastAsia="KaiTi" w:hAnsi="Times New Roman"/>
          <w:b/>
          <w:bCs/>
          <w:color w:val="000000"/>
          <w:sz w:val="20"/>
          <w:szCs w:val="20"/>
        </w:rPr>
      </w:pPr>
      <w:r>
        <w:rPr>
          <w:rFonts w:ascii="Times New Roman" w:eastAsia="KaiTi" w:hAnsi="Times New Roman"/>
          <w:b/>
          <w:bCs/>
          <w:noProof/>
          <w:color w:val="000000"/>
          <w:sz w:val="20"/>
          <w:szCs w:val="20"/>
        </w:rPr>
        <w:drawing>
          <wp:inline distT="0" distB="0" distL="114300" distR="114300" wp14:anchorId="0FA99209" wp14:editId="77542A73">
            <wp:extent cx="5274310" cy="3296285"/>
            <wp:effectExtent l="0" t="0" r="13970" b="10795"/>
            <wp:docPr id="5" name="图片 5" descr="Supplementary_Figure_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upplementary_Figure_S1"/>
                    <pic:cNvPicPr>
                      <a:picLocks noChangeAspect="1"/>
                    </pic:cNvPicPr>
                  </pic:nvPicPr>
                  <pic:blipFill>
                    <a:blip r:embed="rId5"/>
                    <a:stretch>
                      <a:fillRect/>
                    </a:stretch>
                  </pic:blipFill>
                  <pic:spPr>
                    <a:xfrm>
                      <a:off x="0" y="0"/>
                      <a:ext cx="5274310" cy="3296285"/>
                    </a:xfrm>
                    <a:prstGeom prst="rect">
                      <a:avLst/>
                    </a:prstGeom>
                    <a:noFill/>
                    <a:ln>
                      <a:noFill/>
                    </a:ln>
                  </pic:spPr>
                </pic:pic>
              </a:graphicData>
            </a:graphic>
          </wp:inline>
        </w:drawing>
      </w:r>
    </w:p>
    <w:p w14:paraId="1C68A7E1" w14:textId="77777777" w:rsidR="009636CB" w:rsidRDefault="009636CB" w:rsidP="009636CB">
      <w:pPr>
        <w:spacing w:line="360" w:lineRule="auto"/>
        <w:jc w:val="center"/>
        <w:rPr>
          <w:rFonts w:ascii="Times New Roman" w:eastAsia="KaiTi" w:hAnsi="Times New Roman"/>
          <w:b/>
          <w:bCs/>
          <w:color w:val="000000"/>
          <w:sz w:val="20"/>
          <w:szCs w:val="20"/>
        </w:rPr>
      </w:pPr>
      <w:r>
        <w:rPr>
          <w:rFonts w:ascii="Times New Roman" w:eastAsia="KaiTi" w:hAnsi="Times New Roman"/>
          <w:b/>
          <w:bCs/>
          <w:color w:val="000000"/>
          <w:sz w:val="20"/>
          <w:szCs w:val="20"/>
        </w:rPr>
        <w:t>Supplementary Figure S2. Distribution of the number of painful body sites among study participants</w:t>
      </w:r>
    </w:p>
    <w:p w14:paraId="75FD1CE1" w14:textId="77777777" w:rsidR="009636CB" w:rsidRDefault="009636CB" w:rsidP="009636CB">
      <w:pPr>
        <w:spacing w:line="360" w:lineRule="auto"/>
        <w:jc w:val="center"/>
        <w:rPr>
          <w:rFonts w:ascii="Times New Roman" w:eastAsia="KaiTi" w:hAnsi="Times New Roman"/>
          <w:color w:val="000000"/>
          <w:sz w:val="20"/>
          <w:szCs w:val="20"/>
        </w:rPr>
      </w:pPr>
      <w:r>
        <w:rPr>
          <w:rFonts w:ascii="Times New Roman" w:eastAsia="KaiTi" w:hAnsi="Times New Roman" w:hint="eastAsia"/>
          <w:b/>
          <w:bCs/>
          <w:color w:val="000000"/>
          <w:sz w:val="20"/>
          <w:szCs w:val="20"/>
        </w:rPr>
        <w:t xml:space="preserve">Note: </w:t>
      </w:r>
      <w:r>
        <w:rPr>
          <w:rFonts w:ascii="Times New Roman" w:eastAsia="KaiTi" w:hAnsi="Times New Roman" w:hint="eastAsia"/>
          <w:color w:val="000000"/>
          <w:sz w:val="20"/>
          <w:szCs w:val="20"/>
        </w:rPr>
        <w:t>Histogram showing the distribution of pain burden, defined as the number of painful anatomical sites reported by each participant. Most participants reported pain at relatively few sites, whereas progressively fewer participants reported multiple painful sites.</w:t>
      </w:r>
    </w:p>
    <w:p w14:paraId="0A49E225" w14:textId="77777777" w:rsidR="009636CB" w:rsidRDefault="009636CB" w:rsidP="009636CB">
      <w:pPr>
        <w:spacing w:line="360" w:lineRule="auto"/>
        <w:jc w:val="center"/>
        <w:rPr>
          <w:rFonts w:ascii="Times New Roman" w:eastAsia="KaiTi" w:hAnsi="Times New Roman"/>
          <w:color w:val="000000"/>
          <w:sz w:val="20"/>
          <w:szCs w:val="20"/>
        </w:rPr>
      </w:pPr>
    </w:p>
    <w:tbl>
      <w:tblPr>
        <w:tblW w:w="4141" w:type="dxa"/>
        <w:jc w:val="center"/>
        <w:tblLook w:val="04A0" w:firstRow="1" w:lastRow="0" w:firstColumn="1" w:lastColumn="0" w:noHBand="0" w:noVBand="1"/>
      </w:tblPr>
      <w:tblGrid>
        <w:gridCol w:w="1013"/>
        <w:gridCol w:w="2184"/>
        <w:gridCol w:w="944"/>
      </w:tblGrid>
      <w:tr w:rsidR="009636CB" w14:paraId="66596497" w14:textId="77777777" w:rsidTr="005D66D4">
        <w:trPr>
          <w:trHeight w:val="1040"/>
          <w:jc w:val="center"/>
        </w:trPr>
        <w:tc>
          <w:tcPr>
            <w:tcW w:w="4140" w:type="dxa"/>
            <w:gridSpan w:val="3"/>
            <w:tcBorders>
              <w:top w:val="nil"/>
              <w:left w:val="nil"/>
              <w:bottom w:val="nil"/>
              <w:right w:val="nil"/>
            </w:tcBorders>
            <w:vAlign w:val="center"/>
          </w:tcPr>
          <w:p w14:paraId="4F756967" w14:textId="77777777" w:rsidR="009636CB" w:rsidRDefault="009636CB" w:rsidP="005D66D4">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lastRenderedPageBreak/>
              <w:t>Supplementary Table S1. Sensitivity analysis of the association between pain burden (per additional painful site) and depressive symptoms</w:t>
            </w:r>
          </w:p>
        </w:tc>
      </w:tr>
      <w:tr w:rsidR="009636CB" w14:paraId="6CE759FA" w14:textId="77777777" w:rsidTr="005D66D4">
        <w:trPr>
          <w:trHeight w:val="288"/>
          <w:jc w:val="center"/>
        </w:trPr>
        <w:tc>
          <w:tcPr>
            <w:tcW w:w="0" w:type="auto"/>
            <w:tcBorders>
              <w:top w:val="single" w:sz="4" w:space="0" w:color="000000"/>
              <w:left w:val="nil"/>
              <w:bottom w:val="single" w:sz="4" w:space="0" w:color="000000"/>
              <w:right w:val="nil"/>
            </w:tcBorders>
            <w:noWrap/>
            <w:vAlign w:val="center"/>
          </w:tcPr>
          <w:p w14:paraId="0E74DC56" w14:textId="77777777" w:rsidR="009636CB" w:rsidRDefault="009636CB" w:rsidP="005D66D4">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Model</w:t>
            </w:r>
          </w:p>
        </w:tc>
        <w:tc>
          <w:tcPr>
            <w:tcW w:w="0" w:type="auto"/>
            <w:tcBorders>
              <w:top w:val="single" w:sz="4" w:space="0" w:color="000000"/>
              <w:left w:val="nil"/>
              <w:bottom w:val="single" w:sz="4" w:space="0" w:color="000000"/>
              <w:right w:val="nil"/>
            </w:tcBorders>
            <w:noWrap/>
            <w:vAlign w:val="center"/>
          </w:tcPr>
          <w:p w14:paraId="34357CCD" w14:textId="77777777" w:rsidR="009636CB" w:rsidRDefault="009636CB" w:rsidP="005D66D4">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OR (95%CI)</w:t>
            </w:r>
          </w:p>
        </w:tc>
        <w:tc>
          <w:tcPr>
            <w:tcW w:w="0" w:type="auto"/>
            <w:tcBorders>
              <w:top w:val="single" w:sz="4" w:space="0" w:color="000000"/>
              <w:left w:val="nil"/>
              <w:bottom w:val="single" w:sz="4" w:space="0" w:color="000000"/>
              <w:right w:val="nil"/>
            </w:tcBorders>
            <w:noWrap/>
            <w:vAlign w:val="center"/>
          </w:tcPr>
          <w:p w14:paraId="030188BD" w14:textId="77777777" w:rsidR="009636CB" w:rsidRDefault="009636CB" w:rsidP="005D66D4">
            <w:pPr>
              <w:widowControl/>
              <w:jc w:val="center"/>
              <w:textAlignment w:val="center"/>
              <w:rPr>
                <w:rFonts w:ascii="Times New Roman" w:hAnsi="Times New Roman"/>
                <w:b/>
                <w:bCs/>
                <w:i/>
                <w:iCs/>
                <w:color w:val="000000"/>
                <w:sz w:val="20"/>
                <w:szCs w:val="20"/>
              </w:rPr>
            </w:pPr>
            <w:r>
              <w:rPr>
                <w:rFonts w:ascii="Times New Roman" w:hAnsi="Times New Roman"/>
                <w:b/>
                <w:bCs/>
                <w:i/>
                <w:iCs/>
                <w:color w:val="000000"/>
                <w:kern w:val="0"/>
                <w:sz w:val="20"/>
                <w:szCs w:val="20"/>
                <w:lang w:bidi="ar"/>
              </w:rPr>
              <w:t>P</w:t>
            </w:r>
          </w:p>
        </w:tc>
      </w:tr>
      <w:tr w:rsidR="009636CB" w14:paraId="0BE41374" w14:textId="77777777" w:rsidTr="005D66D4">
        <w:trPr>
          <w:trHeight w:val="288"/>
          <w:jc w:val="center"/>
        </w:trPr>
        <w:tc>
          <w:tcPr>
            <w:tcW w:w="0" w:type="auto"/>
            <w:tcBorders>
              <w:top w:val="nil"/>
              <w:left w:val="nil"/>
              <w:bottom w:val="nil"/>
              <w:right w:val="nil"/>
            </w:tcBorders>
            <w:noWrap/>
            <w:vAlign w:val="center"/>
          </w:tcPr>
          <w:p w14:paraId="0273C92F"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Crude</w:t>
            </w:r>
          </w:p>
        </w:tc>
        <w:tc>
          <w:tcPr>
            <w:tcW w:w="0" w:type="auto"/>
            <w:tcBorders>
              <w:top w:val="nil"/>
              <w:left w:val="nil"/>
              <w:bottom w:val="nil"/>
              <w:right w:val="nil"/>
            </w:tcBorders>
            <w:noWrap/>
            <w:vAlign w:val="center"/>
          </w:tcPr>
          <w:p w14:paraId="2EF9AFC5"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1.205 (1.192</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1.218)</w:t>
            </w:r>
          </w:p>
        </w:tc>
        <w:tc>
          <w:tcPr>
            <w:tcW w:w="0" w:type="auto"/>
            <w:tcBorders>
              <w:top w:val="nil"/>
              <w:left w:val="nil"/>
              <w:bottom w:val="nil"/>
              <w:right w:val="nil"/>
            </w:tcBorders>
            <w:noWrap/>
            <w:vAlign w:val="center"/>
          </w:tcPr>
          <w:p w14:paraId="3BD8EC0A"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&lt;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0.001</w:t>
            </w:r>
          </w:p>
        </w:tc>
      </w:tr>
      <w:tr w:rsidR="009636CB" w14:paraId="2AD6CE86" w14:textId="77777777" w:rsidTr="005D66D4">
        <w:trPr>
          <w:trHeight w:val="288"/>
          <w:jc w:val="center"/>
        </w:trPr>
        <w:tc>
          <w:tcPr>
            <w:tcW w:w="0" w:type="auto"/>
            <w:tcBorders>
              <w:top w:val="nil"/>
              <w:left w:val="nil"/>
              <w:bottom w:val="nil"/>
              <w:right w:val="nil"/>
            </w:tcBorders>
            <w:noWrap/>
            <w:vAlign w:val="center"/>
          </w:tcPr>
          <w:p w14:paraId="47CAF81F"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Model 1</w:t>
            </w:r>
          </w:p>
        </w:tc>
        <w:tc>
          <w:tcPr>
            <w:tcW w:w="0" w:type="auto"/>
            <w:tcBorders>
              <w:top w:val="nil"/>
              <w:left w:val="nil"/>
              <w:bottom w:val="nil"/>
              <w:right w:val="nil"/>
            </w:tcBorders>
            <w:noWrap/>
            <w:vAlign w:val="center"/>
          </w:tcPr>
          <w:p w14:paraId="509D92D4"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1.187 (1.174</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1.200)</w:t>
            </w:r>
          </w:p>
        </w:tc>
        <w:tc>
          <w:tcPr>
            <w:tcW w:w="0" w:type="auto"/>
            <w:tcBorders>
              <w:top w:val="nil"/>
              <w:left w:val="nil"/>
              <w:bottom w:val="nil"/>
              <w:right w:val="nil"/>
            </w:tcBorders>
            <w:noWrap/>
            <w:vAlign w:val="center"/>
          </w:tcPr>
          <w:p w14:paraId="4816B97D"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&lt;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0.001</w:t>
            </w:r>
          </w:p>
        </w:tc>
      </w:tr>
      <w:tr w:rsidR="009636CB" w14:paraId="66DF20FB" w14:textId="77777777" w:rsidTr="005D66D4">
        <w:trPr>
          <w:trHeight w:val="288"/>
          <w:jc w:val="center"/>
        </w:trPr>
        <w:tc>
          <w:tcPr>
            <w:tcW w:w="0" w:type="auto"/>
            <w:tcBorders>
              <w:top w:val="nil"/>
              <w:left w:val="nil"/>
              <w:bottom w:val="nil"/>
              <w:right w:val="nil"/>
            </w:tcBorders>
            <w:noWrap/>
            <w:vAlign w:val="center"/>
          </w:tcPr>
          <w:p w14:paraId="0DBDA38E"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Model 2</w:t>
            </w:r>
          </w:p>
        </w:tc>
        <w:tc>
          <w:tcPr>
            <w:tcW w:w="0" w:type="auto"/>
            <w:tcBorders>
              <w:top w:val="nil"/>
              <w:left w:val="nil"/>
              <w:bottom w:val="nil"/>
              <w:right w:val="nil"/>
            </w:tcBorders>
            <w:noWrap/>
            <w:vAlign w:val="center"/>
          </w:tcPr>
          <w:p w14:paraId="3F382CE4"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1.178 (1.165</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1.191)</w:t>
            </w:r>
          </w:p>
        </w:tc>
        <w:tc>
          <w:tcPr>
            <w:tcW w:w="0" w:type="auto"/>
            <w:tcBorders>
              <w:top w:val="nil"/>
              <w:left w:val="nil"/>
              <w:bottom w:val="nil"/>
              <w:right w:val="nil"/>
            </w:tcBorders>
            <w:noWrap/>
            <w:vAlign w:val="center"/>
          </w:tcPr>
          <w:p w14:paraId="691F0A68"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&lt;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0.001</w:t>
            </w:r>
          </w:p>
        </w:tc>
      </w:tr>
      <w:tr w:rsidR="009636CB" w14:paraId="16B52127" w14:textId="77777777" w:rsidTr="005D66D4">
        <w:trPr>
          <w:trHeight w:val="288"/>
          <w:jc w:val="center"/>
        </w:trPr>
        <w:tc>
          <w:tcPr>
            <w:tcW w:w="0" w:type="auto"/>
            <w:tcBorders>
              <w:top w:val="nil"/>
              <w:left w:val="nil"/>
              <w:bottom w:val="single" w:sz="4" w:space="0" w:color="000000"/>
              <w:right w:val="nil"/>
            </w:tcBorders>
            <w:noWrap/>
            <w:vAlign w:val="center"/>
          </w:tcPr>
          <w:p w14:paraId="190117ED"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Model 3</w:t>
            </w:r>
          </w:p>
        </w:tc>
        <w:tc>
          <w:tcPr>
            <w:tcW w:w="0" w:type="auto"/>
            <w:tcBorders>
              <w:top w:val="nil"/>
              <w:left w:val="nil"/>
              <w:bottom w:val="single" w:sz="4" w:space="0" w:color="000000"/>
              <w:right w:val="nil"/>
            </w:tcBorders>
            <w:noWrap/>
            <w:vAlign w:val="center"/>
          </w:tcPr>
          <w:p w14:paraId="59FF914C"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1.177 (1.164</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1.191)</w:t>
            </w:r>
          </w:p>
        </w:tc>
        <w:tc>
          <w:tcPr>
            <w:tcW w:w="0" w:type="auto"/>
            <w:tcBorders>
              <w:top w:val="nil"/>
              <w:left w:val="nil"/>
              <w:bottom w:val="single" w:sz="4" w:space="0" w:color="000000"/>
              <w:right w:val="nil"/>
            </w:tcBorders>
            <w:noWrap/>
            <w:vAlign w:val="center"/>
          </w:tcPr>
          <w:p w14:paraId="3C760546"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&lt;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0.001</w:t>
            </w:r>
          </w:p>
        </w:tc>
      </w:tr>
      <w:tr w:rsidR="009636CB" w14:paraId="6125D06F" w14:textId="77777777" w:rsidTr="005D66D4">
        <w:trPr>
          <w:trHeight w:val="1860"/>
          <w:jc w:val="center"/>
        </w:trPr>
        <w:tc>
          <w:tcPr>
            <w:tcW w:w="4140" w:type="dxa"/>
            <w:gridSpan w:val="3"/>
            <w:tcBorders>
              <w:top w:val="nil"/>
              <w:left w:val="nil"/>
              <w:bottom w:val="nil"/>
              <w:right w:val="nil"/>
            </w:tcBorders>
          </w:tcPr>
          <w:p w14:paraId="3DC59D06" w14:textId="77777777" w:rsidR="009636CB" w:rsidRDefault="009636CB" w:rsidP="005D66D4">
            <w:pPr>
              <w:widowControl/>
              <w:jc w:val="left"/>
              <w:textAlignment w:val="top"/>
              <w:rPr>
                <w:rFonts w:ascii="Times New Roman" w:hAnsi="Times New Roman"/>
                <w:b/>
                <w:bCs/>
                <w:color w:val="000000"/>
                <w:sz w:val="20"/>
                <w:szCs w:val="20"/>
              </w:rPr>
            </w:pPr>
            <w:r>
              <w:rPr>
                <w:rFonts w:ascii="Times New Roman" w:hAnsi="Times New Roman"/>
                <w:b/>
                <w:bCs/>
                <w:color w:val="000000"/>
                <w:kern w:val="0"/>
                <w:sz w:val="20"/>
                <w:szCs w:val="20"/>
                <w:lang w:bidi="ar"/>
              </w:rPr>
              <w:t>Note:</w:t>
            </w:r>
            <w:r>
              <w:rPr>
                <w:rFonts w:ascii="Times New Roman" w:hAnsi="Times New Roman"/>
                <w:color w:val="000000"/>
                <w:kern w:val="0"/>
                <w:sz w:val="20"/>
                <w:szCs w:val="20"/>
                <w:lang w:bidi="ar"/>
              </w:rPr>
              <w:t xml:space="preserve"> Odds ratios (ORs) represent the increase in the odds of depressive symptoms associated with each additional painful anatomical site. Model adjustments were identical to those described in Table 3.</w:t>
            </w:r>
          </w:p>
        </w:tc>
      </w:tr>
    </w:tbl>
    <w:p w14:paraId="02BA29B0" w14:textId="77777777" w:rsidR="009636CB" w:rsidRDefault="009636CB" w:rsidP="009636CB">
      <w:pPr>
        <w:spacing w:line="360" w:lineRule="auto"/>
        <w:jc w:val="left"/>
        <w:rPr>
          <w:rFonts w:ascii="Times New Roman" w:eastAsia="KaiTi" w:hAnsi="Times New Roman"/>
          <w:b/>
          <w:bCs/>
          <w:color w:val="000000"/>
          <w:szCs w:val="21"/>
        </w:rPr>
      </w:pPr>
    </w:p>
    <w:p w14:paraId="3ADE05FA" w14:textId="77777777" w:rsidR="009636CB" w:rsidRDefault="009636CB" w:rsidP="009636CB">
      <w:pPr>
        <w:spacing w:line="360" w:lineRule="auto"/>
        <w:jc w:val="left"/>
        <w:rPr>
          <w:rFonts w:ascii="Times New Roman" w:eastAsia="KaiTi" w:hAnsi="Times New Roman"/>
          <w:b/>
          <w:bCs/>
          <w:color w:val="000000"/>
          <w:szCs w:val="21"/>
        </w:rPr>
      </w:pPr>
    </w:p>
    <w:tbl>
      <w:tblPr>
        <w:tblW w:w="8665" w:type="dxa"/>
        <w:tblInd w:w="96" w:type="dxa"/>
        <w:tblLook w:val="04A0" w:firstRow="1" w:lastRow="0" w:firstColumn="1" w:lastColumn="0" w:noHBand="0" w:noVBand="1"/>
      </w:tblPr>
      <w:tblGrid>
        <w:gridCol w:w="5334"/>
        <w:gridCol w:w="1260"/>
        <w:gridCol w:w="2071"/>
      </w:tblGrid>
      <w:tr w:rsidR="009636CB" w14:paraId="4F61CF50" w14:textId="77777777" w:rsidTr="005D66D4">
        <w:trPr>
          <w:trHeight w:val="780"/>
        </w:trPr>
        <w:tc>
          <w:tcPr>
            <w:tcW w:w="8664" w:type="dxa"/>
            <w:gridSpan w:val="3"/>
            <w:tcBorders>
              <w:top w:val="nil"/>
              <w:left w:val="nil"/>
              <w:bottom w:val="nil"/>
              <w:right w:val="nil"/>
            </w:tcBorders>
            <w:vAlign w:val="center"/>
          </w:tcPr>
          <w:p w14:paraId="729814C5" w14:textId="77777777" w:rsidR="009636CB" w:rsidRDefault="009636CB" w:rsidP="005D66D4">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Supplementary Table S2. Mediation analysis of sleep duration in the association between pain burden and depressive symptoms</w:t>
            </w:r>
          </w:p>
        </w:tc>
      </w:tr>
      <w:tr w:rsidR="009636CB" w14:paraId="4842DD0A" w14:textId="77777777" w:rsidTr="005D66D4">
        <w:trPr>
          <w:trHeight w:val="288"/>
        </w:trPr>
        <w:tc>
          <w:tcPr>
            <w:tcW w:w="0" w:type="auto"/>
            <w:tcBorders>
              <w:top w:val="single" w:sz="4" w:space="0" w:color="000000"/>
              <w:left w:val="nil"/>
              <w:bottom w:val="single" w:sz="4" w:space="0" w:color="000000"/>
              <w:right w:val="nil"/>
            </w:tcBorders>
            <w:noWrap/>
            <w:vAlign w:val="center"/>
          </w:tcPr>
          <w:p w14:paraId="765B12BD" w14:textId="77777777" w:rsidR="009636CB" w:rsidRDefault="009636CB" w:rsidP="005D66D4">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Parameter</w:t>
            </w:r>
          </w:p>
        </w:tc>
        <w:tc>
          <w:tcPr>
            <w:tcW w:w="0" w:type="auto"/>
            <w:tcBorders>
              <w:top w:val="single" w:sz="4" w:space="0" w:color="000000"/>
              <w:left w:val="nil"/>
              <w:bottom w:val="single" w:sz="4" w:space="0" w:color="000000"/>
              <w:right w:val="nil"/>
            </w:tcBorders>
            <w:noWrap/>
            <w:vAlign w:val="center"/>
          </w:tcPr>
          <w:p w14:paraId="1EEAE555" w14:textId="77777777" w:rsidR="009636CB" w:rsidRDefault="009636CB" w:rsidP="005D66D4">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Estimate</w:t>
            </w:r>
          </w:p>
        </w:tc>
        <w:tc>
          <w:tcPr>
            <w:tcW w:w="0" w:type="auto"/>
            <w:tcBorders>
              <w:top w:val="single" w:sz="4" w:space="0" w:color="000000"/>
              <w:left w:val="nil"/>
              <w:bottom w:val="single" w:sz="4" w:space="0" w:color="000000"/>
              <w:right w:val="nil"/>
            </w:tcBorders>
            <w:noWrap/>
            <w:vAlign w:val="center"/>
          </w:tcPr>
          <w:p w14:paraId="346CAD58" w14:textId="77777777" w:rsidR="009636CB" w:rsidRDefault="009636CB" w:rsidP="005D66D4">
            <w:pPr>
              <w:widowControl/>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95% CI</w:t>
            </w:r>
          </w:p>
        </w:tc>
      </w:tr>
      <w:tr w:rsidR="009636CB" w14:paraId="332FFB48" w14:textId="77777777" w:rsidTr="005D66D4">
        <w:trPr>
          <w:trHeight w:val="288"/>
        </w:trPr>
        <w:tc>
          <w:tcPr>
            <w:tcW w:w="0" w:type="auto"/>
            <w:tcBorders>
              <w:top w:val="nil"/>
              <w:left w:val="nil"/>
              <w:bottom w:val="nil"/>
              <w:right w:val="nil"/>
            </w:tcBorders>
            <w:noWrap/>
            <w:vAlign w:val="center"/>
          </w:tcPr>
          <w:p w14:paraId="48269AD4"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Indirect effect</w:t>
            </w:r>
          </w:p>
        </w:tc>
        <w:tc>
          <w:tcPr>
            <w:tcW w:w="0" w:type="auto"/>
            <w:tcBorders>
              <w:top w:val="nil"/>
              <w:left w:val="nil"/>
              <w:bottom w:val="nil"/>
              <w:right w:val="nil"/>
            </w:tcBorders>
            <w:noWrap/>
            <w:vAlign w:val="center"/>
          </w:tcPr>
          <w:p w14:paraId="0C0E9AD3"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 xml:space="preserve">0.020 </w:t>
            </w:r>
          </w:p>
        </w:tc>
        <w:tc>
          <w:tcPr>
            <w:tcW w:w="0" w:type="auto"/>
            <w:tcBorders>
              <w:top w:val="nil"/>
              <w:left w:val="nil"/>
              <w:bottom w:val="nil"/>
              <w:right w:val="nil"/>
            </w:tcBorders>
            <w:noWrap/>
            <w:vAlign w:val="center"/>
          </w:tcPr>
          <w:p w14:paraId="27564208"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0.017</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0.023</w:t>
            </w:r>
          </w:p>
        </w:tc>
      </w:tr>
      <w:tr w:rsidR="009636CB" w14:paraId="667FF22C" w14:textId="77777777" w:rsidTr="005D66D4">
        <w:trPr>
          <w:trHeight w:val="288"/>
        </w:trPr>
        <w:tc>
          <w:tcPr>
            <w:tcW w:w="0" w:type="auto"/>
            <w:tcBorders>
              <w:top w:val="nil"/>
              <w:left w:val="nil"/>
              <w:bottom w:val="nil"/>
              <w:right w:val="nil"/>
            </w:tcBorders>
            <w:noWrap/>
            <w:vAlign w:val="center"/>
          </w:tcPr>
          <w:p w14:paraId="52C7D2D8"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Direct effect</w:t>
            </w:r>
          </w:p>
        </w:tc>
        <w:tc>
          <w:tcPr>
            <w:tcW w:w="0" w:type="auto"/>
            <w:tcBorders>
              <w:top w:val="nil"/>
              <w:left w:val="nil"/>
              <w:bottom w:val="nil"/>
              <w:right w:val="nil"/>
            </w:tcBorders>
            <w:noWrap/>
            <w:vAlign w:val="center"/>
          </w:tcPr>
          <w:p w14:paraId="56F09291"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0.148</w:t>
            </w:r>
          </w:p>
        </w:tc>
        <w:tc>
          <w:tcPr>
            <w:tcW w:w="0" w:type="auto"/>
            <w:tcBorders>
              <w:top w:val="nil"/>
              <w:left w:val="nil"/>
              <w:bottom w:val="nil"/>
              <w:right w:val="nil"/>
            </w:tcBorders>
            <w:noWrap/>
            <w:vAlign w:val="center"/>
          </w:tcPr>
          <w:p w14:paraId="6633A64E"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0.136</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0.160</w:t>
            </w:r>
          </w:p>
        </w:tc>
      </w:tr>
      <w:tr w:rsidR="009636CB" w14:paraId="0ED1D37B" w14:textId="77777777" w:rsidTr="005D66D4">
        <w:trPr>
          <w:trHeight w:val="288"/>
        </w:trPr>
        <w:tc>
          <w:tcPr>
            <w:tcW w:w="0" w:type="auto"/>
            <w:tcBorders>
              <w:top w:val="nil"/>
              <w:left w:val="nil"/>
              <w:bottom w:val="nil"/>
              <w:right w:val="nil"/>
            </w:tcBorders>
            <w:noWrap/>
            <w:vAlign w:val="center"/>
          </w:tcPr>
          <w:p w14:paraId="557A7B24"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Total effect</w:t>
            </w:r>
          </w:p>
        </w:tc>
        <w:tc>
          <w:tcPr>
            <w:tcW w:w="0" w:type="auto"/>
            <w:tcBorders>
              <w:top w:val="nil"/>
              <w:left w:val="nil"/>
              <w:bottom w:val="nil"/>
              <w:right w:val="nil"/>
            </w:tcBorders>
            <w:noWrap/>
            <w:vAlign w:val="center"/>
          </w:tcPr>
          <w:p w14:paraId="56D30944"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0.163</w:t>
            </w:r>
          </w:p>
        </w:tc>
        <w:tc>
          <w:tcPr>
            <w:tcW w:w="0" w:type="auto"/>
            <w:tcBorders>
              <w:top w:val="nil"/>
              <w:left w:val="nil"/>
              <w:bottom w:val="nil"/>
              <w:right w:val="nil"/>
            </w:tcBorders>
            <w:noWrap/>
            <w:vAlign w:val="center"/>
          </w:tcPr>
          <w:p w14:paraId="791752D6"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0.152</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0.175</w:t>
            </w:r>
          </w:p>
        </w:tc>
      </w:tr>
      <w:tr w:rsidR="009636CB" w14:paraId="6A00CCFA" w14:textId="77777777" w:rsidTr="005D66D4">
        <w:trPr>
          <w:trHeight w:val="288"/>
        </w:trPr>
        <w:tc>
          <w:tcPr>
            <w:tcW w:w="0" w:type="auto"/>
            <w:tcBorders>
              <w:top w:val="nil"/>
              <w:left w:val="nil"/>
              <w:bottom w:val="nil"/>
              <w:right w:val="nil"/>
            </w:tcBorders>
            <w:noWrap/>
            <w:vAlign w:val="center"/>
          </w:tcPr>
          <w:p w14:paraId="22AAD35A"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Proportion mediated</w:t>
            </w:r>
          </w:p>
        </w:tc>
        <w:tc>
          <w:tcPr>
            <w:tcW w:w="0" w:type="auto"/>
            <w:tcBorders>
              <w:top w:val="nil"/>
              <w:left w:val="nil"/>
              <w:bottom w:val="nil"/>
              <w:right w:val="nil"/>
            </w:tcBorders>
            <w:noWrap/>
            <w:vAlign w:val="center"/>
          </w:tcPr>
          <w:p w14:paraId="0E7AE9FB"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12.1%</w:t>
            </w:r>
          </w:p>
        </w:tc>
        <w:tc>
          <w:tcPr>
            <w:tcW w:w="0" w:type="auto"/>
            <w:tcBorders>
              <w:top w:val="nil"/>
              <w:left w:val="nil"/>
              <w:bottom w:val="nil"/>
              <w:right w:val="nil"/>
            </w:tcBorders>
            <w:noWrap/>
            <w:vAlign w:val="center"/>
          </w:tcPr>
          <w:p w14:paraId="1C6F0433"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10.3%</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w:t>
            </w:r>
            <w:r>
              <w:rPr>
                <w:rFonts w:ascii="Times New Roman" w:hAnsi="Times New Roman" w:hint="eastAsia"/>
                <w:color w:val="000000"/>
                <w:kern w:val="0"/>
                <w:sz w:val="20"/>
                <w:szCs w:val="20"/>
                <w:lang w:bidi="ar"/>
              </w:rPr>
              <w:t xml:space="preserve"> </w:t>
            </w:r>
            <w:r>
              <w:rPr>
                <w:rFonts w:ascii="Times New Roman" w:hAnsi="Times New Roman"/>
                <w:color w:val="000000"/>
                <w:kern w:val="0"/>
                <w:sz w:val="20"/>
                <w:szCs w:val="20"/>
                <w:lang w:bidi="ar"/>
              </w:rPr>
              <w:t>14.3%</w:t>
            </w:r>
          </w:p>
        </w:tc>
      </w:tr>
      <w:tr w:rsidR="009636CB" w14:paraId="6BDA3262" w14:textId="77777777" w:rsidTr="005D66D4">
        <w:trPr>
          <w:trHeight w:val="288"/>
        </w:trPr>
        <w:tc>
          <w:tcPr>
            <w:tcW w:w="0" w:type="auto"/>
            <w:tcBorders>
              <w:top w:val="nil"/>
              <w:left w:val="nil"/>
              <w:bottom w:val="nil"/>
              <w:right w:val="nil"/>
            </w:tcBorders>
            <w:noWrap/>
            <w:vAlign w:val="center"/>
          </w:tcPr>
          <w:p w14:paraId="3BC4725B"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a path (Pain burden → Sleep duration)</w:t>
            </w:r>
          </w:p>
        </w:tc>
        <w:tc>
          <w:tcPr>
            <w:tcW w:w="0" w:type="auto"/>
            <w:tcBorders>
              <w:top w:val="nil"/>
              <w:left w:val="nil"/>
              <w:bottom w:val="nil"/>
              <w:right w:val="nil"/>
            </w:tcBorders>
            <w:noWrap/>
            <w:vAlign w:val="center"/>
          </w:tcPr>
          <w:p w14:paraId="7A63D73C"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−0.101</w:t>
            </w:r>
          </w:p>
        </w:tc>
        <w:tc>
          <w:tcPr>
            <w:tcW w:w="0" w:type="auto"/>
            <w:tcBorders>
              <w:top w:val="nil"/>
              <w:left w:val="nil"/>
              <w:bottom w:val="nil"/>
              <w:right w:val="nil"/>
            </w:tcBorders>
            <w:noWrap/>
            <w:vAlign w:val="center"/>
          </w:tcPr>
          <w:p w14:paraId="63451241"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−0.109 to −0.092</w:t>
            </w:r>
          </w:p>
        </w:tc>
      </w:tr>
      <w:tr w:rsidR="009636CB" w14:paraId="135D6BCC" w14:textId="77777777" w:rsidTr="005D66D4">
        <w:trPr>
          <w:trHeight w:val="288"/>
        </w:trPr>
        <w:tc>
          <w:tcPr>
            <w:tcW w:w="0" w:type="auto"/>
            <w:tcBorders>
              <w:top w:val="nil"/>
              <w:left w:val="nil"/>
              <w:bottom w:val="single" w:sz="4" w:space="0" w:color="000000"/>
              <w:right w:val="nil"/>
            </w:tcBorders>
            <w:noWrap/>
            <w:vAlign w:val="center"/>
          </w:tcPr>
          <w:p w14:paraId="2CCBD396"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b path (Sleep duration → Depressive symptoms)</w:t>
            </w:r>
          </w:p>
        </w:tc>
        <w:tc>
          <w:tcPr>
            <w:tcW w:w="0" w:type="auto"/>
            <w:tcBorders>
              <w:top w:val="nil"/>
              <w:left w:val="nil"/>
              <w:bottom w:val="single" w:sz="4" w:space="0" w:color="000000"/>
              <w:right w:val="nil"/>
            </w:tcBorders>
            <w:noWrap/>
            <w:vAlign w:val="center"/>
          </w:tcPr>
          <w:p w14:paraId="2280F03E"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−0.197</w:t>
            </w:r>
          </w:p>
        </w:tc>
        <w:tc>
          <w:tcPr>
            <w:tcW w:w="0" w:type="auto"/>
            <w:tcBorders>
              <w:top w:val="nil"/>
              <w:left w:val="nil"/>
              <w:bottom w:val="single" w:sz="4" w:space="0" w:color="000000"/>
              <w:right w:val="nil"/>
            </w:tcBorders>
            <w:noWrap/>
            <w:vAlign w:val="center"/>
          </w:tcPr>
          <w:p w14:paraId="478D50B1" w14:textId="77777777" w:rsidR="009636CB" w:rsidRDefault="009636CB" w:rsidP="005D66D4">
            <w:pPr>
              <w:widowControl/>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−0.221 to −0.175</w:t>
            </w:r>
          </w:p>
        </w:tc>
      </w:tr>
      <w:tr w:rsidR="009636CB" w14:paraId="68E42F7B" w14:textId="77777777" w:rsidTr="005D66D4">
        <w:trPr>
          <w:trHeight w:val="1940"/>
        </w:trPr>
        <w:tc>
          <w:tcPr>
            <w:tcW w:w="8664" w:type="dxa"/>
            <w:gridSpan w:val="3"/>
            <w:tcBorders>
              <w:top w:val="nil"/>
              <w:left w:val="nil"/>
              <w:bottom w:val="nil"/>
              <w:right w:val="nil"/>
            </w:tcBorders>
          </w:tcPr>
          <w:p w14:paraId="01FD2E41" w14:textId="77777777" w:rsidR="009636CB" w:rsidRDefault="009636CB" w:rsidP="005D66D4">
            <w:pPr>
              <w:widowControl/>
              <w:jc w:val="left"/>
              <w:textAlignment w:val="top"/>
              <w:rPr>
                <w:rFonts w:ascii="Times New Roman" w:hAnsi="Times New Roman"/>
                <w:b/>
                <w:bCs/>
                <w:color w:val="000000"/>
                <w:sz w:val="20"/>
                <w:szCs w:val="20"/>
              </w:rPr>
            </w:pPr>
            <w:r>
              <w:rPr>
                <w:rFonts w:ascii="Times New Roman" w:hAnsi="Times New Roman"/>
                <w:b/>
                <w:bCs/>
                <w:color w:val="000000"/>
                <w:kern w:val="0"/>
                <w:sz w:val="20"/>
                <w:szCs w:val="20"/>
                <w:lang w:bidi="ar"/>
              </w:rPr>
              <w:t xml:space="preserve">Note: </w:t>
            </w:r>
            <w:r>
              <w:rPr>
                <w:rFonts w:ascii="Times New Roman" w:hAnsi="Times New Roman"/>
                <w:color w:val="000000"/>
                <w:kern w:val="0"/>
                <w:sz w:val="20"/>
                <w:szCs w:val="20"/>
                <w:lang w:bidi="ar"/>
              </w:rPr>
              <w:t>The mediation analysis was performed using bootstrap resampling (5,000 iterations). The indirect effect represents the effect of pain burden on depressive symptoms mediated through sleep duration. The direct effect represents the association between pain burden and depressive symptoms after accounting for sleep duration. The total effect is the sum of the direct and indirect effects. The proportion mediated was calculated as the indirect effect divided by the total effect. The a path denotes the association between pain burden and sleep duration, whereas the b path denotes the association between sleep duration and depressive symptoms after adjustment for pain burden.</w:t>
            </w:r>
          </w:p>
        </w:tc>
      </w:tr>
    </w:tbl>
    <w:p w14:paraId="14FE608C" w14:textId="77777777" w:rsidR="009636CB" w:rsidRDefault="009636CB" w:rsidP="009636CB">
      <w:pPr>
        <w:spacing w:line="360" w:lineRule="auto"/>
        <w:jc w:val="left"/>
        <w:rPr>
          <w:rFonts w:ascii="Times New Roman" w:eastAsia="KaiTi" w:hAnsi="Times New Roman"/>
          <w:b/>
          <w:bCs/>
          <w:color w:val="000000"/>
          <w:szCs w:val="21"/>
        </w:rPr>
      </w:pPr>
    </w:p>
    <w:p w14:paraId="7DCAA3B0" w14:textId="77777777" w:rsidR="009636CB" w:rsidRDefault="009636CB" w:rsidP="009636CB">
      <w:pPr>
        <w:spacing w:line="360" w:lineRule="auto"/>
        <w:jc w:val="left"/>
        <w:rPr>
          <w:rFonts w:ascii="Times New Roman" w:eastAsia="KaiTi" w:hAnsi="Times New Roman"/>
          <w:b/>
          <w:bCs/>
          <w:color w:val="000000"/>
          <w:szCs w:val="21"/>
        </w:rPr>
      </w:pPr>
    </w:p>
    <w:p w14:paraId="61F6860E" w14:textId="77777777" w:rsidR="009636CB" w:rsidRDefault="009636CB" w:rsidP="009636CB">
      <w:pPr>
        <w:spacing w:line="360" w:lineRule="auto"/>
        <w:jc w:val="left"/>
        <w:rPr>
          <w:rFonts w:ascii="Times New Roman" w:eastAsia="FangSong" w:hAnsi="Times New Roman"/>
          <w:sz w:val="18"/>
          <w:szCs w:val="18"/>
        </w:rPr>
      </w:pPr>
    </w:p>
    <w:p w14:paraId="4981AF50" w14:textId="77777777" w:rsidR="009636CB" w:rsidRDefault="009636CB" w:rsidP="009636CB">
      <w:pPr>
        <w:spacing w:line="360" w:lineRule="auto"/>
        <w:rPr>
          <w:rFonts w:ascii="Times New Roman" w:hAnsi="Times New Roman"/>
          <w:szCs w:val="21"/>
        </w:rPr>
      </w:pPr>
    </w:p>
    <w:p w14:paraId="0F2F5CF1" w14:textId="77777777" w:rsidR="009636CB" w:rsidRDefault="009636CB" w:rsidP="009636CB">
      <w:pPr>
        <w:spacing w:line="360" w:lineRule="auto"/>
        <w:ind w:firstLineChars="200" w:firstLine="420"/>
        <w:rPr>
          <w:rFonts w:ascii="FangSong" w:eastAsia="FangSong" w:hAnsi="FangSong" w:cs="FangSong"/>
          <w:color w:val="FF0000"/>
          <w:szCs w:val="21"/>
        </w:rPr>
      </w:pPr>
    </w:p>
    <w:p w14:paraId="51073815" w14:textId="77777777" w:rsidR="00E023F9" w:rsidRDefault="00E023F9"/>
    <w:sectPr w:rsidR="00E02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KaiTi">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CB"/>
    <w:rsid w:val="000C4033"/>
    <w:rsid w:val="00173ED8"/>
    <w:rsid w:val="002F50B1"/>
    <w:rsid w:val="004B42CB"/>
    <w:rsid w:val="005F2B46"/>
    <w:rsid w:val="006E1731"/>
    <w:rsid w:val="00866D74"/>
    <w:rsid w:val="00882A73"/>
    <w:rsid w:val="008D3985"/>
    <w:rsid w:val="00906905"/>
    <w:rsid w:val="0095305D"/>
    <w:rsid w:val="009636CB"/>
    <w:rsid w:val="00B10170"/>
    <w:rsid w:val="00B260B7"/>
    <w:rsid w:val="00B85331"/>
    <w:rsid w:val="00C94D66"/>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CD50"/>
  <w15:chartTrackingRefBased/>
  <w15:docId w15:val="{AC8BEC34-4192-4B11-93B8-2DF985A0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CB"/>
    <w:pPr>
      <w:widowControl w:val="0"/>
      <w:spacing w:after="0" w:line="240" w:lineRule="auto"/>
      <w:jc w:val="both"/>
    </w:pPr>
    <w:rPr>
      <w:rFonts w:ascii="Calibri" w:eastAsia="SimSun" w:hAnsi="Calibri" w:cs="Times New Roman"/>
      <w:sz w:val="21"/>
      <w:lang w:val="en-US" w:eastAsia="zh-CN"/>
      <w14:ligatures w14:val="none"/>
    </w:rPr>
  </w:style>
  <w:style w:type="paragraph" w:styleId="Heading1">
    <w:name w:val="heading 1"/>
    <w:basedOn w:val="Normal"/>
    <w:next w:val="Normal"/>
    <w:link w:val="Heading1Char"/>
    <w:uiPriority w:val="9"/>
    <w:qFormat/>
    <w:rsid w:val="009636CB"/>
    <w:pPr>
      <w:keepNext/>
      <w:keepLines/>
      <w:widowControl/>
      <w:spacing w:before="360" w:after="80" w:line="278" w:lineRule="auto"/>
      <w:jc w:val="left"/>
      <w:outlineLvl w:val="0"/>
    </w:pPr>
    <w:rPr>
      <w:rFonts w:asciiTheme="majorHAnsi" w:eastAsiaTheme="majorEastAsia" w:hAnsiTheme="majorHAnsi" w:cstheme="majorBidi"/>
      <w:color w:val="0F4761" w:themeColor="accent1" w:themeShade="BF"/>
      <w:sz w:val="40"/>
      <w:szCs w:val="40"/>
      <w:lang w:val="en-IN" w:eastAsia="en-US"/>
      <w14:ligatures w14:val="standardContextual"/>
    </w:rPr>
  </w:style>
  <w:style w:type="paragraph" w:styleId="Heading2">
    <w:name w:val="heading 2"/>
    <w:basedOn w:val="Normal"/>
    <w:next w:val="Normal"/>
    <w:link w:val="Heading2Char"/>
    <w:uiPriority w:val="9"/>
    <w:semiHidden/>
    <w:unhideWhenUsed/>
    <w:qFormat/>
    <w:rsid w:val="009636CB"/>
    <w:pPr>
      <w:keepNext/>
      <w:keepLines/>
      <w:widowControl/>
      <w:spacing w:before="160" w:after="80" w:line="278" w:lineRule="auto"/>
      <w:jc w:val="left"/>
      <w:outlineLvl w:val="1"/>
    </w:pPr>
    <w:rPr>
      <w:rFonts w:asciiTheme="majorHAnsi" w:eastAsiaTheme="majorEastAsia" w:hAnsiTheme="majorHAnsi" w:cstheme="majorBidi"/>
      <w:color w:val="0F4761" w:themeColor="accent1" w:themeShade="BF"/>
      <w:sz w:val="32"/>
      <w:szCs w:val="32"/>
      <w:lang w:val="en-IN" w:eastAsia="en-US"/>
      <w14:ligatures w14:val="standardContextual"/>
    </w:rPr>
  </w:style>
  <w:style w:type="paragraph" w:styleId="Heading3">
    <w:name w:val="heading 3"/>
    <w:basedOn w:val="Normal"/>
    <w:next w:val="Normal"/>
    <w:link w:val="Heading3Char"/>
    <w:uiPriority w:val="9"/>
    <w:semiHidden/>
    <w:unhideWhenUsed/>
    <w:qFormat/>
    <w:rsid w:val="009636CB"/>
    <w:pPr>
      <w:keepNext/>
      <w:keepLines/>
      <w:widowControl/>
      <w:spacing w:before="160" w:after="80" w:line="278" w:lineRule="auto"/>
      <w:jc w:val="left"/>
      <w:outlineLvl w:val="2"/>
    </w:pPr>
    <w:rPr>
      <w:rFonts w:asciiTheme="minorHAnsi" w:eastAsiaTheme="majorEastAsia" w:hAnsiTheme="minorHAnsi" w:cstheme="majorBidi"/>
      <w:color w:val="0F4761" w:themeColor="accent1" w:themeShade="BF"/>
      <w:sz w:val="28"/>
      <w:szCs w:val="28"/>
      <w:lang w:val="en-IN" w:eastAsia="en-US"/>
      <w14:ligatures w14:val="standardContextual"/>
    </w:rPr>
  </w:style>
  <w:style w:type="paragraph" w:styleId="Heading4">
    <w:name w:val="heading 4"/>
    <w:basedOn w:val="Normal"/>
    <w:next w:val="Normal"/>
    <w:link w:val="Heading4Char"/>
    <w:uiPriority w:val="9"/>
    <w:semiHidden/>
    <w:unhideWhenUsed/>
    <w:qFormat/>
    <w:rsid w:val="009636CB"/>
    <w:pPr>
      <w:keepNext/>
      <w:keepLines/>
      <w:widowControl/>
      <w:spacing w:before="80" w:after="40" w:line="278" w:lineRule="auto"/>
      <w:jc w:val="left"/>
      <w:outlineLvl w:val="3"/>
    </w:pPr>
    <w:rPr>
      <w:rFonts w:asciiTheme="minorHAnsi" w:eastAsiaTheme="majorEastAsia" w:hAnsiTheme="minorHAnsi" w:cstheme="majorBidi"/>
      <w:i/>
      <w:iCs/>
      <w:color w:val="0F4761" w:themeColor="accent1" w:themeShade="BF"/>
      <w:sz w:val="24"/>
      <w:lang w:val="en-IN" w:eastAsia="en-US"/>
      <w14:ligatures w14:val="standardContextual"/>
    </w:rPr>
  </w:style>
  <w:style w:type="paragraph" w:styleId="Heading5">
    <w:name w:val="heading 5"/>
    <w:basedOn w:val="Normal"/>
    <w:next w:val="Normal"/>
    <w:link w:val="Heading5Char"/>
    <w:uiPriority w:val="9"/>
    <w:semiHidden/>
    <w:unhideWhenUsed/>
    <w:qFormat/>
    <w:rsid w:val="009636CB"/>
    <w:pPr>
      <w:keepNext/>
      <w:keepLines/>
      <w:widowControl/>
      <w:spacing w:before="80" w:after="40" w:line="278" w:lineRule="auto"/>
      <w:jc w:val="left"/>
      <w:outlineLvl w:val="4"/>
    </w:pPr>
    <w:rPr>
      <w:rFonts w:asciiTheme="minorHAnsi" w:eastAsiaTheme="majorEastAsia" w:hAnsiTheme="minorHAnsi" w:cstheme="majorBidi"/>
      <w:color w:val="0F4761" w:themeColor="accent1" w:themeShade="BF"/>
      <w:sz w:val="24"/>
      <w:lang w:val="en-IN" w:eastAsia="en-US"/>
      <w14:ligatures w14:val="standardContextual"/>
    </w:rPr>
  </w:style>
  <w:style w:type="paragraph" w:styleId="Heading6">
    <w:name w:val="heading 6"/>
    <w:basedOn w:val="Normal"/>
    <w:next w:val="Normal"/>
    <w:link w:val="Heading6Char"/>
    <w:uiPriority w:val="9"/>
    <w:semiHidden/>
    <w:unhideWhenUsed/>
    <w:qFormat/>
    <w:rsid w:val="009636CB"/>
    <w:pPr>
      <w:keepNext/>
      <w:keepLines/>
      <w:widowControl/>
      <w:spacing w:before="40" w:line="278" w:lineRule="auto"/>
      <w:jc w:val="left"/>
      <w:outlineLvl w:val="5"/>
    </w:pPr>
    <w:rPr>
      <w:rFonts w:asciiTheme="minorHAnsi" w:eastAsiaTheme="majorEastAsia" w:hAnsiTheme="minorHAnsi" w:cstheme="majorBidi"/>
      <w:i/>
      <w:iCs/>
      <w:color w:val="595959" w:themeColor="text1" w:themeTint="A6"/>
      <w:sz w:val="24"/>
      <w:lang w:val="en-IN" w:eastAsia="en-US"/>
      <w14:ligatures w14:val="standardContextual"/>
    </w:rPr>
  </w:style>
  <w:style w:type="paragraph" w:styleId="Heading7">
    <w:name w:val="heading 7"/>
    <w:basedOn w:val="Normal"/>
    <w:next w:val="Normal"/>
    <w:link w:val="Heading7Char"/>
    <w:uiPriority w:val="9"/>
    <w:semiHidden/>
    <w:unhideWhenUsed/>
    <w:qFormat/>
    <w:rsid w:val="009636CB"/>
    <w:pPr>
      <w:keepNext/>
      <w:keepLines/>
      <w:widowControl/>
      <w:spacing w:before="40" w:line="278" w:lineRule="auto"/>
      <w:jc w:val="left"/>
      <w:outlineLvl w:val="6"/>
    </w:pPr>
    <w:rPr>
      <w:rFonts w:asciiTheme="minorHAnsi" w:eastAsiaTheme="majorEastAsia" w:hAnsiTheme="minorHAnsi" w:cstheme="majorBidi"/>
      <w:color w:val="595959" w:themeColor="text1" w:themeTint="A6"/>
      <w:sz w:val="24"/>
      <w:lang w:val="en-IN" w:eastAsia="en-US"/>
      <w14:ligatures w14:val="standardContextual"/>
    </w:rPr>
  </w:style>
  <w:style w:type="paragraph" w:styleId="Heading8">
    <w:name w:val="heading 8"/>
    <w:basedOn w:val="Normal"/>
    <w:next w:val="Normal"/>
    <w:link w:val="Heading8Char"/>
    <w:uiPriority w:val="9"/>
    <w:semiHidden/>
    <w:unhideWhenUsed/>
    <w:qFormat/>
    <w:rsid w:val="009636CB"/>
    <w:pPr>
      <w:keepNext/>
      <w:keepLines/>
      <w:widowControl/>
      <w:spacing w:line="278" w:lineRule="auto"/>
      <w:jc w:val="left"/>
      <w:outlineLvl w:val="7"/>
    </w:pPr>
    <w:rPr>
      <w:rFonts w:asciiTheme="minorHAnsi" w:eastAsiaTheme="majorEastAsia" w:hAnsiTheme="minorHAnsi" w:cstheme="majorBidi"/>
      <w:i/>
      <w:iCs/>
      <w:color w:val="272727" w:themeColor="text1" w:themeTint="D8"/>
      <w:sz w:val="24"/>
      <w:lang w:val="en-IN" w:eastAsia="en-US"/>
      <w14:ligatures w14:val="standardContextual"/>
    </w:rPr>
  </w:style>
  <w:style w:type="paragraph" w:styleId="Heading9">
    <w:name w:val="heading 9"/>
    <w:basedOn w:val="Normal"/>
    <w:next w:val="Normal"/>
    <w:link w:val="Heading9Char"/>
    <w:uiPriority w:val="9"/>
    <w:semiHidden/>
    <w:unhideWhenUsed/>
    <w:qFormat/>
    <w:rsid w:val="009636CB"/>
    <w:pPr>
      <w:keepNext/>
      <w:keepLines/>
      <w:widowControl/>
      <w:spacing w:line="278" w:lineRule="auto"/>
      <w:jc w:val="left"/>
      <w:outlineLvl w:val="8"/>
    </w:pPr>
    <w:rPr>
      <w:rFonts w:asciiTheme="minorHAnsi" w:eastAsiaTheme="majorEastAsia" w:hAnsiTheme="minorHAnsi" w:cstheme="majorBidi"/>
      <w:color w:val="272727" w:themeColor="text1" w:themeTint="D8"/>
      <w:sz w:val="24"/>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36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36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36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36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3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6CB"/>
    <w:rPr>
      <w:rFonts w:eastAsiaTheme="majorEastAsia" w:cstheme="majorBidi"/>
      <w:color w:val="272727" w:themeColor="text1" w:themeTint="D8"/>
    </w:rPr>
  </w:style>
  <w:style w:type="paragraph" w:styleId="Title">
    <w:name w:val="Title"/>
    <w:basedOn w:val="Normal"/>
    <w:next w:val="Normal"/>
    <w:link w:val="TitleChar"/>
    <w:uiPriority w:val="10"/>
    <w:qFormat/>
    <w:rsid w:val="009636CB"/>
    <w:pPr>
      <w:widowControl/>
      <w:spacing w:after="80"/>
      <w:contextualSpacing/>
      <w:jc w:val="left"/>
    </w:pPr>
    <w:rPr>
      <w:rFonts w:asciiTheme="majorHAnsi" w:eastAsiaTheme="majorEastAsia" w:hAnsiTheme="majorHAnsi" w:cstheme="majorBidi"/>
      <w:spacing w:val="-10"/>
      <w:kern w:val="28"/>
      <w:sz w:val="56"/>
      <w:szCs w:val="56"/>
      <w:lang w:val="en-IN" w:eastAsia="en-US"/>
      <w14:ligatures w14:val="standardContextual"/>
    </w:rPr>
  </w:style>
  <w:style w:type="character" w:customStyle="1" w:styleId="TitleChar">
    <w:name w:val="Title Char"/>
    <w:basedOn w:val="DefaultParagraphFont"/>
    <w:link w:val="Title"/>
    <w:uiPriority w:val="10"/>
    <w:rsid w:val="00963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6CB"/>
    <w:pPr>
      <w:widowControl/>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val="en-IN" w:eastAsia="en-US"/>
      <w14:ligatures w14:val="standardContextual"/>
    </w:rPr>
  </w:style>
  <w:style w:type="character" w:customStyle="1" w:styleId="SubtitleChar">
    <w:name w:val="Subtitle Char"/>
    <w:basedOn w:val="DefaultParagraphFont"/>
    <w:link w:val="Subtitle"/>
    <w:uiPriority w:val="11"/>
    <w:rsid w:val="00963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6CB"/>
    <w:pPr>
      <w:widowControl/>
      <w:spacing w:before="160" w:after="160" w:line="278" w:lineRule="auto"/>
      <w:jc w:val="center"/>
    </w:pPr>
    <w:rPr>
      <w:rFonts w:asciiTheme="minorHAnsi" w:eastAsiaTheme="minorHAnsi" w:hAnsiTheme="minorHAnsi" w:cstheme="minorBidi"/>
      <w:i/>
      <w:iCs/>
      <w:color w:val="404040" w:themeColor="text1" w:themeTint="BF"/>
      <w:sz w:val="24"/>
      <w:lang w:val="en-IN" w:eastAsia="en-US"/>
      <w14:ligatures w14:val="standardContextual"/>
    </w:rPr>
  </w:style>
  <w:style w:type="character" w:customStyle="1" w:styleId="QuoteChar">
    <w:name w:val="Quote Char"/>
    <w:basedOn w:val="DefaultParagraphFont"/>
    <w:link w:val="Quote"/>
    <w:uiPriority w:val="29"/>
    <w:rsid w:val="009636CB"/>
    <w:rPr>
      <w:i/>
      <w:iCs/>
      <w:color w:val="404040" w:themeColor="text1" w:themeTint="BF"/>
    </w:rPr>
  </w:style>
  <w:style w:type="paragraph" w:styleId="ListParagraph">
    <w:name w:val="List Paragraph"/>
    <w:basedOn w:val="Normal"/>
    <w:uiPriority w:val="34"/>
    <w:qFormat/>
    <w:rsid w:val="009636CB"/>
    <w:pPr>
      <w:widowControl/>
      <w:spacing w:after="160" w:line="278" w:lineRule="auto"/>
      <w:ind w:left="720"/>
      <w:contextualSpacing/>
      <w:jc w:val="left"/>
    </w:pPr>
    <w:rPr>
      <w:rFonts w:asciiTheme="minorHAnsi" w:eastAsiaTheme="minorHAnsi" w:hAnsiTheme="minorHAnsi" w:cstheme="minorBidi"/>
      <w:sz w:val="24"/>
      <w:lang w:val="en-IN" w:eastAsia="en-US"/>
      <w14:ligatures w14:val="standardContextual"/>
    </w:rPr>
  </w:style>
  <w:style w:type="character" w:styleId="IntenseEmphasis">
    <w:name w:val="Intense Emphasis"/>
    <w:basedOn w:val="DefaultParagraphFont"/>
    <w:uiPriority w:val="21"/>
    <w:qFormat/>
    <w:rsid w:val="009636CB"/>
    <w:rPr>
      <w:i/>
      <w:iCs/>
      <w:color w:val="0F4761" w:themeColor="accent1" w:themeShade="BF"/>
    </w:rPr>
  </w:style>
  <w:style w:type="paragraph" w:styleId="IntenseQuote">
    <w:name w:val="Intense Quote"/>
    <w:basedOn w:val="Normal"/>
    <w:next w:val="Normal"/>
    <w:link w:val="IntenseQuoteChar"/>
    <w:uiPriority w:val="30"/>
    <w:qFormat/>
    <w:rsid w:val="009636CB"/>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lang w:val="en-IN" w:eastAsia="en-US"/>
      <w14:ligatures w14:val="standardContextual"/>
    </w:rPr>
  </w:style>
  <w:style w:type="character" w:customStyle="1" w:styleId="IntenseQuoteChar">
    <w:name w:val="Intense Quote Char"/>
    <w:basedOn w:val="DefaultParagraphFont"/>
    <w:link w:val="IntenseQuote"/>
    <w:uiPriority w:val="30"/>
    <w:rsid w:val="009636CB"/>
    <w:rPr>
      <w:i/>
      <w:iCs/>
      <w:color w:val="0F4761" w:themeColor="accent1" w:themeShade="BF"/>
    </w:rPr>
  </w:style>
  <w:style w:type="character" w:styleId="IntenseReference">
    <w:name w:val="Intense Reference"/>
    <w:basedOn w:val="DefaultParagraphFont"/>
    <w:uiPriority w:val="32"/>
    <w:qFormat/>
    <w:rsid w:val="009636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2026-07-20T13:31:00Z</dcterms:created>
  <dcterms:modified xsi:type="dcterms:W3CDTF">2026-07-20T13:32:00Z</dcterms:modified>
</cp:coreProperties>
</file>