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DDE0" w14:textId="77777777" w:rsidR="00FD2993" w:rsidRPr="000E6D46" w:rsidRDefault="00FD2993" w:rsidP="00FD2993">
      <w:pPr>
        <w:pStyle w:val="Subhead1"/>
      </w:pPr>
      <w:r>
        <w:t xml:space="preserve">Supplemental </w:t>
      </w:r>
      <w:r w:rsidRPr="000E6D46">
        <w:t>Figure</w:t>
      </w:r>
      <w:r>
        <w:t xml:space="preserve"> Legends</w:t>
      </w:r>
    </w:p>
    <w:p w14:paraId="2442B6C3" w14:textId="77777777" w:rsidR="00FD2993" w:rsidRPr="002F6B1A" w:rsidRDefault="00FD2993" w:rsidP="00FD2993">
      <w:pPr>
        <w:pStyle w:val="FigCap"/>
        <w:rPr>
          <w:rFonts w:eastAsia="MS PGothic"/>
        </w:rPr>
      </w:pPr>
      <w:r>
        <w:rPr>
          <w:rFonts w:eastAsia="MS PGothic"/>
        </w:rPr>
        <w:br/>
      </w:r>
      <w:r>
        <w:rPr>
          <w:rFonts w:eastAsia="MS PGothic"/>
          <w:b/>
          <w:bCs/>
        </w:rPr>
        <w:t>S,Fig.</w:t>
      </w:r>
      <w:r w:rsidRPr="002F6B1A">
        <w:rPr>
          <w:rFonts w:eastAsia="MS PGothic"/>
          <w:b/>
          <w:bCs/>
        </w:rPr>
        <w:t xml:space="preserve"> 1</w:t>
      </w:r>
      <w:r>
        <w:rPr>
          <w:rFonts w:eastAsia="MS PGothic"/>
        </w:rPr>
        <w:t xml:space="preserve"> </w:t>
      </w:r>
      <w:r w:rsidRPr="00C92E15">
        <w:rPr>
          <w:rFonts w:eastAsia="MS PGothic"/>
        </w:rPr>
        <w:t xml:space="preserve">Patient selection and study design. Of </w:t>
      </w:r>
      <w:r w:rsidRPr="002F6B1A">
        <w:rPr>
          <w:rFonts w:eastAsia="MS PGothic"/>
        </w:rPr>
        <w:t xml:space="preserve">187 patients initially </w:t>
      </w:r>
      <w:r>
        <w:rPr>
          <w:rFonts w:eastAsia="MS PGothic"/>
        </w:rPr>
        <w:t>identified</w:t>
      </w:r>
      <w:r w:rsidRPr="00DF5F37">
        <w:rPr>
          <w:rFonts w:eastAsia="MS PGothic"/>
        </w:rPr>
        <w:t xml:space="preserve">, </w:t>
      </w:r>
      <w:r w:rsidRPr="00305C25">
        <w:rPr>
          <w:rFonts w:eastAsia="MS PGothic"/>
        </w:rPr>
        <w:t>32 were excluded based on predefined criteria. The remaining</w:t>
      </w:r>
      <w:r>
        <w:rPr>
          <w:rFonts w:eastAsia="MS PGothic"/>
        </w:rPr>
        <w:t xml:space="preserve"> </w:t>
      </w:r>
      <w:r w:rsidRPr="002F6B1A">
        <w:rPr>
          <w:rFonts w:eastAsia="MS PGothic"/>
        </w:rPr>
        <w:t xml:space="preserve">155 patients were </w:t>
      </w:r>
      <w:r>
        <w:rPr>
          <w:rFonts w:eastAsia="MS PGothic"/>
        </w:rPr>
        <w:t>classified</w:t>
      </w:r>
      <w:r w:rsidRPr="002F6B1A">
        <w:rPr>
          <w:rFonts w:eastAsia="MS PGothic"/>
        </w:rPr>
        <w:t xml:space="preserve"> </w:t>
      </w:r>
      <w:r>
        <w:rPr>
          <w:rFonts w:eastAsia="MS PGothic"/>
        </w:rPr>
        <w:t>as either</w:t>
      </w:r>
      <w:r w:rsidRPr="00305C25">
        <w:rPr>
          <w:rFonts w:eastAsia="MS PGothic"/>
        </w:rPr>
        <w:t xml:space="preserve"> stone-free (SF) (n</w:t>
      </w:r>
      <w:r>
        <w:rPr>
          <w:rFonts w:eastAsia="MS PGothic"/>
        </w:rPr>
        <w:t> </w:t>
      </w:r>
      <w:r w:rsidRPr="002F6B1A">
        <w:rPr>
          <w:rFonts w:eastAsia="MS PGothic"/>
        </w:rPr>
        <w:t>=</w:t>
      </w:r>
      <w:r>
        <w:rPr>
          <w:rFonts w:eastAsia="MS PGothic"/>
        </w:rPr>
        <w:t xml:space="preserve"> </w:t>
      </w:r>
      <w:r w:rsidRPr="00305C25">
        <w:rPr>
          <w:rFonts w:eastAsia="MS PGothic"/>
        </w:rPr>
        <w:t xml:space="preserve">102) </w:t>
      </w:r>
      <w:r>
        <w:rPr>
          <w:rFonts w:eastAsia="MS PGothic"/>
        </w:rPr>
        <w:t xml:space="preserve">or </w:t>
      </w:r>
      <w:r w:rsidRPr="00305C25">
        <w:rPr>
          <w:rFonts w:eastAsia="MS PGothic"/>
        </w:rPr>
        <w:t>non–stone-free (NSF)</w:t>
      </w:r>
      <w:r w:rsidRPr="002F6B1A">
        <w:rPr>
          <w:rFonts w:eastAsia="MS PGothic"/>
        </w:rPr>
        <w:t xml:space="preserve"> (n</w:t>
      </w:r>
      <w:r>
        <w:rPr>
          <w:rFonts w:eastAsia="MS PGothic"/>
        </w:rPr>
        <w:t> </w:t>
      </w:r>
      <w:r w:rsidRPr="002F6B1A">
        <w:rPr>
          <w:rFonts w:eastAsia="MS PGothic"/>
        </w:rPr>
        <w:t>=</w:t>
      </w:r>
      <w:r>
        <w:rPr>
          <w:rFonts w:eastAsia="MS PGothic"/>
        </w:rPr>
        <w:t xml:space="preserve"> </w:t>
      </w:r>
      <w:r w:rsidRPr="002F6B1A">
        <w:rPr>
          <w:rFonts w:eastAsia="MS PGothic"/>
        </w:rPr>
        <w:t>53)</w:t>
      </w:r>
      <w:r>
        <w:rPr>
          <w:rFonts w:eastAsia="MS PGothic"/>
        </w:rPr>
        <w:t xml:space="preserve"> after treatment</w:t>
      </w:r>
      <w:r w:rsidRPr="002F6B1A">
        <w:rPr>
          <w:rFonts w:eastAsia="MS PGothic"/>
        </w:rPr>
        <w:t xml:space="preserve">. </w:t>
      </w:r>
      <w:r>
        <w:rPr>
          <w:rFonts w:eastAsia="MS PGothic"/>
        </w:rPr>
        <w:t xml:space="preserve">The </w:t>
      </w:r>
      <w:r w:rsidRPr="00305C25">
        <w:rPr>
          <w:rFonts w:eastAsia="MS PGothic"/>
        </w:rPr>
        <w:t xml:space="preserve">multivariate logistic regression analysis </w:t>
      </w:r>
      <w:r>
        <w:rPr>
          <w:rFonts w:eastAsia="MS PGothic"/>
        </w:rPr>
        <w:t xml:space="preserve">included </w:t>
      </w:r>
      <w:r w:rsidRPr="00305C25">
        <w:rPr>
          <w:rFonts w:eastAsia="MS PGothic"/>
        </w:rPr>
        <w:t xml:space="preserve">variables that </w:t>
      </w:r>
      <w:r>
        <w:rPr>
          <w:rFonts w:eastAsia="MS PGothic"/>
        </w:rPr>
        <w:t>that had been</w:t>
      </w:r>
      <w:r w:rsidRPr="00305C25">
        <w:rPr>
          <w:rFonts w:eastAsia="MS PGothic"/>
        </w:rPr>
        <w:t xml:space="preserve"> significant in </w:t>
      </w:r>
      <w:r w:rsidRPr="00DF5F37">
        <w:rPr>
          <w:rFonts w:eastAsia="MS PGothic"/>
        </w:rPr>
        <w:t xml:space="preserve">the </w:t>
      </w:r>
      <w:r w:rsidRPr="00305C25">
        <w:rPr>
          <w:rFonts w:eastAsia="MS PGothic"/>
        </w:rPr>
        <w:t xml:space="preserve">univariate </w:t>
      </w:r>
      <w:r>
        <w:rPr>
          <w:rFonts w:eastAsia="MS PGothic"/>
        </w:rPr>
        <w:t>analysis</w:t>
      </w:r>
      <w:r w:rsidRPr="002F6B1A">
        <w:rPr>
          <w:rFonts w:eastAsia="MS PGothic"/>
        </w:rPr>
        <w:t xml:space="preserve">. </w:t>
      </w:r>
      <w:r>
        <w:rPr>
          <w:rFonts w:eastAsia="MS PGothic"/>
        </w:rPr>
        <w:t xml:space="preserve">The patients were also subdivided into those with </w:t>
      </w:r>
      <w:r w:rsidRPr="00305C25">
        <w:rPr>
          <w:rFonts w:eastAsia="MS PGothic"/>
        </w:rPr>
        <w:t xml:space="preserve">renal </w:t>
      </w:r>
      <w:r>
        <w:rPr>
          <w:rFonts w:eastAsia="MS PGothic"/>
        </w:rPr>
        <w:t>or</w:t>
      </w:r>
      <w:r w:rsidRPr="00305C25">
        <w:rPr>
          <w:rFonts w:eastAsia="MS PGothic"/>
        </w:rPr>
        <w:t xml:space="preserve"> ureter</w:t>
      </w:r>
      <w:r>
        <w:rPr>
          <w:rFonts w:eastAsia="MS PGothic"/>
        </w:rPr>
        <w:t>al</w:t>
      </w:r>
      <w:r w:rsidRPr="00305C25">
        <w:rPr>
          <w:rFonts w:eastAsia="MS PGothic"/>
        </w:rPr>
        <w:t xml:space="preserve"> </w:t>
      </w:r>
      <w:r>
        <w:rPr>
          <w:rFonts w:eastAsia="MS PGothic"/>
        </w:rPr>
        <w:t>stones, and those subgroups also underwent univariate and multivariate analyses</w:t>
      </w:r>
      <w:r w:rsidRPr="002F6B1A">
        <w:rPr>
          <w:rFonts w:eastAsia="MS PGothic"/>
        </w:rPr>
        <w:t>.</w:t>
      </w:r>
    </w:p>
    <w:p w14:paraId="2E6A2F42" w14:textId="77777777" w:rsidR="00FD2993" w:rsidRPr="004E5DBA" w:rsidRDefault="00FD2993" w:rsidP="00FD2993">
      <w:pPr>
        <w:pStyle w:val="FigCap"/>
        <w:rPr>
          <w:rFonts w:eastAsia="MS PGothic"/>
        </w:rPr>
      </w:pPr>
      <w:r>
        <w:rPr>
          <w:rFonts w:eastAsia="MS PGothic"/>
        </w:rPr>
        <w:br/>
      </w:r>
      <w:r>
        <w:rPr>
          <w:rFonts w:eastAsia="MS PGothic"/>
          <w:b/>
          <w:bCs/>
        </w:rPr>
        <w:t>S,Fig.</w:t>
      </w:r>
      <w:r w:rsidRPr="002F6B1A">
        <w:rPr>
          <w:rFonts w:eastAsia="MS PGothic"/>
          <w:b/>
          <w:bCs/>
        </w:rPr>
        <w:t xml:space="preserve"> 2</w:t>
      </w:r>
      <w:r>
        <w:rPr>
          <w:rFonts w:eastAsia="MS PGothic"/>
        </w:rPr>
        <w:t xml:space="preserve"> Computed tomography–</w:t>
      </w:r>
      <w:r w:rsidRPr="000E6D46">
        <w:rPr>
          <w:rFonts w:eastAsia="MS PGothic"/>
        </w:rPr>
        <w:t xml:space="preserve">related parameters </w:t>
      </w:r>
      <w:r>
        <w:rPr>
          <w:rFonts w:eastAsia="MS PGothic"/>
        </w:rPr>
        <w:t xml:space="preserve">of urinary stones </w:t>
      </w:r>
      <w:r w:rsidRPr="000E6D46">
        <w:rPr>
          <w:rFonts w:eastAsia="MS PGothic"/>
        </w:rPr>
        <w:t xml:space="preserve">were measured by manually tracing the contour of </w:t>
      </w:r>
      <w:r>
        <w:rPr>
          <w:rFonts w:eastAsia="MS PGothic"/>
        </w:rPr>
        <w:t xml:space="preserve">each </w:t>
      </w:r>
      <w:r w:rsidRPr="002F6B1A">
        <w:rPr>
          <w:rFonts w:eastAsia="MS PGothic"/>
        </w:rPr>
        <w:t>stone on its largest axial cross-sectional image to define a region of interest. Maximum, minimum, and mean attenuation were calculated in Hounsfield units.</w:t>
      </w:r>
    </w:p>
    <w:p w14:paraId="3AA3B757" w14:textId="77777777" w:rsidR="00FD2993" w:rsidRPr="002F6B1A" w:rsidRDefault="00FD2993" w:rsidP="00FD2993">
      <w:pPr>
        <w:pStyle w:val="FigCap"/>
        <w:rPr>
          <w:rFonts w:eastAsia="MS PGothic"/>
        </w:rPr>
      </w:pPr>
      <w:r>
        <w:rPr>
          <w:rFonts w:eastAsia="MS PGothic"/>
        </w:rPr>
        <w:br/>
      </w:r>
      <w:r>
        <w:rPr>
          <w:rFonts w:eastAsia="MS PGothic"/>
          <w:b/>
          <w:bCs/>
        </w:rPr>
        <w:t>S,Fig.</w:t>
      </w:r>
      <w:r w:rsidRPr="002F6B1A">
        <w:rPr>
          <w:rFonts w:eastAsia="MS PGothic"/>
          <w:b/>
          <w:bCs/>
        </w:rPr>
        <w:t xml:space="preserve"> 3</w:t>
      </w:r>
      <w:r>
        <w:rPr>
          <w:rFonts w:eastAsia="MS PGothic"/>
        </w:rPr>
        <w:t xml:space="preserve"> Skin-to-stone distance</w:t>
      </w:r>
      <w:r w:rsidRPr="000E6D46">
        <w:rPr>
          <w:rFonts w:eastAsia="MS PGothic"/>
        </w:rPr>
        <w:t xml:space="preserve"> was measured as the distance from the skin to the center of </w:t>
      </w:r>
      <w:r>
        <w:rPr>
          <w:rFonts w:eastAsia="MS PGothic"/>
        </w:rPr>
        <w:t xml:space="preserve">each </w:t>
      </w:r>
      <w:r w:rsidRPr="002F6B1A">
        <w:rPr>
          <w:rFonts w:eastAsia="MS PGothic"/>
        </w:rPr>
        <w:t>stone at a</w:t>
      </w:r>
      <w:r>
        <w:rPr>
          <w:rFonts w:eastAsia="MS PGothic"/>
        </w:rPr>
        <w:t xml:space="preserve"> </w:t>
      </w:r>
      <w:r w:rsidRPr="004E5DBA">
        <w:rPr>
          <w:rFonts w:eastAsia="MS PGothic"/>
        </w:rPr>
        <w:t xml:space="preserve">45-degree angle along the shock wave path, including both </w:t>
      </w:r>
      <w:r>
        <w:rPr>
          <w:rFonts w:eastAsia="MS PGothic"/>
        </w:rPr>
        <w:t xml:space="preserve">the </w:t>
      </w:r>
      <w:r w:rsidRPr="004E5DBA">
        <w:rPr>
          <w:rFonts w:eastAsia="MS PGothic"/>
        </w:rPr>
        <w:t>ventral and dorsal directions.</w:t>
      </w:r>
    </w:p>
    <w:p w14:paraId="35BD5F92" w14:textId="77777777" w:rsidR="00FD2993" w:rsidRPr="002F6B1A" w:rsidRDefault="00FD2993" w:rsidP="00FD2993">
      <w:pPr>
        <w:pStyle w:val="FigCap"/>
        <w:rPr>
          <w:rFonts w:eastAsia="MS PGothic"/>
        </w:rPr>
      </w:pPr>
      <w:r>
        <w:rPr>
          <w:rFonts w:eastAsia="MS PGothic"/>
        </w:rPr>
        <w:br/>
      </w:r>
      <w:r>
        <w:rPr>
          <w:rFonts w:eastAsia="MS PGothic"/>
          <w:b/>
          <w:bCs/>
        </w:rPr>
        <w:t>S,Fig.</w:t>
      </w:r>
      <w:r w:rsidRPr="002F6B1A">
        <w:rPr>
          <w:rFonts w:eastAsia="MS PGothic"/>
          <w:b/>
          <w:bCs/>
        </w:rPr>
        <w:t xml:space="preserve"> 4</w:t>
      </w:r>
      <w:r>
        <w:rPr>
          <w:rFonts w:eastAsia="MS PGothic"/>
        </w:rPr>
        <w:t xml:space="preserve"> </w:t>
      </w:r>
      <w:r w:rsidRPr="000E6D46">
        <w:rPr>
          <w:rFonts w:eastAsia="MS PGothic"/>
        </w:rPr>
        <w:t>The iliopsoas muscle area was calculated at the level of the third lumbar vertebra (L3)</w:t>
      </w:r>
      <w:r w:rsidRPr="00DF5F37">
        <w:rPr>
          <w:rFonts w:eastAsia="MS PGothic"/>
        </w:rPr>
        <w:t>,</w:t>
      </w:r>
      <w:r w:rsidRPr="002F6B1A">
        <w:rPr>
          <w:rFonts w:eastAsia="MS PGothic"/>
        </w:rPr>
        <w:t xml:space="preserve"> using the formula: major axis length × minor axis length × π.</w:t>
      </w:r>
    </w:p>
    <w:p w14:paraId="3D082B26" w14:textId="77777777" w:rsidR="00FD2993" w:rsidRPr="004E5DBA" w:rsidRDefault="00FD2993" w:rsidP="00FD2993">
      <w:pPr>
        <w:pStyle w:val="FigCap"/>
        <w:rPr>
          <w:rFonts w:eastAsia="MS PGothic"/>
        </w:rPr>
      </w:pPr>
      <w:r>
        <w:rPr>
          <w:rFonts w:eastAsia="MS PGothic"/>
        </w:rPr>
        <w:br/>
      </w:r>
      <w:r>
        <w:rPr>
          <w:rFonts w:eastAsia="MS PGothic"/>
          <w:b/>
          <w:bCs/>
        </w:rPr>
        <w:t>S,Fig.</w:t>
      </w:r>
      <w:r w:rsidRPr="002F6B1A">
        <w:rPr>
          <w:rFonts w:eastAsia="MS PGothic"/>
          <w:b/>
          <w:bCs/>
        </w:rPr>
        <w:t xml:space="preserve"> 5</w:t>
      </w:r>
      <w:r>
        <w:rPr>
          <w:rFonts w:eastAsia="MS PGothic"/>
        </w:rPr>
        <w:t xml:space="preserve"> </w:t>
      </w:r>
      <w:r w:rsidRPr="000E6D46">
        <w:rPr>
          <w:rFonts w:eastAsia="MS PGothic"/>
        </w:rPr>
        <w:t xml:space="preserve">Visceral and subcutaneous fat areas were </w:t>
      </w:r>
      <w:r>
        <w:rPr>
          <w:rFonts w:eastAsia="MS PGothic"/>
        </w:rPr>
        <w:t xml:space="preserve">determined using </w:t>
      </w:r>
      <w:r w:rsidRPr="004E5DBA">
        <w:rPr>
          <w:rFonts w:eastAsia="MS PGothic"/>
        </w:rPr>
        <w:t xml:space="preserve">a single axial </w:t>
      </w:r>
      <w:r>
        <w:rPr>
          <w:rFonts w:eastAsia="MS PGothic"/>
        </w:rPr>
        <w:t>computed tomography</w:t>
      </w:r>
      <w:r w:rsidRPr="004E5DBA">
        <w:rPr>
          <w:rFonts w:eastAsia="MS PGothic"/>
        </w:rPr>
        <w:t xml:space="preserve"> slice at the L3</w:t>
      </w:r>
      <w:r>
        <w:rPr>
          <w:rFonts w:eastAsia="MS PGothic"/>
        </w:rPr>
        <w:t>/</w:t>
      </w:r>
      <w:r w:rsidRPr="004E5DBA">
        <w:rPr>
          <w:rFonts w:eastAsia="MS PGothic"/>
        </w:rPr>
        <w:t>4 vertebral level (umbilical level).</w:t>
      </w:r>
      <w:r>
        <w:rPr>
          <w:rFonts w:eastAsia="MS PGothic"/>
        </w:rPr>
        <w:t xml:space="preserve"> BMI, body mass index.</w:t>
      </w:r>
    </w:p>
    <w:p w14:paraId="7D6C12BD" w14:textId="77777777" w:rsidR="00FD2993" w:rsidRPr="002F6B1A" w:rsidRDefault="00FD2993" w:rsidP="00FD2993">
      <w:pPr>
        <w:pStyle w:val="FigCap"/>
        <w:rPr>
          <w:rFonts w:eastAsia="MS PGothic"/>
        </w:rPr>
      </w:pPr>
      <w:r>
        <w:rPr>
          <w:rFonts w:eastAsia="MS PGothic"/>
        </w:rPr>
        <w:lastRenderedPageBreak/>
        <w:br/>
      </w:r>
      <w:r>
        <w:rPr>
          <w:rFonts w:eastAsia="MS PGothic"/>
          <w:b/>
          <w:bCs/>
        </w:rPr>
        <w:t>S,</w:t>
      </w:r>
      <w:r w:rsidRPr="002F6B1A">
        <w:rPr>
          <w:rFonts w:eastAsia="MS PGothic"/>
          <w:b/>
          <w:bCs/>
        </w:rPr>
        <w:t>F</w:t>
      </w:r>
      <w:r>
        <w:rPr>
          <w:rFonts w:eastAsia="MS PGothic"/>
          <w:b/>
          <w:bCs/>
        </w:rPr>
        <w:t>ig.</w:t>
      </w:r>
      <w:r w:rsidRPr="002F6B1A">
        <w:rPr>
          <w:rFonts w:eastAsia="MS PGothic"/>
          <w:b/>
          <w:bCs/>
        </w:rPr>
        <w:t xml:space="preserve"> 6</w:t>
      </w:r>
      <w:r>
        <w:rPr>
          <w:rFonts w:eastAsia="MS PGothic"/>
        </w:rPr>
        <w:t xml:space="preserve"> Bone mineral density</w:t>
      </w:r>
      <w:r w:rsidRPr="000E6D46">
        <w:rPr>
          <w:rFonts w:eastAsia="MS PGothic"/>
        </w:rPr>
        <w:t xml:space="preserve"> was estimated by </w:t>
      </w:r>
      <w:r w:rsidRPr="00DF5F37">
        <w:rPr>
          <w:rFonts w:eastAsia="MS PGothic"/>
        </w:rPr>
        <w:t>determining</w:t>
      </w:r>
      <w:r w:rsidRPr="002F6B1A">
        <w:rPr>
          <w:rFonts w:eastAsia="MS PGothic"/>
        </w:rPr>
        <w:t xml:space="preserve"> the average pixel density </w:t>
      </w:r>
      <w:r>
        <w:rPr>
          <w:rFonts w:eastAsia="MS PGothic"/>
        </w:rPr>
        <w:t xml:space="preserve">in Hounsfield units </w:t>
      </w:r>
      <w:r w:rsidRPr="002F6B1A">
        <w:rPr>
          <w:rFonts w:eastAsia="MS PGothic"/>
        </w:rPr>
        <w:t xml:space="preserve">within elliptical regions of interest placed in the trabecular bone of </w:t>
      </w:r>
      <w:r>
        <w:rPr>
          <w:rFonts w:eastAsia="MS PGothic"/>
        </w:rPr>
        <w:t xml:space="preserve">the </w:t>
      </w:r>
      <w:r w:rsidRPr="002F6B1A">
        <w:rPr>
          <w:rFonts w:eastAsia="MS PGothic"/>
        </w:rPr>
        <w:t>T11 vertebral body.</w:t>
      </w:r>
    </w:p>
    <w:p w14:paraId="3617D6DE" w14:textId="77777777" w:rsidR="00FD2993" w:rsidRPr="002F6B1A" w:rsidRDefault="00FD2993" w:rsidP="00FD2993">
      <w:pPr>
        <w:pStyle w:val="FigCap"/>
        <w:rPr>
          <w:rFonts w:eastAsia="MS PGothic"/>
        </w:rPr>
      </w:pPr>
      <w:r>
        <w:rPr>
          <w:rFonts w:eastAsia="MS PGothic"/>
        </w:rPr>
        <w:br/>
      </w:r>
      <w:r>
        <w:rPr>
          <w:rFonts w:eastAsia="MS PGothic"/>
          <w:b/>
          <w:bCs/>
        </w:rPr>
        <w:t>S,</w:t>
      </w:r>
      <w:r w:rsidRPr="002F6B1A">
        <w:rPr>
          <w:rFonts w:eastAsia="MS PGothic"/>
          <w:b/>
          <w:bCs/>
        </w:rPr>
        <w:t>F</w:t>
      </w:r>
      <w:r>
        <w:rPr>
          <w:rFonts w:eastAsia="MS PGothic"/>
          <w:b/>
          <w:bCs/>
        </w:rPr>
        <w:t>ig.</w:t>
      </w:r>
      <w:r w:rsidRPr="002F6B1A">
        <w:rPr>
          <w:rFonts w:eastAsia="MS PGothic"/>
          <w:b/>
          <w:bCs/>
        </w:rPr>
        <w:t xml:space="preserve"> 7</w:t>
      </w:r>
      <w:r>
        <w:rPr>
          <w:rFonts w:eastAsia="MS PGothic"/>
        </w:rPr>
        <w:t xml:space="preserve"> </w:t>
      </w:r>
      <w:r w:rsidRPr="000E6D46">
        <w:rPr>
          <w:rFonts w:eastAsia="MS PGothic"/>
        </w:rPr>
        <w:t xml:space="preserve">Scatterplot </w:t>
      </w:r>
      <w:r>
        <w:rPr>
          <w:rFonts w:eastAsia="MS PGothic"/>
        </w:rPr>
        <w:t xml:space="preserve">reveals a </w:t>
      </w:r>
      <w:r w:rsidRPr="002F6B1A">
        <w:rPr>
          <w:rFonts w:eastAsia="MS PGothic"/>
        </w:rPr>
        <w:t>strong positive correlation between iliopsoas muscle area and iliopsoas muscle width (r</w:t>
      </w:r>
      <w:r>
        <w:rPr>
          <w:rFonts w:eastAsia="MS PGothic"/>
        </w:rPr>
        <w:t> </w:t>
      </w:r>
      <w:r w:rsidRPr="002F6B1A">
        <w:rPr>
          <w:rFonts w:eastAsia="MS PGothic"/>
        </w:rPr>
        <w:t>=</w:t>
      </w:r>
      <w:r>
        <w:rPr>
          <w:rFonts w:eastAsia="MS PGothic"/>
        </w:rPr>
        <w:t xml:space="preserve"> </w:t>
      </w:r>
      <w:r w:rsidRPr="002F6B1A">
        <w:rPr>
          <w:rFonts w:eastAsia="MS PGothic"/>
        </w:rPr>
        <w:t>0.88).</w:t>
      </w:r>
    </w:p>
    <w:p w14:paraId="4B9AE661" w14:textId="77777777" w:rsidR="00FD2993" w:rsidRPr="002F6B1A" w:rsidRDefault="00FD2993" w:rsidP="00FD2993">
      <w:pPr>
        <w:pStyle w:val="FigCap"/>
        <w:rPr>
          <w:rFonts w:eastAsia="MS PGothic"/>
        </w:rPr>
      </w:pPr>
      <w:r>
        <w:rPr>
          <w:rFonts w:eastAsia="MS PGothic"/>
        </w:rPr>
        <w:br/>
      </w:r>
      <w:r>
        <w:rPr>
          <w:rFonts w:eastAsia="MS PGothic"/>
          <w:b/>
          <w:bCs/>
        </w:rPr>
        <w:t>S,</w:t>
      </w:r>
      <w:r w:rsidRPr="002F6B1A">
        <w:rPr>
          <w:rFonts w:eastAsia="MS PGothic"/>
          <w:b/>
          <w:bCs/>
        </w:rPr>
        <w:t>F</w:t>
      </w:r>
      <w:r>
        <w:rPr>
          <w:rFonts w:eastAsia="MS PGothic"/>
          <w:b/>
          <w:bCs/>
        </w:rPr>
        <w:t>ig.</w:t>
      </w:r>
      <w:r w:rsidRPr="002F6B1A">
        <w:rPr>
          <w:rFonts w:eastAsia="MS PGothic"/>
          <w:b/>
          <w:bCs/>
        </w:rPr>
        <w:t xml:space="preserve"> 8</w:t>
      </w:r>
      <w:r>
        <w:rPr>
          <w:rFonts w:eastAsia="MS PGothic"/>
        </w:rPr>
        <w:t xml:space="preserve"> </w:t>
      </w:r>
      <w:r w:rsidRPr="000E6D46">
        <w:rPr>
          <w:rFonts w:eastAsia="MS PGothic"/>
        </w:rPr>
        <w:t xml:space="preserve">Scatterplot </w:t>
      </w:r>
      <w:r>
        <w:rPr>
          <w:rFonts w:eastAsia="MS PGothic"/>
        </w:rPr>
        <w:t xml:space="preserve">reveals a </w:t>
      </w:r>
      <w:r w:rsidRPr="002F6B1A">
        <w:rPr>
          <w:rFonts w:eastAsia="MS PGothic"/>
        </w:rPr>
        <w:t>strong positive correlation between visceral fat and total fat area (r</w:t>
      </w:r>
      <w:r>
        <w:rPr>
          <w:rFonts w:eastAsia="MS PGothic"/>
        </w:rPr>
        <w:t> </w:t>
      </w:r>
      <w:r w:rsidRPr="002F6B1A">
        <w:rPr>
          <w:rFonts w:eastAsia="MS PGothic"/>
        </w:rPr>
        <w:t>=</w:t>
      </w:r>
      <w:r>
        <w:rPr>
          <w:rFonts w:eastAsia="MS PGothic"/>
        </w:rPr>
        <w:t xml:space="preserve"> </w:t>
      </w:r>
      <w:r w:rsidRPr="002F6B1A">
        <w:rPr>
          <w:rFonts w:eastAsia="MS PGothic"/>
        </w:rPr>
        <w:t>0.89).</w:t>
      </w:r>
    </w:p>
    <w:p w14:paraId="1084E804" w14:textId="77777777" w:rsidR="00FD2993" w:rsidRPr="002F6B1A" w:rsidRDefault="00FD2993" w:rsidP="00FD2993">
      <w:pPr>
        <w:pStyle w:val="FigCap"/>
        <w:rPr>
          <w:rFonts w:eastAsia="MS PGothic"/>
        </w:rPr>
      </w:pPr>
      <w:r>
        <w:rPr>
          <w:rFonts w:eastAsia="MS PGothic"/>
        </w:rPr>
        <w:br/>
      </w:r>
      <w:r>
        <w:rPr>
          <w:rFonts w:eastAsia="MS PGothic"/>
          <w:b/>
          <w:bCs/>
        </w:rPr>
        <w:t>S,Fig.</w:t>
      </w:r>
      <w:r w:rsidRPr="002F6B1A">
        <w:rPr>
          <w:rFonts w:eastAsia="MS PGothic"/>
          <w:b/>
          <w:bCs/>
        </w:rPr>
        <w:t xml:space="preserve"> 9</w:t>
      </w:r>
      <w:r>
        <w:rPr>
          <w:rFonts w:eastAsia="MS PGothic"/>
        </w:rPr>
        <w:t xml:space="preserve"> </w:t>
      </w:r>
      <w:r w:rsidRPr="000E6D46">
        <w:rPr>
          <w:rFonts w:eastAsia="MS PGothic"/>
        </w:rPr>
        <w:t xml:space="preserve">Scatterplot </w:t>
      </w:r>
      <w:r>
        <w:rPr>
          <w:rFonts w:eastAsia="MS PGothic"/>
        </w:rPr>
        <w:t xml:space="preserve">reveals a </w:t>
      </w:r>
      <w:r w:rsidRPr="002F6B1A">
        <w:rPr>
          <w:rFonts w:eastAsia="MS PGothic"/>
        </w:rPr>
        <w:t xml:space="preserve">strong positive </w:t>
      </w:r>
      <w:r>
        <w:rPr>
          <w:rFonts w:eastAsia="MS PGothic"/>
        </w:rPr>
        <w:t xml:space="preserve">correlation between </w:t>
      </w:r>
      <w:r w:rsidRPr="002F6B1A">
        <w:rPr>
          <w:rFonts w:eastAsia="MS PGothic"/>
        </w:rPr>
        <w:t xml:space="preserve">average and maximum </w:t>
      </w:r>
      <w:r>
        <w:rPr>
          <w:rFonts w:eastAsia="MS PGothic"/>
        </w:rPr>
        <w:t>computed tomography</w:t>
      </w:r>
      <w:r w:rsidRPr="002F6B1A">
        <w:rPr>
          <w:rFonts w:eastAsia="MS PGothic"/>
        </w:rPr>
        <w:t xml:space="preserve"> attenuation (r</w:t>
      </w:r>
      <w:r>
        <w:rPr>
          <w:rFonts w:eastAsia="MS PGothic"/>
        </w:rPr>
        <w:t> </w:t>
      </w:r>
      <w:r w:rsidRPr="002F6B1A">
        <w:rPr>
          <w:rFonts w:eastAsia="MS PGothic"/>
        </w:rPr>
        <w:t>=</w:t>
      </w:r>
      <w:r>
        <w:rPr>
          <w:rFonts w:eastAsia="MS PGothic"/>
        </w:rPr>
        <w:t xml:space="preserve"> </w:t>
      </w:r>
      <w:r w:rsidRPr="002F6B1A">
        <w:rPr>
          <w:rFonts w:eastAsia="MS PGothic"/>
        </w:rPr>
        <w:t>0.85).</w:t>
      </w:r>
    </w:p>
    <w:p w14:paraId="55C58D96" w14:textId="77777777" w:rsidR="00FD2993" w:rsidRPr="002F6B1A" w:rsidRDefault="00FD2993" w:rsidP="00FD2993">
      <w:pPr>
        <w:pStyle w:val="FigCap"/>
      </w:pPr>
      <w:r>
        <w:rPr>
          <w:rFonts w:eastAsia="MS PGothic"/>
        </w:rPr>
        <w:br/>
      </w:r>
      <w:r>
        <w:rPr>
          <w:rFonts w:eastAsia="MS PGothic"/>
          <w:b/>
          <w:bCs/>
        </w:rPr>
        <w:t>S,Fig.</w:t>
      </w:r>
      <w:r w:rsidRPr="002F6B1A">
        <w:rPr>
          <w:rFonts w:eastAsia="MS PGothic"/>
          <w:b/>
          <w:bCs/>
        </w:rPr>
        <w:t xml:space="preserve"> 10</w:t>
      </w:r>
      <w:r>
        <w:rPr>
          <w:rFonts w:eastAsia="MS PGothic"/>
        </w:rPr>
        <w:t xml:space="preserve"> Receiver operating characteristic </w:t>
      </w:r>
      <w:r w:rsidRPr="000E6D46">
        <w:t xml:space="preserve">curve for </w:t>
      </w:r>
      <w:r>
        <w:t xml:space="preserve">the </w:t>
      </w:r>
      <w:r w:rsidRPr="000E6D46">
        <w:t xml:space="preserve">average </w:t>
      </w:r>
      <w:r>
        <w:t>computed tomography</w:t>
      </w:r>
      <w:r w:rsidRPr="000E6D46">
        <w:t xml:space="preserve"> attenuation</w:t>
      </w:r>
      <w:r>
        <w:t>,</w:t>
      </w:r>
      <w:r w:rsidRPr="000E6D46">
        <w:t xml:space="preserve"> predicting </w:t>
      </w:r>
      <w:r>
        <w:t>the</w:t>
      </w:r>
      <w:r w:rsidRPr="00DF5F37">
        <w:t xml:space="preserve"> </w:t>
      </w:r>
      <w:r w:rsidRPr="002F6B1A">
        <w:t>stone-free rate. The area under the curve (AUC) was</w:t>
      </w:r>
      <w:r>
        <w:t xml:space="preserve"> </w:t>
      </w:r>
      <w:r w:rsidRPr="002F6B1A">
        <w:t>0.659. The optimal cut</w:t>
      </w:r>
      <w:r w:rsidRPr="00DF5F37">
        <w:t>-</w:t>
      </w:r>
      <w:r w:rsidRPr="002F6B1A">
        <w:t>off value determined by the Youden index was</w:t>
      </w:r>
      <w:r>
        <w:t xml:space="preserve"> </w:t>
      </w:r>
      <w:r w:rsidRPr="002F6B1A">
        <w:t>1</w:t>
      </w:r>
      <w:r>
        <w:t>,</w:t>
      </w:r>
      <w:r w:rsidRPr="002F6B1A">
        <w:t>102</w:t>
      </w:r>
      <w:r>
        <w:t> </w:t>
      </w:r>
      <w:r w:rsidRPr="002F6B1A">
        <w:t xml:space="preserve">HU, corresponding to </w:t>
      </w:r>
      <w:r>
        <w:t xml:space="preserve">a </w:t>
      </w:r>
      <w:r w:rsidRPr="002F6B1A">
        <w:t>sensitivity of</w:t>
      </w:r>
      <w:r>
        <w:t xml:space="preserve"> </w:t>
      </w:r>
      <w:r w:rsidRPr="002F6B1A">
        <w:t xml:space="preserve">43.4% and </w:t>
      </w:r>
      <w:r>
        <w:t xml:space="preserve">a </w:t>
      </w:r>
      <w:r w:rsidRPr="002F6B1A">
        <w:t>specificity of</w:t>
      </w:r>
      <w:r>
        <w:t xml:space="preserve"> </w:t>
      </w:r>
      <w:r w:rsidRPr="002F6B1A">
        <w:t>89.2%.</w:t>
      </w:r>
    </w:p>
    <w:p w14:paraId="16D58CCF" w14:textId="77777777" w:rsidR="00FD2993" w:rsidRPr="002F6B1A" w:rsidRDefault="00FD2993" w:rsidP="00FD2993">
      <w:pPr>
        <w:pStyle w:val="FigCap"/>
      </w:pPr>
      <w:r>
        <w:rPr>
          <w:rFonts w:eastAsia="MS PGothic"/>
        </w:rPr>
        <w:br/>
      </w:r>
      <w:r>
        <w:rPr>
          <w:rFonts w:eastAsia="MS PGothic"/>
          <w:b/>
          <w:bCs/>
        </w:rPr>
        <w:t>S,</w:t>
      </w:r>
      <w:r w:rsidRPr="002F6B1A">
        <w:rPr>
          <w:rFonts w:eastAsia="MS PGothic"/>
          <w:b/>
          <w:bCs/>
        </w:rPr>
        <w:t>F</w:t>
      </w:r>
      <w:r>
        <w:rPr>
          <w:rFonts w:eastAsia="MS PGothic"/>
          <w:b/>
          <w:bCs/>
        </w:rPr>
        <w:t>ig.</w:t>
      </w:r>
      <w:r w:rsidRPr="002F6B1A">
        <w:rPr>
          <w:rFonts w:eastAsia="MS PGothic"/>
          <w:b/>
          <w:bCs/>
        </w:rPr>
        <w:t xml:space="preserve"> 11</w:t>
      </w:r>
      <w:r>
        <w:rPr>
          <w:rFonts w:eastAsia="MS PGothic"/>
        </w:rPr>
        <w:t xml:space="preserve"> </w:t>
      </w:r>
      <w:r>
        <w:t>Receiver operating characteristic</w:t>
      </w:r>
      <w:r w:rsidRPr="000E6D46">
        <w:t xml:space="preserve"> curve for </w:t>
      </w:r>
      <w:r>
        <w:t xml:space="preserve">the </w:t>
      </w:r>
      <w:r w:rsidRPr="000E6D46">
        <w:t>iliopsoas muscle area</w:t>
      </w:r>
      <w:r>
        <w:t>,</w:t>
      </w:r>
      <w:r w:rsidRPr="000E6D46">
        <w:t xml:space="preserve"> predicting </w:t>
      </w:r>
      <w:r w:rsidRPr="00DF5F37">
        <w:t xml:space="preserve">the </w:t>
      </w:r>
      <w:r w:rsidRPr="002F6B1A">
        <w:t>stone-free rate. The area under the curve (AUC) was</w:t>
      </w:r>
      <w:r>
        <w:t xml:space="preserve"> </w:t>
      </w:r>
      <w:r w:rsidRPr="002F6B1A">
        <w:t>0.663. The optimal cut</w:t>
      </w:r>
      <w:r w:rsidRPr="00DF5F37">
        <w:t>-</w:t>
      </w:r>
      <w:r w:rsidRPr="002F6B1A">
        <w:t xml:space="preserve">off value </w:t>
      </w:r>
      <w:r>
        <w:t xml:space="preserve">determined </w:t>
      </w:r>
      <w:r w:rsidRPr="002F6B1A">
        <w:t>by the Youden index was</w:t>
      </w:r>
      <w:r>
        <w:t xml:space="preserve"> </w:t>
      </w:r>
      <w:r w:rsidRPr="002F6B1A">
        <w:t>3</w:t>
      </w:r>
      <w:r>
        <w:t>,</w:t>
      </w:r>
      <w:r w:rsidRPr="002F6B1A">
        <w:t>504</w:t>
      </w:r>
      <w:r>
        <w:t> cm</w:t>
      </w:r>
      <w:r w:rsidRPr="002F6B1A">
        <w:rPr>
          <w:vertAlign w:val="superscript"/>
        </w:rPr>
        <w:t>2</w:t>
      </w:r>
      <w:r w:rsidRPr="002F6B1A">
        <w:t>, corresponding to</w:t>
      </w:r>
      <w:r>
        <w:t xml:space="preserve"> a </w:t>
      </w:r>
      <w:r w:rsidRPr="002F6B1A">
        <w:t>sensitivity of</w:t>
      </w:r>
      <w:r>
        <w:t xml:space="preserve"> </w:t>
      </w:r>
      <w:r w:rsidRPr="002F6B1A">
        <w:t xml:space="preserve">49.1% and </w:t>
      </w:r>
      <w:r>
        <w:t xml:space="preserve">a </w:t>
      </w:r>
      <w:r w:rsidRPr="002F6B1A">
        <w:t>specificity of</w:t>
      </w:r>
      <w:r>
        <w:t xml:space="preserve"> </w:t>
      </w:r>
      <w:r w:rsidRPr="002F6B1A">
        <w:t>87.3%.</w:t>
      </w:r>
    </w:p>
    <w:p w14:paraId="1987A875" w14:textId="77777777" w:rsidR="00FD2993" w:rsidRPr="002F6B1A" w:rsidRDefault="00FD2993" w:rsidP="00FD2993">
      <w:pPr>
        <w:pStyle w:val="FigCap"/>
        <w:rPr>
          <w:rFonts w:eastAsia="MS PGothic"/>
        </w:rPr>
      </w:pPr>
      <w:r>
        <w:rPr>
          <w:rFonts w:eastAsia="MS PGothic"/>
        </w:rPr>
        <w:lastRenderedPageBreak/>
        <w:br/>
      </w:r>
      <w:r>
        <w:rPr>
          <w:rFonts w:eastAsia="MS PGothic"/>
          <w:b/>
          <w:bCs/>
        </w:rPr>
        <w:t>S,</w:t>
      </w:r>
      <w:r w:rsidRPr="002F6B1A">
        <w:rPr>
          <w:rFonts w:eastAsia="MS PGothic"/>
          <w:b/>
          <w:bCs/>
        </w:rPr>
        <w:t>Fig</w:t>
      </w:r>
      <w:r>
        <w:rPr>
          <w:rFonts w:eastAsia="MS PGothic"/>
          <w:b/>
          <w:bCs/>
        </w:rPr>
        <w:t>.</w:t>
      </w:r>
      <w:r w:rsidRPr="002F6B1A">
        <w:rPr>
          <w:rFonts w:eastAsia="MS PGothic"/>
          <w:b/>
          <w:bCs/>
        </w:rPr>
        <w:t xml:space="preserve"> 12</w:t>
      </w:r>
      <w:r>
        <w:rPr>
          <w:rFonts w:eastAsia="MS PGothic"/>
        </w:rPr>
        <w:t xml:space="preserve"> </w:t>
      </w:r>
      <w:r w:rsidRPr="000E6D46">
        <w:rPr>
          <w:rFonts w:eastAsia="MS PGothic"/>
        </w:rPr>
        <w:t xml:space="preserve">Scatterplot </w:t>
      </w:r>
      <w:r>
        <w:rPr>
          <w:rFonts w:eastAsia="MS PGothic"/>
        </w:rPr>
        <w:t xml:space="preserve">reveals </w:t>
      </w:r>
      <w:r w:rsidRPr="000E6D46">
        <w:rPr>
          <w:rFonts w:eastAsia="MS PGothic"/>
        </w:rPr>
        <w:t xml:space="preserve">a strong positive correlation between </w:t>
      </w:r>
      <w:r>
        <w:rPr>
          <w:rFonts w:eastAsia="MS PGothic"/>
        </w:rPr>
        <w:t xml:space="preserve">the </w:t>
      </w:r>
      <w:r w:rsidRPr="000E6D46">
        <w:rPr>
          <w:rFonts w:eastAsia="MS PGothic"/>
        </w:rPr>
        <w:t>visceral fat and total fat area</w:t>
      </w:r>
      <w:r w:rsidRPr="002F6B1A">
        <w:rPr>
          <w:rFonts w:eastAsia="MS PGothic"/>
        </w:rPr>
        <w:t xml:space="preserve"> (r</w:t>
      </w:r>
      <w:r>
        <w:rPr>
          <w:rFonts w:eastAsia="MS PGothic"/>
        </w:rPr>
        <w:t> </w:t>
      </w:r>
      <w:r w:rsidRPr="002F6B1A">
        <w:rPr>
          <w:rFonts w:eastAsia="MS PGothic"/>
        </w:rPr>
        <w:t>=</w:t>
      </w:r>
      <w:r>
        <w:rPr>
          <w:rFonts w:eastAsia="MS PGothic"/>
        </w:rPr>
        <w:t xml:space="preserve"> </w:t>
      </w:r>
      <w:r w:rsidRPr="002F6B1A">
        <w:rPr>
          <w:rFonts w:eastAsia="MS PGothic"/>
        </w:rPr>
        <w:t>0.89).</w:t>
      </w:r>
    </w:p>
    <w:p w14:paraId="04566062" w14:textId="77777777" w:rsidR="00FD2993" w:rsidRPr="002F6B1A" w:rsidRDefault="00FD2993" w:rsidP="00FD2993">
      <w:pPr>
        <w:pStyle w:val="FigCap"/>
        <w:rPr>
          <w:rFonts w:eastAsia="MS PGothic"/>
        </w:rPr>
      </w:pPr>
      <w:r>
        <w:rPr>
          <w:rFonts w:eastAsia="MS PGothic"/>
        </w:rPr>
        <w:br/>
      </w:r>
      <w:r>
        <w:rPr>
          <w:rFonts w:eastAsia="MS PGothic"/>
          <w:b/>
          <w:bCs/>
        </w:rPr>
        <w:t>S,Fig.</w:t>
      </w:r>
      <w:r w:rsidRPr="002F6B1A">
        <w:rPr>
          <w:rFonts w:eastAsia="MS PGothic"/>
          <w:b/>
          <w:bCs/>
        </w:rPr>
        <w:t xml:space="preserve"> 13</w:t>
      </w:r>
      <w:r>
        <w:rPr>
          <w:rFonts w:eastAsia="MS PGothic"/>
        </w:rPr>
        <w:t xml:space="preserve"> </w:t>
      </w:r>
      <w:r w:rsidRPr="000E6D46">
        <w:rPr>
          <w:rFonts w:eastAsia="MS PGothic"/>
        </w:rPr>
        <w:t xml:space="preserve">Scatterplot </w:t>
      </w:r>
      <w:r>
        <w:rPr>
          <w:rFonts w:eastAsia="MS PGothic"/>
        </w:rPr>
        <w:t xml:space="preserve">reveals </w:t>
      </w:r>
      <w:r w:rsidRPr="000E6D46">
        <w:rPr>
          <w:rFonts w:eastAsia="MS PGothic"/>
        </w:rPr>
        <w:t xml:space="preserve">a weak correlation between </w:t>
      </w:r>
      <w:r>
        <w:rPr>
          <w:rFonts w:eastAsia="MS PGothic"/>
        </w:rPr>
        <w:t xml:space="preserve">the </w:t>
      </w:r>
      <w:r w:rsidRPr="000E6D46">
        <w:rPr>
          <w:rFonts w:eastAsia="MS PGothic"/>
        </w:rPr>
        <w:t xml:space="preserve">average and minimum </w:t>
      </w:r>
      <w:r>
        <w:rPr>
          <w:rFonts w:eastAsia="MS PGothic"/>
        </w:rPr>
        <w:t>computed tomography (</w:t>
      </w:r>
      <w:r w:rsidRPr="000E6D46">
        <w:rPr>
          <w:rFonts w:eastAsia="MS PGothic"/>
        </w:rPr>
        <w:t>CT</w:t>
      </w:r>
      <w:r>
        <w:rPr>
          <w:rFonts w:eastAsia="MS PGothic"/>
        </w:rPr>
        <w:t>)</w:t>
      </w:r>
      <w:r w:rsidRPr="000E6D46">
        <w:rPr>
          <w:rFonts w:eastAsia="MS PGothic"/>
        </w:rPr>
        <w:t xml:space="preserve"> attenuation</w:t>
      </w:r>
      <w:r w:rsidRPr="002F6B1A">
        <w:rPr>
          <w:rFonts w:eastAsia="MS PGothic"/>
        </w:rPr>
        <w:t xml:space="preserve"> (r</w:t>
      </w:r>
      <w:r>
        <w:rPr>
          <w:rFonts w:eastAsia="MS PGothic"/>
        </w:rPr>
        <w:t> </w:t>
      </w:r>
      <w:r w:rsidRPr="002F6B1A">
        <w:rPr>
          <w:rFonts w:eastAsia="MS PGothic"/>
        </w:rPr>
        <w:t>=</w:t>
      </w:r>
      <w:r>
        <w:rPr>
          <w:rFonts w:eastAsia="MS PGothic"/>
        </w:rPr>
        <w:t xml:space="preserve"> </w:t>
      </w:r>
      <w:r w:rsidRPr="002F6B1A">
        <w:rPr>
          <w:rFonts w:eastAsia="MS PGothic"/>
        </w:rPr>
        <w:t>0.59).</w:t>
      </w:r>
    </w:p>
    <w:p w14:paraId="00BC34D8" w14:textId="77777777" w:rsidR="00FD2993" w:rsidRPr="002F6B1A" w:rsidRDefault="00FD2993" w:rsidP="00FD2993">
      <w:pPr>
        <w:pStyle w:val="FigCap"/>
      </w:pPr>
      <w:r>
        <w:rPr>
          <w:rFonts w:eastAsia="MS PGothic"/>
        </w:rPr>
        <w:br/>
      </w:r>
      <w:r>
        <w:rPr>
          <w:rFonts w:eastAsia="MS PGothic"/>
          <w:b/>
          <w:bCs/>
        </w:rPr>
        <w:t>S,Fig.</w:t>
      </w:r>
      <w:r w:rsidRPr="002F6B1A">
        <w:rPr>
          <w:rFonts w:eastAsia="MS PGothic"/>
          <w:b/>
          <w:bCs/>
        </w:rPr>
        <w:t xml:space="preserve"> 14</w:t>
      </w:r>
      <w:r>
        <w:rPr>
          <w:rFonts w:eastAsia="MS PGothic"/>
        </w:rPr>
        <w:t xml:space="preserve"> </w:t>
      </w:r>
      <w:r>
        <w:t>Receiver operating characteristic</w:t>
      </w:r>
      <w:r w:rsidRPr="00C92E15">
        <w:t xml:space="preserve"> curve for visceral fat area in </w:t>
      </w:r>
      <w:r>
        <w:t xml:space="preserve">64 patients with </w:t>
      </w:r>
      <w:r w:rsidRPr="002F6B1A">
        <w:t xml:space="preserve">renal </w:t>
      </w:r>
      <w:r w:rsidRPr="00DF5F37">
        <w:t>stones</w:t>
      </w:r>
      <w:r>
        <w:t>,</w:t>
      </w:r>
      <w:r w:rsidRPr="00DF5F37">
        <w:t xml:space="preserve"> </w:t>
      </w:r>
      <w:r w:rsidRPr="002F6B1A">
        <w:t xml:space="preserve">predicting </w:t>
      </w:r>
      <w:r>
        <w:t xml:space="preserve">the </w:t>
      </w:r>
      <w:r w:rsidRPr="002F6B1A">
        <w:t>stone-free rate.</w:t>
      </w:r>
      <w:r w:rsidRPr="002F64B8">
        <w:t xml:space="preserve"> The area under the curve (AUC) was 0.724. </w:t>
      </w:r>
      <w:r w:rsidRPr="002F6B1A">
        <w:t>The optimal cut</w:t>
      </w:r>
      <w:r w:rsidRPr="00DF5F37">
        <w:t>-</w:t>
      </w:r>
      <w:r w:rsidRPr="002F6B1A">
        <w:t>off value determined by the Youden index was</w:t>
      </w:r>
      <w:r>
        <w:t xml:space="preserve"> </w:t>
      </w:r>
      <w:r w:rsidRPr="002F6B1A">
        <w:t>185</w:t>
      </w:r>
      <w:r>
        <w:t> </w:t>
      </w:r>
      <w:r w:rsidRPr="002F6B1A">
        <w:t>cm</w:t>
      </w:r>
      <w:r w:rsidRPr="002F6B1A">
        <w:rPr>
          <w:vertAlign w:val="superscript"/>
        </w:rPr>
        <w:t>2</w:t>
      </w:r>
      <w:r w:rsidRPr="002F6B1A">
        <w:t xml:space="preserve">, corresponding to </w:t>
      </w:r>
      <w:r>
        <w:t xml:space="preserve">a </w:t>
      </w:r>
      <w:r w:rsidRPr="002F6B1A">
        <w:t>sensitivity of</w:t>
      </w:r>
      <w:r>
        <w:t xml:space="preserve"> </w:t>
      </w:r>
      <w:r w:rsidRPr="002F6B1A">
        <w:t xml:space="preserve">78.6% and </w:t>
      </w:r>
      <w:r>
        <w:t xml:space="preserve">a </w:t>
      </w:r>
      <w:r w:rsidRPr="002F6B1A">
        <w:t>specificity of</w:t>
      </w:r>
      <w:r>
        <w:t xml:space="preserve"> </w:t>
      </w:r>
      <w:r w:rsidRPr="002F6B1A">
        <w:t>72.2%.</w:t>
      </w:r>
    </w:p>
    <w:p w14:paraId="4F440082" w14:textId="77777777" w:rsidR="00FD2993" w:rsidRPr="002F6B1A" w:rsidRDefault="00FD2993" w:rsidP="00FD2993">
      <w:pPr>
        <w:pStyle w:val="FigCap"/>
      </w:pPr>
      <w:r>
        <w:rPr>
          <w:rFonts w:eastAsia="MS PGothic"/>
        </w:rPr>
        <w:br/>
      </w:r>
      <w:r>
        <w:rPr>
          <w:rFonts w:eastAsia="MS PGothic"/>
          <w:b/>
          <w:bCs/>
        </w:rPr>
        <w:t>S,Fig.</w:t>
      </w:r>
      <w:r w:rsidRPr="002F6B1A">
        <w:rPr>
          <w:rFonts w:eastAsia="MS PGothic"/>
          <w:b/>
          <w:bCs/>
        </w:rPr>
        <w:t xml:space="preserve"> 15</w:t>
      </w:r>
      <w:r>
        <w:rPr>
          <w:rFonts w:eastAsia="MS PGothic"/>
        </w:rPr>
        <w:t xml:space="preserve"> </w:t>
      </w:r>
      <w:r>
        <w:t>Receiver operating characteristic</w:t>
      </w:r>
      <w:r w:rsidRPr="00C92E15">
        <w:t xml:space="preserve"> curve for age in </w:t>
      </w:r>
      <w:r>
        <w:t xml:space="preserve">91 patients with </w:t>
      </w:r>
      <w:r w:rsidRPr="00C92E15">
        <w:t>ureter</w:t>
      </w:r>
      <w:r>
        <w:t>al stones,</w:t>
      </w:r>
      <w:r w:rsidRPr="00C92E15">
        <w:t xml:space="preserve"> predicting </w:t>
      </w:r>
      <w:r>
        <w:t xml:space="preserve">the </w:t>
      </w:r>
      <w:r w:rsidRPr="00C92E15">
        <w:t>stone-free rate.</w:t>
      </w:r>
      <w:r w:rsidRPr="002F64B8">
        <w:t xml:space="preserve"> The area under the curve (AUC) was 0.667. </w:t>
      </w:r>
      <w:r w:rsidRPr="002F6B1A">
        <w:t>The optimal cut</w:t>
      </w:r>
      <w:r w:rsidRPr="00DF5F37">
        <w:t>-</w:t>
      </w:r>
      <w:r w:rsidRPr="002F6B1A">
        <w:t>off value determined by the Youden index was</w:t>
      </w:r>
      <w:r>
        <w:t xml:space="preserve"> </w:t>
      </w:r>
      <w:r w:rsidRPr="002F6B1A">
        <w:t xml:space="preserve">65.5 years, corresponding to </w:t>
      </w:r>
      <w:r>
        <w:t xml:space="preserve">a </w:t>
      </w:r>
      <w:r w:rsidRPr="002F6B1A">
        <w:t>sensitivity of</w:t>
      </w:r>
      <w:r>
        <w:t xml:space="preserve"> </w:t>
      </w:r>
      <w:r w:rsidRPr="002F6B1A">
        <w:t>68.0% and</w:t>
      </w:r>
      <w:r>
        <w:t xml:space="preserve"> a specificity of </w:t>
      </w:r>
      <w:r w:rsidRPr="002F6B1A">
        <w:t>68.2%.</w:t>
      </w:r>
    </w:p>
    <w:p w14:paraId="7ED46459" w14:textId="77777777" w:rsidR="00FD2993" w:rsidRPr="005757A9" w:rsidRDefault="00FD2993" w:rsidP="00FD2993">
      <w:pPr>
        <w:pStyle w:val="FigCap"/>
      </w:pPr>
      <w:r>
        <w:rPr>
          <w:rFonts w:eastAsia="MS PGothic"/>
        </w:rPr>
        <w:br/>
      </w:r>
      <w:r>
        <w:rPr>
          <w:rFonts w:eastAsia="MS PGothic"/>
          <w:b/>
          <w:bCs/>
        </w:rPr>
        <w:t>S,Fig.</w:t>
      </w:r>
      <w:r w:rsidRPr="002F6B1A">
        <w:rPr>
          <w:rFonts w:eastAsia="MS PGothic"/>
          <w:b/>
          <w:bCs/>
        </w:rPr>
        <w:t xml:space="preserve"> 16</w:t>
      </w:r>
      <w:r>
        <w:rPr>
          <w:rFonts w:eastAsia="MS PGothic"/>
        </w:rPr>
        <w:t xml:space="preserve"> </w:t>
      </w:r>
      <w:r>
        <w:t>Receiver operating characteristic</w:t>
      </w:r>
      <w:r w:rsidRPr="00C92E15">
        <w:t xml:space="preserve"> curve for </w:t>
      </w:r>
      <w:r>
        <w:t xml:space="preserve">the </w:t>
      </w:r>
      <w:r w:rsidRPr="00C92E15">
        <w:t xml:space="preserve">iliopsoas muscle area in </w:t>
      </w:r>
      <w:r>
        <w:t xml:space="preserve">91 patients with </w:t>
      </w:r>
      <w:r w:rsidRPr="002F6B1A">
        <w:t>ureter</w:t>
      </w:r>
      <w:r w:rsidRPr="00DF5F37">
        <w:t>al stones</w:t>
      </w:r>
      <w:r w:rsidRPr="002F6B1A">
        <w:t xml:space="preserve"> predicting </w:t>
      </w:r>
      <w:r>
        <w:t xml:space="preserve">the </w:t>
      </w:r>
      <w:r w:rsidRPr="002F6B1A">
        <w:t>stone-free rate.</w:t>
      </w:r>
      <w:r w:rsidRPr="002F64B8">
        <w:t xml:space="preserve"> The area under the curve (AUC) was 0.667. </w:t>
      </w:r>
      <w:r w:rsidRPr="002F6B1A">
        <w:t>The optimal cut</w:t>
      </w:r>
      <w:r w:rsidRPr="00DF5F37">
        <w:t>-</w:t>
      </w:r>
      <w:r w:rsidRPr="002F6B1A">
        <w:t>off value determined by the Youden index was</w:t>
      </w:r>
      <w:r>
        <w:t xml:space="preserve"> </w:t>
      </w:r>
      <w:r w:rsidRPr="002F6B1A">
        <w:t>3</w:t>
      </w:r>
      <w:r w:rsidRPr="00DF5F37">
        <w:t>,</w:t>
      </w:r>
      <w:r w:rsidRPr="002F6B1A">
        <w:t>281</w:t>
      </w:r>
      <w:r>
        <w:t> </w:t>
      </w:r>
      <w:r w:rsidRPr="002F6B1A">
        <w:t>cm</w:t>
      </w:r>
      <w:r w:rsidRPr="002F6B1A">
        <w:rPr>
          <w:vertAlign w:val="superscript"/>
        </w:rPr>
        <w:t>2</w:t>
      </w:r>
      <w:r w:rsidRPr="002F6B1A">
        <w:t xml:space="preserve">, corresponding to </w:t>
      </w:r>
      <w:r>
        <w:t xml:space="preserve">a </w:t>
      </w:r>
      <w:r w:rsidRPr="002F6B1A">
        <w:t>sensitivity of</w:t>
      </w:r>
      <w:r>
        <w:t xml:space="preserve"> </w:t>
      </w:r>
      <w:r w:rsidRPr="002F6B1A">
        <w:t xml:space="preserve">60.0% and </w:t>
      </w:r>
      <w:r>
        <w:t xml:space="preserve">a </w:t>
      </w:r>
      <w:r w:rsidRPr="002F6B1A">
        <w:t>specificity of</w:t>
      </w:r>
      <w:r>
        <w:t xml:space="preserve"> </w:t>
      </w:r>
      <w:r w:rsidRPr="002F6B1A">
        <w:t>75.8%.</w:t>
      </w:r>
    </w:p>
    <w:p w14:paraId="351AAFEE" w14:textId="77777777" w:rsidR="00DC2479" w:rsidRDefault="00DC2479"/>
    <w:sectPr w:rsidR="00DC2479" w:rsidSect="00FD2993">
      <w:footerReference w:type="default" r:id="rId4"/>
      <w:pgSz w:w="11909" w:h="16834" w:code="9"/>
      <w:pgMar w:top="1980" w:right="1692" w:bottom="1692" w:left="1692" w:header="360" w:footer="36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FBCBE" w14:textId="77777777" w:rsidR="00FD2993" w:rsidRDefault="00FD2993" w:rsidP="002F64B8">
    <w:pPr>
      <w:pStyle w:val="Foo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–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993"/>
    <w:rsid w:val="005B6877"/>
    <w:rsid w:val="00952DEB"/>
    <w:rsid w:val="00AA0C39"/>
    <w:rsid w:val="00DC2479"/>
    <w:rsid w:val="00FD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F8F29"/>
  <w15:chartTrackingRefBased/>
  <w15:docId w15:val="{F5AC70E4-ED25-4CDD-AC71-A4118CCE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993"/>
    <w:pPr>
      <w:kinsoku w:val="0"/>
      <w:overflowPunct w:val="0"/>
      <w:adjustRightInd w:val="0"/>
      <w:snapToGrid w:val="0"/>
      <w:spacing w:before="140" w:after="0" w:line="270" w:lineRule="exact"/>
    </w:pPr>
    <w:rPr>
      <w:rFonts w:ascii="Times New Roman" w:eastAsia="Times New Roman" w:hAnsi="Times New Roman" w:cs="Times New Roman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993"/>
    <w:pPr>
      <w:keepNext/>
      <w:keepLines/>
      <w:kinsoku/>
      <w:overflowPunct/>
      <w:adjustRightInd/>
      <w:snapToGri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993"/>
    <w:pPr>
      <w:keepNext/>
      <w:keepLines/>
      <w:kinsoku/>
      <w:overflowPunct/>
      <w:adjustRightInd/>
      <w:snapToGri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993"/>
    <w:pPr>
      <w:keepNext/>
      <w:keepLines/>
      <w:kinsoku/>
      <w:overflowPunct/>
      <w:adjustRightInd/>
      <w:snapToGri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993"/>
    <w:pPr>
      <w:keepNext/>
      <w:keepLines/>
      <w:kinsoku/>
      <w:overflowPunct/>
      <w:adjustRightInd/>
      <w:snapToGri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993"/>
    <w:pPr>
      <w:keepNext/>
      <w:keepLines/>
      <w:kinsoku/>
      <w:overflowPunct/>
      <w:adjustRightInd/>
      <w:snapToGri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993"/>
    <w:pPr>
      <w:keepNext/>
      <w:keepLines/>
      <w:kinsoku/>
      <w:overflowPunct/>
      <w:adjustRightInd/>
      <w:snapToGri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993"/>
    <w:pPr>
      <w:keepNext/>
      <w:keepLines/>
      <w:kinsoku/>
      <w:overflowPunct/>
      <w:adjustRightInd/>
      <w:snapToGri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993"/>
    <w:pPr>
      <w:keepNext/>
      <w:keepLines/>
      <w:kinsoku/>
      <w:overflowPunct/>
      <w:adjustRightInd/>
      <w:snapToGrid/>
      <w:spacing w:before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993"/>
    <w:pPr>
      <w:keepNext/>
      <w:keepLines/>
      <w:kinsoku/>
      <w:overflowPunct/>
      <w:adjustRightInd/>
      <w:snapToGrid/>
      <w:spacing w:before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9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9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9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9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9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9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993"/>
    <w:pPr>
      <w:kinsoku/>
      <w:overflowPunct/>
      <w:adjustRightInd/>
      <w:snapToGrid/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FD2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993"/>
    <w:pPr>
      <w:numPr>
        <w:ilvl w:val="1"/>
      </w:numPr>
      <w:kinsoku/>
      <w:overflowPunct/>
      <w:adjustRightInd/>
      <w:snapToGrid/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FD2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993"/>
    <w:pPr>
      <w:kinsoku/>
      <w:overflowPunct/>
      <w:adjustRightInd/>
      <w:snapToGri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FD29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993"/>
    <w:pPr>
      <w:kinsoku/>
      <w:overflowPunct/>
      <w:adjustRightInd/>
      <w:snapToGrid/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lang w:val="en-IN"/>
    </w:rPr>
  </w:style>
  <w:style w:type="character" w:styleId="IntenseEmphasis">
    <w:name w:val="Intense Emphasis"/>
    <w:basedOn w:val="DefaultParagraphFont"/>
    <w:uiPriority w:val="21"/>
    <w:qFormat/>
    <w:rsid w:val="00FD29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overflowPunct/>
      <w:adjustRightInd/>
      <w:snapToGri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9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993"/>
    <w:rPr>
      <w:b/>
      <w:bCs/>
      <w:smallCaps/>
      <w:color w:val="0F4761" w:themeColor="accent1" w:themeShade="BF"/>
      <w:spacing w:val="5"/>
    </w:rPr>
  </w:style>
  <w:style w:type="paragraph" w:customStyle="1" w:styleId="Subhead1">
    <w:name w:val="*Subhead1"/>
    <w:next w:val="Normal"/>
    <w:qFormat/>
    <w:rsid w:val="00FD2993"/>
    <w:pPr>
      <w:keepNext/>
      <w:keepLines/>
      <w:spacing w:before="480" w:after="0" w:line="360" w:lineRule="auto"/>
      <w:outlineLvl w:val="0"/>
    </w:pPr>
    <w:rPr>
      <w:rFonts w:ascii="Times New Roman" w:eastAsia="Times New Roman" w:hAnsi="Times New Roman" w:cs="Times New Roman"/>
      <w:b/>
      <w:kern w:val="0"/>
      <w:szCs w:val="20"/>
      <w:lang w:val="en-US"/>
      <w14:ligatures w14:val="none"/>
    </w:rPr>
  </w:style>
  <w:style w:type="paragraph" w:customStyle="1" w:styleId="FigCap">
    <w:name w:val="*FigCap"/>
    <w:basedOn w:val="Normal"/>
    <w:qFormat/>
    <w:rsid w:val="00FD2993"/>
    <w:pPr>
      <w:keepLines/>
      <w:tabs>
        <w:tab w:val="left" w:pos="1728"/>
      </w:tabs>
      <w:kinsoku/>
      <w:overflowPunct/>
      <w:adjustRightInd/>
      <w:snapToGrid/>
      <w:spacing w:before="360" w:line="312" w:lineRule="auto"/>
      <w:outlineLvl w:val="4"/>
    </w:pPr>
    <w:rPr>
      <w:kern w:val="0"/>
      <w:sz w:val="22"/>
      <w:szCs w:val="20"/>
      <w:lang w:val="en-US"/>
      <w14:ligatures w14:val="none"/>
    </w:rPr>
  </w:style>
  <w:style w:type="paragraph" w:customStyle="1" w:styleId="Footer">
    <w:name w:val="*Footer"/>
    <w:basedOn w:val="Normal"/>
    <w:qFormat/>
    <w:rsid w:val="00FD2993"/>
    <w:pPr>
      <w:tabs>
        <w:tab w:val="center" w:pos="5040"/>
        <w:tab w:val="right" w:pos="10080"/>
      </w:tabs>
      <w:kinsoku/>
      <w:overflowPunct/>
      <w:adjustRightInd/>
      <w:snapToGrid/>
      <w:spacing w:before="0" w:line="240" w:lineRule="auto"/>
      <w:jc w:val="center"/>
    </w:pPr>
    <w:rPr>
      <w:kern w:val="0"/>
      <w:sz w:val="22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2026-08-26T15:37:00Z</dcterms:created>
  <dcterms:modified xsi:type="dcterms:W3CDTF">2026-08-26T15:38:00Z</dcterms:modified>
</cp:coreProperties>
</file>