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9C2BC4">
      <w:pPr>
        <w:jc w:val="center"/>
        <w:rPr>
          <w:rFonts w:ascii="Times New Roman" w:hAnsi="Times New Roman" w:eastAsia="黑体"/>
          <w:b/>
          <w:bCs/>
          <w:sz w:val="22"/>
          <w:szCs w:val="28"/>
          <w:highlight w:val="none"/>
        </w:rPr>
      </w:pPr>
      <w:r>
        <w:rPr>
          <w:rFonts w:hint="eastAsia" w:ascii="Times New Roman" w:hAnsi="Times New Roman" w:eastAsia="黑体"/>
          <w:b/>
          <w:bCs/>
          <w:sz w:val="22"/>
          <w:szCs w:val="28"/>
          <w:highlight w:val="none"/>
        </w:rPr>
        <w:t>Supplementary Information</w:t>
      </w:r>
    </w:p>
    <w:p w14:paraId="70563E28">
      <w:pPr>
        <w:jc w:val="center"/>
        <w:rPr>
          <w:rFonts w:ascii="Times New Roman" w:hAnsi="Times New Roman" w:eastAsia="黑体"/>
          <w:b/>
          <w:bCs/>
          <w:sz w:val="22"/>
          <w:szCs w:val="28"/>
          <w:highlight w:val="none"/>
        </w:rPr>
      </w:pPr>
    </w:p>
    <w:p w14:paraId="6E4672B6">
      <w:pPr>
        <w:spacing w:line="480" w:lineRule="auto"/>
        <w:rPr>
          <w:rFonts w:hint="eastAsia" w:ascii="Times New Roman" w:hAnsi="Times New Roman" w:eastAsia="黑体"/>
          <w:b/>
          <w:bCs/>
          <w:sz w:val="22"/>
          <w:szCs w:val="28"/>
          <w:highlight w:val="none"/>
        </w:rPr>
      </w:pPr>
      <w:r>
        <w:rPr>
          <w:rFonts w:hint="eastAsia" w:ascii="Times New Roman" w:hAnsi="Times New Roman" w:eastAsia="黑体"/>
          <w:b/>
          <w:bCs/>
          <w:sz w:val="22"/>
          <w:szCs w:val="28"/>
          <w:highlight w:val="none"/>
        </w:rPr>
        <w:t>An allosteric pocket in K</w:t>
      </w:r>
      <w:r>
        <w:rPr>
          <w:rFonts w:hint="eastAsia" w:ascii="Times New Roman" w:hAnsi="Times New Roman" w:eastAsia="黑体"/>
          <w:b/>
          <w:bCs/>
          <w:sz w:val="22"/>
          <w:szCs w:val="28"/>
          <w:highlight w:val="none"/>
          <w:vertAlign w:val="subscript"/>
        </w:rPr>
        <w:t>V</w:t>
      </w:r>
      <w:r>
        <w:rPr>
          <w:rFonts w:hint="eastAsia" w:ascii="Times New Roman" w:hAnsi="Times New Roman" w:eastAsia="黑体"/>
          <w:b/>
          <w:bCs/>
          <w:sz w:val="22"/>
          <w:szCs w:val="28"/>
          <w:highlight w:val="none"/>
        </w:rPr>
        <w:t>1.3 defines a distinct chemical space for immunomodulator design</w:t>
      </w:r>
    </w:p>
    <w:p w14:paraId="1FAB9340">
      <w:pPr>
        <w:spacing w:line="480" w:lineRule="auto"/>
        <w:rPr>
          <w:rFonts w:hint="eastAsia" w:ascii="Times New Roman" w:hAnsi="Times New Roman" w:eastAsia="黑体"/>
          <w:highlight w:val="none"/>
        </w:rPr>
      </w:pPr>
      <w:r>
        <w:rPr>
          <w:rFonts w:hint="eastAsia" w:ascii="Times New Roman" w:hAnsi="Times New Roman" w:eastAsia="黑体"/>
          <w:highlight w:val="none"/>
        </w:rPr>
        <w:t>Guoqing Luo</w:t>
      </w:r>
      <w:r>
        <w:rPr>
          <w:rFonts w:hint="eastAsia" w:ascii="Times New Roman" w:hAnsi="Times New Roman" w:eastAsia="黑体"/>
          <w:highlight w:val="none"/>
          <w:vertAlign w:val="superscript"/>
        </w:rPr>
        <w:t>1,2,#</w:t>
      </w:r>
      <w:r>
        <w:rPr>
          <w:rFonts w:hint="eastAsia" w:ascii="Times New Roman" w:hAnsi="Times New Roman" w:eastAsia="黑体"/>
          <w:highlight w:val="none"/>
        </w:rPr>
        <w:t>, Xin Zhang</w:t>
      </w:r>
      <w:r>
        <w:rPr>
          <w:rFonts w:hint="eastAsia" w:ascii="Times New Roman" w:hAnsi="Times New Roman" w:eastAsia="黑体"/>
          <w:highlight w:val="none"/>
          <w:vertAlign w:val="superscript"/>
        </w:rPr>
        <w:t>3,#</w:t>
      </w:r>
      <w:r>
        <w:rPr>
          <w:rFonts w:hint="eastAsia" w:ascii="Times New Roman" w:hAnsi="Times New Roman" w:eastAsia="黑体"/>
          <w:highlight w:val="none"/>
        </w:rPr>
        <w:t>, Huixin Xia</w:t>
      </w:r>
      <w:r>
        <w:rPr>
          <w:rFonts w:hint="eastAsia" w:ascii="Times New Roman" w:hAnsi="Times New Roman" w:eastAsia="黑体"/>
          <w:highlight w:val="none"/>
          <w:vertAlign w:val="superscript"/>
        </w:rPr>
        <w:t>1,2,#</w:t>
      </w:r>
      <w:r>
        <w:rPr>
          <w:rFonts w:hint="eastAsia" w:ascii="Times New Roman" w:hAnsi="Times New Roman" w:eastAsia="黑体"/>
          <w:highlight w:val="none"/>
        </w:rPr>
        <w:t>, Ziyue Wei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Zheyang Zhang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Jie Sun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Zixuan Zhang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Yi Peng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Han Liu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Xuemeng Huang</w:t>
      </w:r>
      <w:r>
        <w:rPr>
          <w:rFonts w:hint="eastAsia" w:ascii="Times New Roman" w:hAnsi="Times New Roman" w:eastAsia="黑体"/>
          <w:highlight w:val="none"/>
          <w:vertAlign w:val="superscript"/>
        </w:rPr>
        <w:t>1,2</w:t>
      </w:r>
      <w:r>
        <w:rPr>
          <w:rFonts w:hint="eastAsia" w:ascii="Times New Roman" w:hAnsi="Times New Roman" w:eastAsia="黑体"/>
          <w:highlight w:val="none"/>
        </w:rPr>
        <w:t>, Peng Cao</w:t>
      </w:r>
      <w:r>
        <w:rPr>
          <w:rFonts w:ascii="Times New Roman" w:hAnsi="Times New Roman" w:eastAsia="黑体"/>
          <w:highlight w:val="none"/>
          <w:vertAlign w:val="superscript"/>
        </w:rPr>
        <w:t>4</w:t>
      </w:r>
      <w:r>
        <w:rPr>
          <w:rFonts w:ascii="Times New Roman" w:hAnsi="Times New Roman" w:eastAsia="黑体"/>
          <w:highlight w:val="none"/>
        </w:rPr>
        <w:t xml:space="preserve">, </w:t>
      </w:r>
      <w:r>
        <w:rPr>
          <w:rFonts w:hint="eastAsia" w:ascii="Times New Roman" w:hAnsi="Times New Roman" w:eastAsia="黑体"/>
          <w:highlight w:val="none"/>
        </w:rPr>
        <w:t>Mingqiang Rong</w:t>
      </w:r>
      <w:r>
        <w:rPr>
          <w:rFonts w:hint="eastAsia" w:ascii="Times New Roman" w:hAnsi="Times New Roman" w:eastAsia="黑体"/>
          <w:highlight w:val="none"/>
          <w:vertAlign w:val="superscript"/>
        </w:rPr>
        <w:t>1,2,*</w:t>
      </w:r>
      <w:r>
        <w:rPr>
          <w:rFonts w:ascii="Times New Roman" w:hAnsi="Times New Roman" w:eastAsia="黑体"/>
          <w:highlight w:val="none"/>
        </w:rPr>
        <w:t xml:space="preserve">, </w:t>
      </w:r>
      <w:r>
        <w:rPr>
          <w:rFonts w:hint="eastAsia" w:ascii="Times New Roman" w:hAnsi="Times New Roman" w:eastAsia="黑体"/>
          <w:highlight w:val="none"/>
        </w:rPr>
        <w:t>Ye Yu</w:t>
      </w:r>
      <w:r>
        <w:rPr>
          <w:rFonts w:hint="eastAsia" w:ascii="Times New Roman" w:hAnsi="Times New Roman" w:eastAsia="黑体"/>
          <w:highlight w:val="none"/>
          <w:vertAlign w:val="superscript"/>
        </w:rPr>
        <w:t>3,*</w:t>
      </w:r>
      <w:r>
        <w:rPr>
          <w:rFonts w:hint="eastAsia" w:ascii="Times New Roman" w:hAnsi="Times New Roman" w:eastAsia="黑体"/>
          <w:highlight w:val="none"/>
        </w:rPr>
        <w:t>, Cheng Tang</w:t>
      </w:r>
      <w:r>
        <w:rPr>
          <w:rFonts w:hint="eastAsia" w:ascii="Times New Roman" w:hAnsi="Times New Roman" w:eastAsia="黑体"/>
          <w:highlight w:val="none"/>
          <w:vertAlign w:val="superscript"/>
        </w:rPr>
        <w:t>1,2,*</w:t>
      </w:r>
    </w:p>
    <w:p w14:paraId="143CBDB8">
      <w:pPr>
        <w:spacing w:line="480" w:lineRule="auto"/>
        <w:rPr>
          <w:rFonts w:ascii="Times New Roman" w:hAnsi="Times New Roman" w:eastAsia="黑体"/>
          <w:highlight w:val="none"/>
        </w:rPr>
      </w:pPr>
      <w:r>
        <w:rPr>
          <w:rFonts w:ascii="Times New Roman" w:hAnsi="Times New Roman" w:eastAsia="黑体"/>
          <w:highlight w:val="none"/>
          <w:vertAlign w:val="superscript"/>
        </w:rPr>
        <w:t>1</w:t>
      </w:r>
      <w:r>
        <w:rPr>
          <w:rFonts w:ascii="Times New Roman" w:hAnsi="Times New Roman" w:eastAsia="黑体"/>
          <w:highlight w:val="none"/>
        </w:rPr>
        <w:t>The National and Local Joint Engineering Laboratory of Animal Peptide Drug Development, College of Life Sciences, Hunan Normal University, Changsha 410081, China</w:t>
      </w:r>
    </w:p>
    <w:p w14:paraId="7946E98C">
      <w:pPr>
        <w:spacing w:line="480" w:lineRule="auto"/>
        <w:rPr>
          <w:rFonts w:ascii="Times New Roman" w:hAnsi="Times New Roman" w:eastAsia="黑体"/>
          <w:highlight w:val="none"/>
        </w:rPr>
      </w:pPr>
      <w:r>
        <w:rPr>
          <w:rFonts w:ascii="Times New Roman" w:hAnsi="Times New Roman" w:eastAsia="黑体"/>
          <w:highlight w:val="none"/>
          <w:vertAlign w:val="superscript"/>
        </w:rPr>
        <w:t>2</w:t>
      </w:r>
      <w:r>
        <w:rPr>
          <w:rFonts w:ascii="Times New Roman" w:hAnsi="Times New Roman" w:eastAsia="黑体"/>
          <w:highlight w:val="none"/>
        </w:rPr>
        <w:t>Peptide and small molecule drug R&amp;D platform, Furong Laboratory, Changsha 410078, China</w:t>
      </w:r>
    </w:p>
    <w:p w14:paraId="307A986C">
      <w:pPr>
        <w:spacing w:line="480" w:lineRule="auto"/>
        <w:rPr>
          <w:rFonts w:ascii="Times New Roman" w:hAnsi="Times New Roman" w:eastAsia="黑体"/>
          <w:highlight w:val="none"/>
        </w:rPr>
      </w:pPr>
      <w:r>
        <w:rPr>
          <w:rFonts w:ascii="Times New Roman" w:hAnsi="Times New Roman" w:eastAsia="黑体"/>
          <w:highlight w:val="none"/>
          <w:vertAlign w:val="superscript"/>
        </w:rPr>
        <w:t>3</w:t>
      </w:r>
      <w:r>
        <w:rPr>
          <w:rFonts w:ascii="Times New Roman" w:hAnsi="Times New Roman" w:eastAsia="黑体"/>
          <w:highlight w:val="none"/>
        </w:rPr>
        <w:t>Key Laboratory of Preclinical Study for New Drugs of Gansu Province, School of Basic Medical Sciences, Lanzhou University, Lanzhou, China</w:t>
      </w:r>
    </w:p>
    <w:p w14:paraId="6A3624C0">
      <w:pPr>
        <w:spacing w:line="480" w:lineRule="auto"/>
        <w:rPr>
          <w:rFonts w:hint="eastAsia" w:ascii="Times New Roman" w:hAnsi="Times New Roman" w:eastAsia="黑体"/>
          <w:highlight w:val="none"/>
        </w:rPr>
      </w:pPr>
      <w:r>
        <w:rPr>
          <w:rFonts w:ascii="Times New Roman" w:hAnsi="Times New Roman" w:eastAsia="黑体"/>
          <w:highlight w:val="none"/>
          <w:vertAlign w:val="superscript"/>
        </w:rPr>
        <w:t>4</w:t>
      </w:r>
      <w:r>
        <w:rPr>
          <w:rFonts w:ascii="Times New Roman" w:hAnsi="Times New Roman" w:eastAsia="黑体"/>
          <w:highlight w:val="none"/>
        </w:rPr>
        <w:t>Hospital of Integrated Traditional Chinese and Western Medicine, Nanjing University of Chinese Medicine, Nanjing 210023</w:t>
      </w:r>
    </w:p>
    <w:p w14:paraId="3A2CB876">
      <w:pPr>
        <w:spacing w:line="480" w:lineRule="auto"/>
        <w:rPr>
          <w:rFonts w:ascii="Times New Roman" w:hAnsi="Times New Roman" w:eastAsia="黑体"/>
          <w:highlight w:val="none"/>
        </w:rPr>
      </w:pPr>
      <w:r>
        <w:rPr>
          <w:rFonts w:ascii="Times New Roman" w:hAnsi="Times New Roman" w:eastAsia="黑体"/>
          <w:highlight w:val="none"/>
          <w:vertAlign w:val="superscript"/>
        </w:rPr>
        <w:t>#</w:t>
      </w:r>
      <w:r>
        <w:rPr>
          <w:rFonts w:ascii="Times New Roman" w:hAnsi="Times New Roman" w:eastAsia="黑体"/>
          <w:highlight w:val="none"/>
        </w:rPr>
        <w:t>contribute</w:t>
      </w:r>
      <w:r>
        <w:rPr>
          <w:rFonts w:hint="eastAsia" w:ascii="Times New Roman" w:hAnsi="Times New Roman" w:eastAsia="黑体"/>
          <w:highlight w:val="none"/>
          <w:lang w:val="en-US" w:eastAsia="zh-CN"/>
        </w:rPr>
        <w:t>d</w:t>
      </w:r>
      <w:r>
        <w:rPr>
          <w:rFonts w:ascii="Times New Roman" w:hAnsi="Times New Roman" w:eastAsia="黑体"/>
          <w:highlight w:val="none"/>
        </w:rPr>
        <w:t xml:space="preserve"> equally to this work </w:t>
      </w:r>
    </w:p>
    <w:p w14:paraId="60AD511F">
      <w:pPr>
        <w:spacing w:line="480" w:lineRule="auto"/>
        <w:rPr>
          <w:rFonts w:hint="eastAsia" w:ascii="Times New Roman" w:hAnsi="Times New Roman" w:eastAsia="黑体"/>
          <w:highlight w:val="none"/>
          <w:lang w:val="en-US" w:eastAsia="zh-CN"/>
        </w:rPr>
      </w:pPr>
      <w:r>
        <w:rPr>
          <w:rFonts w:ascii="Times New Roman" w:hAnsi="Times New Roman" w:eastAsia="黑体"/>
          <w:highlight w:val="none"/>
          <w:vertAlign w:val="superscript"/>
        </w:rPr>
        <w:t>*</w:t>
      </w:r>
      <w:r>
        <w:rPr>
          <w:rFonts w:hint="eastAsia" w:ascii="Times New Roman" w:hAnsi="Times New Roman" w:eastAsia="黑体"/>
          <w:highlight w:val="none"/>
          <w:lang w:val="en-US" w:eastAsia="zh-CN"/>
        </w:rPr>
        <w:t>C</w:t>
      </w:r>
      <w:r>
        <w:rPr>
          <w:rFonts w:ascii="Times New Roman" w:hAnsi="Times New Roman" w:eastAsia="黑体"/>
          <w:highlight w:val="none"/>
        </w:rPr>
        <w:t>orrespondence should be addressed to:</w:t>
      </w:r>
      <w:r>
        <w:rPr>
          <w:rFonts w:hint="eastAsia" w:ascii="Times New Roman" w:hAnsi="Times New Roman" w:eastAsia="黑体"/>
          <w:highlight w:val="none"/>
        </w:rPr>
        <w:t xml:space="preserve"> </w:t>
      </w:r>
      <w:r>
        <w:rPr>
          <w:highlight w:val="none"/>
        </w:rPr>
        <w:fldChar w:fldCharType="begin"/>
      </w:r>
      <w:r>
        <w:rPr>
          <w:highlight w:val="none"/>
        </w:rPr>
        <w:instrText xml:space="preserve"> HYPERLINK "mailto:rongmq@hunnu.edu.cn" </w:instrText>
      </w:r>
      <w:r>
        <w:rPr>
          <w:highlight w:val="none"/>
        </w:rPr>
        <w:fldChar w:fldCharType="separate"/>
      </w:r>
      <w:r>
        <w:rPr>
          <w:rStyle w:val="9"/>
          <w:rFonts w:ascii="Times New Roman" w:hAnsi="Times New Roman" w:eastAsia="黑体"/>
          <w:highlight w:val="none"/>
        </w:rPr>
        <w:t>rongmq@hunnu.edu.cn</w:t>
      </w:r>
      <w:r>
        <w:rPr>
          <w:rStyle w:val="9"/>
          <w:rFonts w:ascii="Times New Roman" w:hAnsi="Times New Roman" w:eastAsia="黑体"/>
          <w:highlight w:val="none"/>
        </w:rPr>
        <w:fldChar w:fldCharType="end"/>
      </w:r>
      <w:r>
        <w:rPr>
          <w:rFonts w:hint="eastAsia" w:ascii="Times New Roman" w:hAnsi="Times New Roman" w:eastAsia="黑体"/>
          <w:highlight w:val="none"/>
        </w:rPr>
        <w:t xml:space="preserve"> </w:t>
      </w:r>
      <w:r>
        <w:rPr>
          <w:rFonts w:ascii="Times New Roman" w:hAnsi="Times New Roman" w:eastAsia="黑体"/>
          <w:highlight w:val="none"/>
        </w:rPr>
        <w:t>(Mingqiang Rong)</w:t>
      </w:r>
      <w:r>
        <w:rPr>
          <w:rFonts w:hint="eastAsia" w:ascii="Times New Roman" w:hAnsi="Times New Roman" w:eastAsia="黑体"/>
          <w:highlight w:val="none"/>
        </w:rPr>
        <w:t xml:space="preserve">, </w:t>
      </w:r>
      <w:r>
        <w:rPr>
          <w:highlight w:val="none"/>
        </w:rPr>
        <w:fldChar w:fldCharType="begin"/>
      </w:r>
      <w:r>
        <w:rPr>
          <w:highlight w:val="none"/>
        </w:rPr>
        <w:instrText xml:space="preserve"> HYPERLINK "mailto:yuye@cpu.edu.cn" </w:instrText>
      </w:r>
      <w:r>
        <w:rPr>
          <w:highlight w:val="none"/>
        </w:rPr>
        <w:fldChar w:fldCharType="separate"/>
      </w:r>
      <w:r>
        <w:rPr>
          <w:rStyle w:val="9"/>
          <w:rFonts w:ascii="Times New Roman" w:hAnsi="Times New Roman" w:eastAsia="黑体"/>
          <w:highlight w:val="none"/>
        </w:rPr>
        <w:t>yuye@cpu.edu.cn</w:t>
      </w:r>
      <w:r>
        <w:rPr>
          <w:rStyle w:val="9"/>
          <w:rFonts w:ascii="Times New Roman" w:hAnsi="Times New Roman" w:eastAsia="黑体"/>
          <w:highlight w:val="none"/>
        </w:rPr>
        <w:fldChar w:fldCharType="end"/>
      </w:r>
      <w:r>
        <w:rPr>
          <w:rFonts w:hint="eastAsia" w:ascii="Times New Roman" w:hAnsi="Times New Roman" w:eastAsia="黑体"/>
          <w:highlight w:val="none"/>
        </w:rPr>
        <w:t xml:space="preserve"> (Ye Yu)</w:t>
      </w:r>
      <w:r>
        <w:rPr>
          <w:rFonts w:ascii="Times New Roman" w:hAnsi="Times New Roman" w:eastAsia="黑体"/>
          <w:highlight w:val="none"/>
        </w:rPr>
        <w:t>,</w:t>
      </w:r>
      <w:r>
        <w:rPr>
          <w:rFonts w:hint="eastAsia" w:ascii="Times New Roman" w:hAnsi="Times New Roman" w:eastAsia="黑体"/>
          <w:highlight w:val="none"/>
        </w:rPr>
        <w:t xml:space="preserve"> or </w:t>
      </w:r>
      <w:r>
        <w:rPr>
          <w:rFonts w:ascii="Times New Roman" w:hAnsi="Times New Roman" w:eastAsia="黑体"/>
          <w:color w:val="0000FF"/>
          <w:highlight w:val="none"/>
          <w:u w:val="single"/>
        </w:rPr>
        <w:t>chengtang@hunnu.edu.cn (Cheng Tang)</w:t>
      </w:r>
      <w:r>
        <w:rPr>
          <w:rFonts w:hint="eastAsia" w:ascii="Times New Roman" w:hAnsi="Times New Roman" w:eastAsia="黑体"/>
          <w:color w:val="0000FF"/>
          <w:highlight w:val="none"/>
          <w:u w:val="single"/>
          <w:lang w:val="en-US" w:eastAsia="zh-CN"/>
        </w:rPr>
        <w:t xml:space="preserve"> </w:t>
      </w:r>
    </w:p>
    <w:p w14:paraId="247B95A1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  <w:bookmarkStart w:id="3" w:name="_GoBack"/>
      <w:bookmarkEnd w:id="3"/>
    </w:p>
    <w:p w14:paraId="1A2FFA13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1ABA50D4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1AE13B19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00C42644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11E587CC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2965CA41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5E46F2BD">
      <w:pPr>
        <w:spacing w:line="360" w:lineRule="auto"/>
        <w:rPr>
          <w:rFonts w:hint="eastAsia" w:ascii="Times New Roman" w:hAnsi="Times New Roman"/>
          <w:b/>
          <w:bCs/>
          <w:highlight w:val="none"/>
        </w:rPr>
      </w:pPr>
    </w:p>
    <w:p w14:paraId="1A1AEC73">
      <w:pPr>
        <w:spacing w:line="480" w:lineRule="auto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21605" cy="8863330"/>
            <wp:effectExtent l="0" t="0" r="17145" b="13970"/>
            <wp:docPr id="1" name="图片 1" descr="SFig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Fig.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216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C8CE9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 xml:space="preserve">Supplementary Figure 1. </w:t>
      </w:r>
      <w:r>
        <w:rPr>
          <w:rFonts w:hint="eastAsia" w:ascii="Times New Roman" w:hAnsi="Times New Roman"/>
          <w:highlight w:val="none"/>
        </w:rPr>
        <w:t>(A) Typical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 current traces before and after treatment with the indicated compounds, identified by screening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inhibitors</w:t>
      </w:r>
      <w:r>
        <w:rPr>
          <w:rFonts w:hint="eastAsia" w:ascii="Times New Roman" w:hAnsi="Times New Roman"/>
          <w:highlight w:val="none"/>
        </w:rPr>
        <w:t xml:space="preserve"> from a library containing 4,208 struct</w:t>
      </w:r>
      <w:r>
        <w:rPr>
          <w:rFonts w:hint="eastAsia" w:ascii="Times New Roman" w:hAnsi="Times New Roman"/>
          <w:highlight w:val="none"/>
          <w:lang w:val="en-US" w:eastAsia="zh-CN"/>
        </w:rPr>
        <w:t>u</w:t>
      </w:r>
      <w:r>
        <w:rPr>
          <w:rFonts w:hint="eastAsia" w:ascii="Times New Roman" w:hAnsi="Times New Roman"/>
          <w:highlight w:val="none"/>
        </w:rPr>
        <w:t xml:space="preserve">rally diverse compounds (from Selleck Chemicals LLC, Catalog No. L3600)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</w:rPr>
        <w:t>). Currents were elicited using +</w:t>
      </w:r>
      <w:r>
        <w:rPr>
          <w:rFonts w:hint="eastAsia" w:ascii="Times New Roman" w:hAnsi="Times New Roman"/>
          <w:highlight w:val="none"/>
          <w:lang w:val="en-US" w:eastAsia="zh-CN"/>
        </w:rPr>
        <w:t>4</w:t>
      </w:r>
      <w:r>
        <w:rPr>
          <w:rFonts w:ascii="Times New Roman" w:hAnsi="Times New Roman"/>
          <w:highlight w:val="none"/>
        </w:rPr>
        <w:t>0</w:t>
      </w:r>
      <w:r>
        <w:rPr>
          <w:rFonts w:hint="eastAsia" w:ascii="Times New Roman" w:hAnsi="Times New Roman"/>
          <w:highlight w:val="none"/>
        </w:rPr>
        <w:t xml:space="preserve"> mV/</w:t>
      </w:r>
      <w:r>
        <w:rPr>
          <w:rFonts w:hint="eastAsia" w:ascii="Times New Roman" w:hAnsi="Times New Roman"/>
          <w:highlight w:val="none"/>
          <w:lang w:val="en-US" w:eastAsia="zh-CN"/>
        </w:rPr>
        <w:t>2</w:t>
      </w:r>
      <w:r>
        <w:rPr>
          <w:rFonts w:ascii="Times New Roman" w:hAnsi="Times New Roman"/>
          <w:highlight w:val="none"/>
        </w:rPr>
        <w:t>00</w:t>
      </w:r>
      <w:r>
        <w:rPr>
          <w:rFonts w:hint="eastAsia" w:ascii="Times New Roman" w:hAnsi="Times New Roman"/>
          <w:highlight w:val="none"/>
        </w:rPr>
        <w:t xml:space="preserve"> ms depolarizing pulses from a holding potential of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>9</w:t>
      </w:r>
      <w:r>
        <w:rPr>
          <w:rFonts w:ascii="Times New Roman" w:hAnsi="Times New Roman"/>
          <w:highlight w:val="none"/>
        </w:rPr>
        <w:t>0</w:t>
      </w:r>
      <w:r>
        <w:rPr>
          <w:rFonts w:hint="eastAsia" w:ascii="Times New Roman" w:hAnsi="Times New Roman"/>
          <w:highlight w:val="none"/>
        </w:rPr>
        <w:t xml:space="preserve"> mV, with sweep intervals of </w:t>
      </w:r>
      <w:r>
        <w:rPr>
          <w:rFonts w:hint="eastAsia" w:ascii="Times New Roman" w:hAnsi="Times New Roman"/>
          <w:highlight w:val="none"/>
          <w:lang w:val="en-US" w:eastAsia="zh-CN"/>
        </w:rPr>
        <w:t>30</w:t>
      </w:r>
      <w:r>
        <w:rPr>
          <w:rFonts w:hint="eastAsia" w:ascii="Times New Roman" w:hAnsi="Times New Roman"/>
          <w:highlight w:val="none"/>
        </w:rPr>
        <w:t xml:space="preserve"> s. Compounds were applied by acute perfusion. (B) Heat map summarizing the compounds</w:t>
      </w:r>
      <w:r>
        <w:rPr>
          <w:rFonts w:ascii="Times New Roman" w:hAnsi="Times New Roman"/>
          <w:highlight w:val="none"/>
        </w:rPr>
        <w:t>’</w:t>
      </w:r>
      <w:r>
        <w:rPr>
          <w:rFonts w:hint="eastAsia" w:ascii="Times New Roman" w:hAnsi="Times New Roman"/>
          <w:highlight w:val="none"/>
        </w:rPr>
        <w:t xml:space="preserve"> mean inhibition ratio on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1.5 currents, with the color scale (blue to red) representing low to high inhibition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</w:rPr>
        <w:t>). MPiN stood out for its potent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(0.89) with little effect on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 (0.06). (C) Fold increase in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hint="eastAsia" w:ascii="Times New Roman" w:hAnsi="Times New Roman"/>
          <w:highlight w:val="none"/>
          <w:lang w:val="en-US" w:eastAsia="zh-CN"/>
        </w:rPr>
        <w:t>of inhibiting</w:t>
      </w:r>
      <w:r>
        <w:rPr>
          <w:rFonts w:hint="eastAsia" w:ascii="Times New Roman" w:hAnsi="Times New Roman"/>
          <w:highlight w:val="none"/>
        </w:rPr>
        <w:t xml:space="preserve">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currents</w:t>
      </w:r>
      <w:r>
        <w:rPr>
          <w:rFonts w:hint="eastAsia" w:ascii="Times New Roman" w:hAnsi="Times New Roman"/>
          <w:highlight w:val="none"/>
        </w:rPr>
        <w:t xml:space="preserve"> by the indicated compounds, </w:t>
      </w:r>
      <w:r>
        <w:rPr>
          <w:rFonts w:hint="eastAsia" w:ascii="Times New Roman" w:hAnsi="Times New Roman"/>
          <w:highlight w:val="none"/>
          <w:lang w:val="en-US" w:eastAsia="zh-CN"/>
        </w:rPr>
        <w:t>relative</w:t>
      </w:r>
      <w:r>
        <w:rPr>
          <w:rFonts w:hint="eastAsia" w:ascii="Times New Roman" w:hAnsi="Times New Roman"/>
          <w:highlight w:val="none"/>
        </w:rPr>
        <w:t xml:space="preserve"> to the</w:t>
      </w:r>
      <w:r>
        <w:rPr>
          <w:rFonts w:hint="eastAsia" w:ascii="Times New Roman" w:hAnsi="Times New Roman"/>
          <w:highlight w:val="none"/>
          <w:lang w:val="en-US" w:eastAsia="zh-CN"/>
        </w:rPr>
        <w:t>ir respective</w:t>
      </w:r>
      <w:r>
        <w:rPr>
          <w:rFonts w:hint="eastAsia" w:ascii="Times New Roman" w:hAnsi="Times New Roman"/>
          <w:highlight w:val="none"/>
        </w:rPr>
        <w:t xml:space="preserve">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hint="eastAsia" w:ascii="Times New Roman" w:hAnsi="Times New Roman"/>
          <w:highlight w:val="none"/>
          <w:lang w:val="en-US" w:eastAsia="zh-CN"/>
        </w:rPr>
        <w:t>against</w:t>
      </w:r>
      <w:r>
        <w:rPr>
          <w:rFonts w:hint="eastAsia" w:ascii="Times New Roman" w:hAnsi="Times New Roman"/>
          <w:highlight w:val="none"/>
        </w:rPr>
        <w:t xml:space="preserve">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1.3.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calculated from the inhibition ratios in (B) using a simplified Hill equation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</w:rPr>
        <w:t>).</w:t>
      </w:r>
      <w:r>
        <w:rPr>
          <w:rFonts w:hint="eastAsia" w:ascii="Times New Roman" w:hAnsi="Times New Roman"/>
          <w:highlight w:val="none"/>
          <w:vertAlign w:val="subscript"/>
        </w:rPr>
        <w:t xml:space="preserve"> </w:t>
      </w:r>
      <w:r>
        <w:rPr>
          <w:rFonts w:hint="eastAsia" w:ascii="Times New Roman" w:hAnsi="Times New Roman"/>
          <w:highlight w:val="none"/>
        </w:rPr>
        <w:t>(D) Time course of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inhibition of</w:t>
      </w:r>
      <w:r>
        <w:rPr>
          <w:rFonts w:hint="eastAsia" w:ascii="Times New Roman" w:hAnsi="Times New Roman"/>
          <w:highlight w:val="none"/>
        </w:rPr>
        <w:t xml:space="preserve">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currents by acute perfusion of 5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>M MPiN and recovery upon washout, with inhibition and recovery time constant</w:t>
      </w:r>
      <w:r>
        <w:rPr>
          <w:rFonts w:hint="eastAsia" w:ascii="Times New Roman" w:hAnsi="Times New Roman"/>
          <w:highlight w:val="none"/>
          <w:lang w:val="en-US" w:eastAsia="zh-CN"/>
        </w:rPr>
        <w:t>s</w:t>
      </w:r>
      <w:r>
        <w:rPr>
          <w:rFonts w:hint="eastAsia" w:ascii="Times New Roman" w:hAnsi="Times New Roman"/>
          <w:highlight w:val="none"/>
        </w:rPr>
        <w:t xml:space="preserve"> of </w:t>
      </w:r>
      <w:r>
        <w:rPr>
          <w:rFonts w:ascii="Times New Roman" w:hAnsi="Times New Roman"/>
          <w:highlight w:val="none"/>
        </w:rPr>
        <w:t>24.8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5.5</w:t>
      </w:r>
      <w:r>
        <w:rPr>
          <w:rFonts w:hint="eastAsia" w:ascii="Times New Roman" w:hAnsi="Times New Roman"/>
          <w:highlight w:val="none"/>
        </w:rPr>
        <w:t xml:space="preserve"> s and </w:t>
      </w:r>
      <w:r>
        <w:rPr>
          <w:rFonts w:ascii="Times New Roman" w:hAnsi="Times New Roman"/>
          <w:highlight w:val="none"/>
        </w:rPr>
        <w:t>35.7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3.9</w:t>
      </w:r>
      <w:r>
        <w:rPr>
          <w:rFonts w:hint="eastAsia" w:ascii="Times New Roman" w:hAnsi="Times New Roman"/>
          <w:highlight w:val="none"/>
        </w:rPr>
        <w:t xml:space="preserve"> s, respectively (n 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). Currents were normalized to the maximum current before MPiN administration (Ctrl). Inset shows typical currents at indicated time points.</w:t>
      </w:r>
    </w:p>
    <w:p w14:paraId="09A5CD78">
      <w:pPr>
        <w:spacing w:line="480" w:lineRule="auto"/>
        <w:jc w:val="center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0500" cy="4264660"/>
            <wp:effectExtent l="0" t="0" r="6350" b="2540"/>
            <wp:docPr id="2" name="图片 2" descr="SFig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Fig.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0F3E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2.</w:t>
      </w:r>
      <w:r>
        <w:rPr>
          <w:rFonts w:hint="eastAsia" w:ascii="Times New Roman" w:hAnsi="Times New Roman"/>
          <w:b/>
          <w:bCs/>
          <w:highlight w:val="none"/>
        </w:rPr>
        <w:t xml:space="preserve"> MPiN selectively inhibited the K</w:t>
      </w:r>
      <w:r>
        <w:rPr>
          <w:rFonts w:hint="eastAsia" w:ascii="Times New Roman" w:hAnsi="Times New Roman"/>
          <w:b/>
          <w:bCs/>
          <w:highlight w:val="none"/>
          <w:vertAlign w:val="subscript"/>
        </w:rPr>
        <w:t>V</w:t>
      </w:r>
      <w:r>
        <w:rPr>
          <w:rFonts w:hint="eastAsia" w:ascii="Times New Roman" w:hAnsi="Times New Roman"/>
          <w:b/>
          <w:bCs/>
          <w:highlight w:val="none"/>
        </w:rPr>
        <w:t>1.3 channel.</w:t>
      </w:r>
      <w:r>
        <w:rPr>
          <w:rFonts w:hint="eastAsia" w:ascii="Times New Roman" w:hAnsi="Times New Roman"/>
          <w:highlight w:val="none"/>
        </w:rPr>
        <w:t xml:space="preserve"> (A) Representative current traces showing the effects of MPiN (10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Arial" w:hAnsi="Arial" w:cs="Arial"/>
          <w:highlight w:val="none"/>
        </w:rPr>
        <w:t>M</w:t>
      </w:r>
      <w:r>
        <w:rPr>
          <w:rFonts w:hint="eastAsia" w:ascii="Times New Roman" w:hAnsi="Times New Roman"/>
          <w:highlight w:val="none"/>
        </w:rPr>
        <w:t>) on various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, Na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, and Ca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 channels as illustrated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>). (B) - (D) Dose-response relationships of MPiN inhibiting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the off-target channels in (A) 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>). Currents with various doses of MPiN treatment were normalized to control current (Nor I). The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</w:t>
      </w:r>
    </w:p>
    <w:p w14:paraId="13FE054C">
      <w:pPr>
        <w:spacing w:line="480" w:lineRule="auto"/>
        <w:jc w:val="center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2405" cy="5195570"/>
            <wp:effectExtent l="0" t="0" r="4445" b="5080"/>
            <wp:docPr id="3" name="图片 3" descr="SFig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Fig.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19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79202">
      <w:pPr>
        <w:spacing w:line="480" w:lineRule="auto"/>
        <w:rPr>
          <w:rFonts w:hint="default" w:eastAsia="宋体"/>
          <w:highlight w:val="none"/>
          <w:lang w:val="en-US" w:eastAsia="zh-CN"/>
        </w:rPr>
      </w:pPr>
      <w:r>
        <w:rPr>
          <w:rFonts w:ascii="Times New Roman" w:hAnsi="Times New Roman" w:eastAsia="黑体"/>
          <w:b/>
          <w:bCs/>
          <w:highlight w:val="none"/>
        </w:rPr>
        <w:t xml:space="preserve">Supplementary Figure </w:t>
      </w:r>
      <w:r>
        <w:rPr>
          <w:rFonts w:hint="eastAsia" w:ascii="Times New Roman" w:hAnsi="Times New Roman" w:eastAsia="黑体"/>
          <w:b/>
          <w:bCs/>
          <w:highlight w:val="none"/>
        </w:rPr>
        <w:t>3</w:t>
      </w:r>
      <w:r>
        <w:rPr>
          <w:rFonts w:ascii="Times New Roman" w:hAnsi="Times New Roman" w:eastAsia="黑体"/>
          <w:b/>
          <w:bCs/>
          <w:highlight w:val="none"/>
        </w:rPr>
        <w:t>.</w:t>
      </w:r>
      <w:r>
        <w:rPr>
          <w:rFonts w:hint="eastAsia" w:ascii="Times New Roman" w:hAnsi="Times New Roman" w:eastAsia="黑体"/>
          <w:b/>
          <w:bCs/>
          <w:highlight w:val="none"/>
        </w:rPr>
        <w:t xml:space="preserve"> MPiN alleviated IMQ-induced psoriasis in mice, with efficacy comparable to PAP-1. </w:t>
      </w:r>
      <w:r>
        <w:rPr>
          <w:rFonts w:hint="eastAsia" w:ascii="Times New Roman" w:hAnsi="Times New Roman" w:eastAsia="黑体"/>
          <w:highlight w:val="none"/>
        </w:rPr>
        <w:t xml:space="preserve">(A) Representative gross images of mouse ears (top) and H&amp;E-stained ear sections (bottom) from day 9 (D9) mice </w:t>
      </w:r>
      <w:r>
        <w:rPr>
          <w:rFonts w:hint="eastAsia" w:ascii="Times New Roman" w:hAnsi="Times New Roman"/>
          <w:highlight w:val="none"/>
        </w:rPr>
        <w:t>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</w:t>
      </w:r>
      <w:r>
        <w:rPr>
          <w:rFonts w:hint="eastAsia" w:ascii="Times New Roman" w:hAnsi="Times New Roman" w:eastAsia="黑体"/>
          <w:highlight w:val="none"/>
        </w:rPr>
        <w:t xml:space="preserve">. (B) Representative spleen images for animals in each group </w:t>
      </w:r>
      <w:r>
        <w:rPr>
          <w:rFonts w:hint="eastAsia" w:ascii="Times New Roman" w:hAnsi="Times New Roman"/>
          <w:highlight w:val="none"/>
        </w:rPr>
        <w:t>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 xml:space="preserve">). </w:t>
      </w:r>
      <w:r>
        <w:rPr>
          <w:rFonts w:hint="eastAsia" w:ascii="Times New Roman" w:hAnsi="Times New Roman" w:eastAsia="黑体"/>
          <w:highlight w:val="none"/>
        </w:rPr>
        <w:t xml:space="preserve">(C) Time course of ear thickness during treatment </w:t>
      </w:r>
      <w:r>
        <w:rPr>
          <w:rFonts w:hint="eastAsia" w:ascii="Times New Roman" w:hAnsi="Times New Roman"/>
          <w:highlight w:val="none"/>
        </w:rPr>
        <w:t>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</w:t>
      </w:r>
      <w:r>
        <w:rPr>
          <w:rFonts w:hint="eastAsia" w:ascii="Times New Roman" w:hAnsi="Times New Roman" w:eastAsia="黑体"/>
          <w:highlight w:val="none"/>
        </w:rPr>
        <w:t xml:space="preserve">. (D) Quantification of epidermal thickness in ear sections from D9 mice </w:t>
      </w:r>
      <w:r>
        <w:rPr>
          <w:rFonts w:hint="eastAsia" w:ascii="Times New Roman" w:hAnsi="Times New Roman"/>
          <w:highlight w:val="none"/>
        </w:rPr>
        <w:t>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</w:t>
      </w:r>
      <w:r>
        <w:rPr>
          <w:rFonts w:hint="eastAsia" w:ascii="Times New Roman" w:hAnsi="Times New Roman" w:eastAsia="黑体"/>
          <w:highlight w:val="none"/>
        </w:rPr>
        <w:t>. (E-G) Psoriasis Area and Severity Index (PASI) scores</w:t>
      </w:r>
      <w:r>
        <w:rPr>
          <w:rFonts w:hint="eastAsia" w:ascii="Times New Roman" w:hAnsi="Times New Roman" w:eastAsia="黑体"/>
          <w:highlight w:val="none"/>
          <w:lang w:val="en-US" w:eastAsia="zh-CN"/>
        </w:rPr>
        <w:t xml:space="preserve"> over time</w:t>
      </w:r>
      <w:r>
        <w:rPr>
          <w:rFonts w:hint="eastAsia" w:ascii="Times New Roman" w:hAnsi="Times New Roman" w:eastAsia="黑体"/>
          <w:highlight w:val="none"/>
        </w:rPr>
        <w:t xml:space="preserve">. Scores for scaling (E), erythema (F), and ear thickening (G) were graded on a scale of 0–4 </w:t>
      </w:r>
      <w:r>
        <w:rPr>
          <w:rFonts w:hint="eastAsia" w:ascii="Times New Roman" w:hAnsi="Times New Roman"/>
          <w:highlight w:val="none"/>
        </w:rPr>
        <w:t>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</w:t>
      </w:r>
      <w:r>
        <w:rPr>
          <w:rFonts w:hint="eastAsia" w:ascii="Times New Roman" w:hAnsi="Times New Roman" w:eastAsia="黑体"/>
          <w:highlight w:val="none"/>
        </w:rPr>
        <w:t>.</w:t>
      </w:r>
      <w:r>
        <w:rPr>
          <w:rFonts w:hint="eastAsia" w:ascii="Times New Roman" w:hAnsi="Times New Roman"/>
          <w:highlight w:val="none"/>
        </w:rPr>
        <w:t xml:space="preserve">  In (</w:t>
      </w:r>
      <w:r>
        <w:rPr>
          <w:rFonts w:hint="eastAsia" w:ascii="Times New Roman" w:hAnsi="Times New Roman"/>
          <w:highlight w:val="none"/>
          <w:lang w:val="en-US" w:eastAsia="zh-CN"/>
        </w:rPr>
        <w:t>C-</w:t>
      </w:r>
      <w:r>
        <w:rPr>
          <w:rFonts w:hint="eastAsia" w:ascii="Times New Roman" w:hAnsi="Times New Roman"/>
          <w:highlight w:val="none"/>
        </w:rPr>
        <w:t>G), statistic differences evaluated using one-way ANOVA with post-hoc Dunnett's multiple comparisons test, refer to Supplementary table 2 for F, df, and exact p values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(</w:t>
      </w:r>
      <w:r>
        <w:rPr>
          <w:rFonts w:hint="eastAsia" w:ascii="Times New Roman" w:hAnsi="Times New Roman"/>
          <w:highlight w:val="none"/>
        </w:rPr>
        <w:t>p values are as shown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in panel D)</w:t>
      </w:r>
      <w:r>
        <w:rPr>
          <w:rFonts w:hint="eastAsia" w:ascii="Times New Roman" w:hAnsi="Times New Roman"/>
          <w:highlight w:val="none"/>
        </w:rPr>
        <w:t>; *p &lt; 0.05, **p &lt; 0.01, ***p &lt;0.001, and ****p &lt; 0.0001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. </w:t>
      </w:r>
    </w:p>
    <w:p w14:paraId="4FFC522D">
      <w:pPr>
        <w:spacing w:line="480" w:lineRule="auto"/>
        <w:jc w:val="center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4053840" cy="4337685"/>
            <wp:effectExtent l="0" t="0" r="3810" b="5715"/>
            <wp:docPr id="4" name="图片 4" descr="SFig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Fig.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4A809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 xml:space="preserve">Supplementary Figure 4. </w:t>
      </w:r>
      <w:r>
        <w:rPr>
          <w:rFonts w:hint="eastAsia" w:ascii="Times New Roman" w:hAnsi="Times New Roman"/>
          <w:highlight w:val="none"/>
        </w:rPr>
        <w:t>(A) Voltage and drug perfusion protocols for analyzing the time course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</w:t>
      </w:r>
      <w:r>
        <w:rPr>
          <w:rFonts w:hint="default" w:ascii="Times New Roman" w:hAnsi="Times New Roman"/>
          <w:highlight w:val="none"/>
          <w:lang w:val="en-US"/>
        </w:rPr>
        <w:t>s</w:t>
      </w:r>
      <w:r>
        <w:rPr>
          <w:rFonts w:hint="eastAsia" w:ascii="Times New Roman" w:hAnsi="Times New Roman"/>
          <w:highlight w:val="none"/>
        </w:rPr>
        <w:t xml:space="preserve"> inhibition by MPiN. Channels were held at -90 mV and activated by two sets of depolarizing pulse trains (consisting of +40 mV depolarizing pulses of 20 ms or 2 s), separated by a -90 mV/7 min holding pulse that trapped channels in the resting state. The timeline represents a cumulative sweep interval of 30 s, with t</w:t>
      </w:r>
      <w:r>
        <w:rPr>
          <w:rFonts w:hint="eastAsia" w:ascii="Times New Roman" w:hAnsi="Times New Roman"/>
          <w:highlight w:val="none"/>
          <w:vertAlign w:val="subscript"/>
        </w:rPr>
        <w:t>0</w:t>
      </w:r>
      <w:r>
        <w:rPr>
          <w:rFonts w:hint="eastAsia" w:ascii="Times New Roman" w:hAnsi="Times New Roman"/>
          <w:highlight w:val="none"/>
        </w:rPr>
        <w:t>-t</w:t>
      </w:r>
      <w:r>
        <w:rPr>
          <w:rFonts w:hint="eastAsia" w:ascii="Times New Roman" w:hAnsi="Times New Roman"/>
          <w:highlight w:val="none"/>
          <w:vertAlign w:val="subscript"/>
        </w:rPr>
        <w:t>4</w:t>
      </w:r>
      <w:r>
        <w:rPr>
          <w:rFonts w:hint="eastAsia" w:ascii="Times New Roman" w:hAnsi="Times New Roman"/>
          <w:highlight w:val="none"/>
        </w:rPr>
        <w:t xml:space="preserve"> indicating different time points along the time course. 10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>M MPiN was applied by acute perfusion 2 min into the holding pulse, and incubated with resting state channels for an additional 5 min (arrow) before depolarizing pulses were recovered. In the control group, normal bath solution was perfused instead. (B)-(E)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currents at the t</w:t>
      </w:r>
      <w:r>
        <w:rPr>
          <w:rFonts w:hint="eastAsia" w:ascii="Times New Roman" w:hAnsi="Times New Roman"/>
          <w:highlight w:val="none"/>
          <w:vertAlign w:val="subscript"/>
        </w:rPr>
        <w:t>0</w:t>
      </w:r>
      <w:r>
        <w:rPr>
          <w:rFonts w:hint="eastAsia" w:ascii="Times New Roman" w:hAnsi="Times New Roman"/>
          <w:highlight w:val="none"/>
        </w:rPr>
        <w:t>-t</w:t>
      </w:r>
      <w:r>
        <w:rPr>
          <w:rFonts w:hint="eastAsia" w:ascii="Times New Roman" w:hAnsi="Times New Roman"/>
          <w:highlight w:val="none"/>
          <w:vertAlign w:val="subscript"/>
        </w:rPr>
        <w:t>4</w:t>
      </w:r>
      <w:r>
        <w:rPr>
          <w:rFonts w:hint="eastAsia" w:ascii="Times New Roman" w:hAnsi="Times New Roman"/>
          <w:highlight w:val="none"/>
        </w:rPr>
        <w:t xml:space="preserve"> time points indicated in (A) (n = </w:t>
      </w:r>
      <w:r>
        <w:rPr>
          <w:rFonts w:ascii="Times New Roman" w:hAnsi="Times New Roman"/>
          <w:highlight w:val="none"/>
        </w:rPr>
        <w:t>8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1</w:t>
      </w:r>
      <w:r>
        <w:rPr>
          <w:rFonts w:hint="eastAsia" w:ascii="Times New Roman" w:hAnsi="Times New Roman"/>
          <w:highlight w:val="none"/>
          <w:lang w:val="en-US" w:eastAsia="zh-CN"/>
        </w:rPr>
        <w:t>2</w:t>
      </w:r>
      <w:r>
        <w:rPr>
          <w:rFonts w:hint="eastAsia" w:ascii="Times New Roman" w:hAnsi="Times New Roman"/>
          <w:highlight w:val="none"/>
        </w:rPr>
        <w:t>). (B, D) control group; (C, E) MPiN group. Currents were elicited by +40 mV pulses of 20 ms (B, C) or 2 s (D, E). (F) The same as in (A), with the exception of pulse duration of 50 ms. (G–J)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currents recorded at the t</w:t>
      </w:r>
      <w:r>
        <w:rPr>
          <w:rFonts w:hint="eastAsia" w:ascii="Times New Roman" w:hAnsi="Times New Roman"/>
          <w:highlight w:val="none"/>
          <w:vertAlign w:val="subscript"/>
        </w:rPr>
        <w:t>0</w:t>
      </w:r>
      <w:r>
        <w:rPr>
          <w:rFonts w:hint="eastAsia" w:ascii="Times New Roman" w:hAnsi="Times New Roman"/>
          <w:highlight w:val="none"/>
        </w:rPr>
        <w:t>–t</w:t>
      </w:r>
      <w:r>
        <w:rPr>
          <w:rFonts w:hint="eastAsia" w:ascii="Times New Roman" w:hAnsi="Times New Roman"/>
          <w:highlight w:val="none"/>
          <w:vertAlign w:val="subscript"/>
        </w:rPr>
        <w:t>4</w:t>
      </w:r>
      <w:r>
        <w:rPr>
          <w:rFonts w:hint="eastAsia" w:ascii="Times New Roman" w:hAnsi="Times New Roman"/>
          <w:highlight w:val="none"/>
        </w:rPr>
        <w:t xml:space="preserve"> time points indicated in (F) (n = </w:t>
      </w:r>
      <w:r>
        <w:rPr>
          <w:rFonts w:hint="eastAsia" w:ascii="Times New Roman" w:hAnsi="Times New Roman"/>
          <w:highlight w:val="none"/>
          <w:lang w:val="en-US" w:eastAsia="zh-CN"/>
        </w:rPr>
        <w:t>5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13</w:t>
      </w:r>
      <w:r>
        <w:rPr>
          <w:rFonts w:hint="eastAsia" w:ascii="Times New Roman" w:hAnsi="Times New Roman"/>
          <w:highlight w:val="none"/>
        </w:rPr>
        <w:t xml:space="preserve">). (G) Control; (H) MPiN; (I) </w:t>
      </w:r>
      <w:r>
        <w:rPr>
          <w:rFonts w:hint="eastAsia" w:ascii="Times New Roman" w:hAnsi="Times New Roman"/>
          <w:highlight w:val="none"/>
          <w:lang w:val="en-US" w:eastAsia="zh-CN"/>
        </w:rPr>
        <w:t>V</w:t>
      </w:r>
      <w:r>
        <w:rPr>
          <w:rFonts w:hint="eastAsia" w:ascii="Times New Roman" w:hAnsi="Times New Roman"/>
          <w:highlight w:val="none"/>
        </w:rPr>
        <w:t>erapamil + MPiN; and (J) PAP-1 + MPiN. Verapamil (</w:t>
      </w:r>
      <w:r>
        <w:rPr>
          <w:rFonts w:ascii="Times New Roman" w:hAnsi="Times New Roman"/>
          <w:highlight w:val="none"/>
        </w:rPr>
        <w:t>100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>) and PAP-1 (</w:t>
      </w:r>
      <w:r>
        <w:rPr>
          <w:rFonts w:ascii="Times New Roman" w:hAnsi="Times New Roman"/>
          <w:highlight w:val="none"/>
        </w:rPr>
        <w:t>200</w:t>
      </w:r>
      <w:r>
        <w:rPr>
          <w:rFonts w:hint="eastAsia" w:ascii="Times New Roman" w:hAnsi="Times New Roman"/>
          <w:highlight w:val="none"/>
        </w:rPr>
        <w:t xml:space="preserve"> n</w:t>
      </w:r>
      <w:r>
        <w:rPr>
          <w:rFonts w:ascii="Times New Roman" w:hAnsi="Times New Roman"/>
          <w:highlight w:val="none"/>
        </w:rPr>
        <w:t>M</w:t>
      </w:r>
      <w:r>
        <w:rPr>
          <w:rFonts w:hint="eastAsia" w:ascii="Times New Roman" w:hAnsi="Times New Roman"/>
          <w:highlight w:val="none"/>
        </w:rPr>
        <w:t>) were applied by preincubation from the beginning of the experiment.</w:t>
      </w:r>
    </w:p>
    <w:p w14:paraId="76BCEFB4">
      <w:pPr>
        <w:spacing w:line="480" w:lineRule="auto"/>
        <w:rPr>
          <w:rFonts w:hint="eastAsia" w:ascii="Times New Roman" w:hAnsi="Times New Roman"/>
          <w:highlight w:val="none"/>
        </w:rPr>
      </w:pPr>
    </w:p>
    <w:p w14:paraId="3990842A">
      <w:pPr>
        <w:spacing w:line="480" w:lineRule="auto"/>
        <w:jc w:val="center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70500" cy="3583940"/>
            <wp:effectExtent l="0" t="0" r="6350" b="16510"/>
            <wp:docPr id="5" name="图片 5" descr="SFig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Fig.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5BF31">
      <w:pPr>
        <w:spacing w:line="480" w:lineRule="auto"/>
        <w:rPr>
          <w:rFonts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5.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(A)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currents before (blue) and after (</w:t>
      </w:r>
      <w:r>
        <w:rPr>
          <w:rFonts w:hint="default" w:ascii="Times New Roman" w:hAnsi="Times New Roman"/>
          <w:highlight w:val="none"/>
          <w:lang w:val="en-US"/>
        </w:rPr>
        <w:t>orange</w:t>
      </w:r>
      <w:r>
        <w:rPr>
          <w:rFonts w:hint="eastAsia" w:ascii="Times New Roman" w:hAnsi="Times New Roman"/>
          <w:highlight w:val="none"/>
        </w:rPr>
        <w:t xml:space="preserve">) 5 </w:t>
      </w:r>
      <w:r>
        <w:rPr>
          <w:rFonts w:ascii="Times New Roman" w:hAnsi="Times New Roman" w:cs="Times New Roman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 MPiN treatment (n = </w:t>
      </w:r>
      <w:r>
        <w:rPr>
          <w:rFonts w:ascii="Times New Roman" w:hAnsi="Times New Roman"/>
          <w:highlight w:val="none"/>
        </w:rPr>
        <w:t>6</w:t>
      </w:r>
      <w:r>
        <w:rPr>
          <w:rFonts w:hint="eastAsia" w:ascii="Times New Roman" w:hAnsi="Times New Roman"/>
          <w:highlight w:val="none"/>
        </w:rPr>
        <w:t>). Currents were evoked by depolarizing pulses from -70 mV to +60 mV (in 10 mV increment), from -90 mV holding, with sweep in</w:t>
      </w:r>
      <w:r>
        <w:rPr>
          <w:rFonts w:hint="eastAsia" w:ascii="Times New Roman" w:hAnsi="Times New Roman"/>
          <w:highlight w:val="none"/>
          <w:lang w:val="en-US" w:eastAsia="zh-CN"/>
        </w:rPr>
        <w:t>t</w:t>
      </w:r>
      <w:r>
        <w:rPr>
          <w:rFonts w:hint="eastAsia" w:ascii="Times New Roman" w:hAnsi="Times New Roman"/>
          <w:highlight w:val="none"/>
        </w:rPr>
        <w:t>erval</w:t>
      </w:r>
      <w:r>
        <w:rPr>
          <w:rFonts w:hint="default" w:ascii="Times New Roman" w:hAnsi="Times New Roman"/>
          <w:highlight w:val="none"/>
          <w:lang w:val="en-US"/>
        </w:rPr>
        <w:t>s</w:t>
      </w:r>
      <w:r>
        <w:rPr>
          <w:rFonts w:hint="eastAsia" w:ascii="Times New Roman" w:hAnsi="Times New Roman"/>
          <w:highlight w:val="none"/>
        </w:rPr>
        <w:t xml:space="preserve"> of 30 s. (B) Current-voltage (I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hint="eastAsia"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V) relationships from (A), with currents being normalized to the control current at +60 mV (n = </w:t>
      </w:r>
      <w:r>
        <w:rPr>
          <w:rFonts w:ascii="Times New Roman" w:hAnsi="Times New Roman"/>
          <w:highlight w:val="none"/>
        </w:rPr>
        <w:t>6</w:t>
      </w:r>
      <w:r>
        <w:rPr>
          <w:rFonts w:hint="eastAsia" w:ascii="Times New Roman" w:hAnsi="Times New Roman"/>
          <w:highlight w:val="none"/>
        </w:rPr>
        <w:t xml:space="preserve">). (C) Inhibition ratios across various depolarizing voltages in (B), showing voltage-independent inhibition by MPiN (n = </w:t>
      </w:r>
      <w:r>
        <w:rPr>
          <w:rFonts w:ascii="Times New Roman" w:hAnsi="Times New Roman"/>
          <w:highlight w:val="none"/>
        </w:rPr>
        <w:t>6</w:t>
      </w:r>
      <w:r>
        <w:rPr>
          <w:rFonts w:hint="eastAsia" w:ascii="Times New Roman" w:hAnsi="Times New Roman"/>
          <w:highlight w:val="none"/>
        </w:rPr>
        <w:t>)</w:t>
      </w:r>
      <w:r>
        <w:rPr>
          <w:rFonts w:hint="default" w:ascii="Times New Roman" w:hAnsi="Times New Roman"/>
          <w:highlight w:val="none"/>
          <w:lang w:val="en-US"/>
        </w:rPr>
        <w:t xml:space="preserve">; ns, not significant. </w:t>
      </w:r>
      <w:r>
        <w:rPr>
          <w:rFonts w:hint="eastAsia" w:ascii="Times New Roman" w:hAnsi="Times New Roman"/>
          <w:highlight w:val="none"/>
        </w:rPr>
        <w:t>(D) Summary of half-activation voltage (V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>, left panel) and slope factor (K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>, right panel) for steady-state activation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channels before and after 5 </w:t>
      </w:r>
      <w:r>
        <w:rPr>
          <w:rFonts w:ascii="Times New Roman" w:hAnsi="Times New Roman" w:cs="Times New Roman"/>
          <w:highlight w:val="none"/>
        </w:rPr>
        <w:t>μM</w:t>
      </w:r>
      <w:r>
        <w:rPr>
          <w:rFonts w:hint="default" w:ascii="Times New Roman" w:hAnsi="Times New Roman" w:cs="Times New Roman"/>
          <w:highlight w:val="none"/>
        </w:rPr>
        <w:t xml:space="preserve"> </w:t>
      </w:r>
      <w:r>
        <w:rPr>
          <w:rFonts w:hint="eastAsia" w:ascii="Times New Roman" w:hAnsi="Times New Roman"/>
          <w:highlight w:val="none"/>
        </w:rPr>
        <w:t>MPiN treatment. Untreated: 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-6.</w:t>
      </w:r>
      <w:r>
        <w:rPr>
          <w:rFonts w:hint="default" w:ascii="Times New Roman" w:hAnsi="Times New Roman"/>
          <w:highlight w:val="none"/>
          <w:lang w:val="en-US"/>
        </w:rPr>
        <w:t>0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ascii="Times New Roman" w:hAnsi="Times New Roman"/>
          <w:highlight w:val="none"/>
        </w:rPr>
        <w:t>1.</w:t>
      </w:r>
      <w:r>
        <w:rPr>
          <w:rFonts w:hint="default" w:ascii="Times New Roman" w:hAnsi="Times New Roman"/>
          <w:highlight w:val="none"/>
          <w:lang w:val="en-US"/>
        </w:rPr>
        <w:t>3</w:t>
      </w:r>
      <w:r>
        <w:rPr>
          <w:rFonts w:hint="eastAsia" w:ascii="Times New Roman" w:hAnsi="Times New Roman"/>
          <w:highlight w:val="none"/>
        </w:rPr>
        <w:t> mV, K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12.</w:t>
      </w:r>
      <w:r>
        <w:rPr>
          <w:rFonts w:hint="default" w:ascii="Times New Roman" w:hAnsi="Times New Roman"/>
          <w:highlight w:val="none"/>
          <w:lang w:val="en-US"/>
        </w:rPr>
        <w:t>5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ascii="Times New Roman" w:hAnsi="Times New Roman"/>
          <w:highlight w:val="none"/>
        </w:rPr>
        <w:t>1.</w:t>
      </w:r>
      <w:r>
        <w:rPr>
          <w:rFonts w:hint="default" w:ascii="Times New Roman" w:hAnsi="Times New Roman"/>
          <w:highlight w:val="none"/>
          <w:lang w:val="en-US"/>
        </w:rPr>
        <w:t>3</w:t>
      </w:r>
      <w:r>
        <w:rPr>
          <w:rFonts w:hint="eastAsia" w:ascii="Times New Roman" w:hAnsi="Times New Roman"/>
          <w:highlight w:val="none"/>
        </w:rPr>
        <w:t> mV; treated: 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>19.5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hint="default" w:ascii="Times New Roman" w:hAnsi="Times New Roman"/>
          <w:highlight w:val="none"/>
          <w:lang w:val="en-US"/>
        </w:rPr>
        <w:t>0.9</w:t>
      </w:r>
      <w:r>
        <w:rPr>
          <w:rFonts w:hint="eastAsia" w:ascii="Times New Roman" w:hAnsi="Times New Roman"/>
          <w:highlight w:val="none"/>
        </w:rPr>
        <w:t> mV, K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6.4</w:t>
      </w:r>
      <w:r>
        <w:rPr>
          <w:rFonts w:hint="eastAsia" w:ascii="Times New Roman" w:hAnsi="Times New Roman"/>
          <w:highlight w:val="none"/>
        </w:rPr>
        <w:t> ±0</w:t>
      </w:r>
      <w:r>
        <w:rPr>
          <w:rFonts w:ascii="Times New Roman" w:hAnsi="Times New Roman"/>
          <w:highlight w:val="none"/>
        </w:rPr>
        <w:t>.</w:t>
      </w:r>
      <w:r>
        <w:rPr>
          <w:rFonts w:hint="default" w:ascii="Times New Roman" w:hAnsi="Times New Roman"/>
          <w:highlight w:val="none"/>
          <w:lang w:val="en-US"/>
        </w:rPr>
        <w:t>8</w:t>
      </w:r>
      <w:r>
        <w:rPr>
          <w:rFonts w:hint="eastAsia" w:ascii="Times New Roman" w:hAnsi="Times New Roman"/>
          <w:highlight w:val="none"/>
        </w:rPr>
        <w:t> mV.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hint="eastAsia" w:ascii="Times New Roman" w:hAnsi="Times New Roman"/>
          <w:highlight w:val="none"/>
        </w:rPr>
        <w:t>(E)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currents evoked using the classic two-pulses protocol shown, in the absence (blue) or presence (</w:t>
      </w:r>
      <w:r>
        <w:rPr>
          <w:rFonts w:hint="default" w:ascii="Times New Roman" w:hAnsi="Times New Roman"/>
          <w:highlight w:val="none"/>
          <w:lang w:val="en-US"/>
        </w:rPr>
        <w:t>orange</w:t>
      </w:r>
      <w:r>
        <w:rPr>
          <w:rFonts w:hint="eastAsia" w:ascii="Times New Roman" w:hAnsi="Times New Roman"/>
          <w:highlight w:val="none"/>
        </w:rPr>
        <w:t xml:space="preserve">) of preincubated MPiN (5 </w:t>
      </w:r>
      <w:r>
        <w:rPr>
          <w:rFonts w:ascii="Times New Roman" w:hAnsi="Times New Roman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) (n = </w:t>
      </w:r>
      <w:r>
        <w:rPr>
          <w:rFonts w:hint="default" w:ascii="Times New Roman" w:hAnsi="Times New Roman"/>
          <w:highlight w:val="none"/>
          <w:lang w:val="en-US"/>
        </w:rPr>
        <w:t>10 - 12</w:t>
      </w:r>
      <w:r>
        <w:rPr>
          <w:rFonts w:hint="eastAsia" w:ascii="Times New Roman" w:hAnsi="Times New Roman"/>
          <w:highlight w:val="none"/>
        </w:rPr>
        <w:t>). (F) Typical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gating currents elicited by depolarizations from </w:t>
      </w:r>
      <w:r>
        <w:rPr>
          <w:rFonts w:ascii="Times New Roman" w:hAnsi="Times New Roman"/>
          <w:highlight w:val="none"/>
        </w:rPr>
        <w:t>-60</w:t>
      </w:r>
      <w:r>
        <w:rPr>
          <w:rFonts w:hint="eastAsia" w:ascii="Times New Roman" w:hAnsi="Times New Roman"/>
          <w:highlight w:val="none"/>
        </w:rPr>
        <w:t xml:space="preserve"> mV to </w:t>
      </w:r>
      <w:r>
        <w:rPr>
          <w:rFonts w:ascii="Times New Roman" w:hAnsi="Times New Roman"/>
          <w:highlight w:val="none"/>
        </w:rPr>
        <w:t>+40</w:t>
      </w:r>
      <w:r>
        <w:rPr>
          <w:rFonts w:hint="eastAsia" w:ascii="Times New Roman" w:hAnsi="Times New Roman"/>
          <w:highlight w:val="none"/>
        </w:rPr>
        <w:t xml:space="preserve"> mV (in </w:t>
      </w:r>
      <w:r>
        <w:rPr>
          <w:rFonts w:hint="default" w:ascii="Times New Roman" w:hAnsi="Times New Roman"/>
          <w:highlight w:val="none"/>
          <w:lang w:val="en-US"/>
        </w:rPr>
        <w:t>5</w:t>
      </w:r>
      <w:r>
        <w:rPr>
          <w:rFonts w:hint="eastAsia" w:ascii="Times New Roman" w:hAnsi="Times New Roman"/>
          <w:highlight w:val="none"/>
        </w:rPr>
        <w:t xml:space="preserve"> mV increment</w:t>
      </w:r>
      <w:r>
        <w:rPr>
          <w:rFonts w:hint="eastAsia" w:ascii="Times New Roman" w:hAnsi="Times New Roman"/>
          <w:highlight w:val="none"/>
          <w:lang w:val="en-US" w:eastAsia="zh-CN"/>
        </w:rPr>
        <w:t>s</w:t>
      </w:r>
      <w:r>
        <w:rPr>
          <w:rFonts w:hint="eastAsia" w:ascii="Times New Roman" w:hAnsi="Times New Roman"/>
          <w:highlight w:val="none"/>
        </w:rPr>
        <w:t xml:space="preserve">), under conditions without or with preincubated MPiN (20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 xml:space="preserve">M) (n = </w:t>
      </w:r>
      <w:r>
        <w:rPr>
          <w:rFonts w:hint="default" w:ascii="Times New Roman" w:hAnsi="Times New Roman"/>
          <w:highlight w:val="none"/>
          <w:lang w:val="en-US"/>
        </w:rPr>
        <w:t xml:space="preserve">10 - </w:t>
      </w:r>
      <w:r>
        <w:rPr>
          <w:rFonts w:ascii="Times New Roman" w:hAnsi="Times New Roman"/>
          <w:highlight w:val="none"/>
        </w:rPr>
        <w:t>12</w:t>
      </w:r>
      <w:r>
        <w:rPr>
          <w:rFonts w:hint="eastAsia" w:ascii="Times New Roman" w:hAnsi="Times New Roman"/>
          <w:highlight w:val="none"/>
        </w:rPr>
        <w:t>). (G) Summary of 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(left panel) and K</w:t>
      </w:r>
      <w:r>
        <w:rPr>
          <w:rFonts w:hint="eastAsia" w:ascii="Times New Roman" w:hAnsi="Times New Roman"/>
          <w:highlight w:val="none"/>
          <w:vertAlign w:val="subscript"/>
        </w:rPr>
        <w:t xml:space="preserve">a </w:t>
      </w:r>
      <w:r>
        <w:rPr>
          <w:rFonts w:hint="eastAsia" w:ascii="Times New Roman" w:hAnsi="Times New Roman"/>
          <w:highlight w:val="none"/>
        </w:rPr>
        <w:t>(right panel) for steady-state activation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gating currents in the absence and presence of 20 </w:t>
      </w:r>
      <w:r>
        <w:rPr>
          <w:rFonts w:ascii="Arial" w:hAnsi="Arial" w:cs="Arial"/>
          <w:highlight w:val="none"/>
        </w:rPr>
        <w:t>μM</w:t>
      </w:r>
      <w:r>
        <w:rPr>
          <w:rFonts w:hint="eastAsia" w:ascii="Arial" w:hAnsi="Arial" w:cs="Arial"/>
          <w:highlight w:val="none"/>
        </w:rPr>
        <w:t xml:space="preserve"> </w:t>
      </w:r>
      <w:r>
        <w:rPr>
          <w:rFonts w:hint="eastAsia" w:ascii="Times New Roman" w:hAnsi="Times New Roman"/>
          <w:highlight w:val="none"/>
        </w:rPr>
        <w:t>MPiN. Untreated: 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-29.</w:t>
      </w:r>
      <w:r>
        <w:rPr>
          <w:rFonts w:hint="default" w:ascii="Times New Roman" w:hAnsi="Times New Roman"/>
          <w:highlight w:val="none"/>
          <w:lang w:val="en-US"/>
        </w:rPr>
        <w:t>4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hint="default" w:ascii="Times New Roman" w:hAnsi="Times New Roman"/>
          <w:highlight w:val="none"/>
          <w:lang w:val="en-US"/>
        </w:rPr>
        <w:t>1.0</w:t>
      </w:r>
      <w:r>
        <w:rPr>
          <w:rFonts w:hint="eastAsia" w:ascii="Times New Roman" w:hAnsi="Times New Roman"/>
          <w:highlight w:val="none"/>
        </w:rPr>
        <w:t> mV, K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hint="default" w:ascii="Times New Roman" w:hAnsi="Times New Roman"/>
          <w:highlight w:val="none"/>
          <w:lang w:val="en-US"/>
        </w:rPr>
        <w:t>7.7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ascii="Times New Roman" w:hAnsi="Times New Roman"/>
          <w:highlight w:val="none"/>
        </w:rPr>
        <w:t>0.</w:t>
      </w:r>
      <w:r>
        <w:rPr>
          <w:rFonts w:hint="default" w:ascii="Times New Roman" w:hAnsi="Times New Roman"/>
          <w:highlight w:val="none"/>
          <w:lang w:val="en-US"/>
        </w:rPr>
        <w:t xml:space="preserve">8 </w:t>
      </w:r>
      <w:r>
        <w:rPr>
          <w:rFonts w:hint="eastAsia" w:ascii="Times New Roman" w:hAnsi="Times New Roman"/>
          <w:highlight w:val="none"/>
        </w:rPr>
        <w:t>mV; treated: V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-3</w:t>
      </w:r>
      <w:r>
        <w:rPr>
          <w:rFonts w:hint="default" w:ascii="Times New Roman" w:hAnsi="Times New Roman"/>
          <w:highlight w:val="none"/>
          <w:lang w:val="en-US"/>
        </w:rPr>
        <w:t>2.7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ascii="Times New Roman" w:hAnsi="Times New Roman"/>
          <w:highlight w:val="none"/>
        </w:rPr>
        <w:t>0.</w:t>
      </w:r>
      <w:r>
        <w:rPr>
          <w:rFonts w:hint="default" w:ascii="Times New Roman" w:hAnsi="Times New Roman"/>
          <w:highlight w:val="none"/>
          <w:lang w:val="en-US"/>
        </w:rPr>
        <w:t>5</w:t>
      </w:r>
      <w:r>
        <w:rPr>
          <w:rFonts w:hint="eastAsia" w:ascii="Times New Roman" w:hAnsi="Times New Roman"/>
          <w:highlight w:val="none"/>
        </w:rPr>
        <w:t> mV, K</w:t>
      </w:r>
      <w:r>
        <w:rPr>
          <w:rFonts w:hint="eastAsia" w:ascii="Times New Roman" w:hAnsi="Times New Roman"/>
          <w:highlight w:val="none"/>
          <w:vertAlign w:val="subscript"/>
        </w:rPr>
        <w:t>a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4.</w:t>
      </w:r>
      <w:r>
        <w:rPr>
          <w:rFonts w:hint="default" w:ascii="Times New Roman" w:hAnsi="Times New Roman"/>
          <w:highlight w:val="none"/>
          <w:lang w:val="en-US"/>
        </w:rPr>
        <w:t>5</w:t>
      </w:r>
      <w:r>
        <w:rPr>
          <w:rFonts w:hint="eastAsia" w:ascii="Times New Roman" w:hAnsi="Times New Roman"/>
          <w:highlight w:val="none"/>
        </w:rPr>
        <w:t> ± </w:t>
      </w:r>
      <w:r>
        <w:rPr>
          <w:rFonts w:ascii="Times New Roman" w:hAnsi="Times New Roman"/>
          <w:highlight w:val="none"/>
        </w:rPr>
        <w:t>0.</w:t>
      </w:r>
      <w:r>
        <w:rPr>
          <w:rFonts w:hint="default" w:ascii="Times New Roman" w:hAnsi="Times New Roman"/>
          <w:highlight w:val="none"/>
          <w:lang w:val="en-US"/>
        </w:rPr>
        <w:t>4</w:t>
      </w:r>
      <w:r>
        <w:rPr>
          <w:rFonts w:hint="eastAsia" w:ascii="Times New Roman" w:hAnsi="Times New Roman"/>
          <w:highlight w:val="none"/>
        </w:rPr>
        <w:t xml:space="preserve"> mV (n = </w:t>
      </w:r>
      <w:r>
        <w:rPr>
          <w:rFonts w:hint="default" w:ascii="Times New Roman" w:hAnsi="Times New Roman"/>
          <w:highlight w:val="none"/>
          <w:lang w:val="en-US"/>
        </w:rPr>
        <w:t>10 - 1</w:t>
      </w:r>
      <w:r>
        <w:rPr>
          <w:rFonts w:ascii="Times New Roman" w:hAnsi="Times New Roman"/>
          <w:highlight w:val="none"/>
        </w:rPr>
        <w:t>2</w:t>
      </w:r>
      <w:r>
        <w:rPr>
          <w:rFonts w:hint="eastAsia" w:ascii="Times New Roman" w:hAnsi="Times New Roman"/>
          <w:highlight w:val="none"/>
        </w:rPr>
        <w:t>). (H) Upper panel: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currents before and after 1 </w:t>
      </w:r>
      <w:r>
        <w:rPr>
          <w:rFonts w:ascii="Arial" w:hAnsi="Arial" w:cs="Arial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 MPiN treatment, each normalized to its own peak; Lower panel: activation and deactivation time constants calculated by fitting the current activation and deactiv</w:t>
      </w:r>
      <w:r>
        <w:rPr>
          <w:rFonts w:hint="eastAsia" w:ascii="Times New Roman" w:hAnsi="Times New Roman"/>
          <w:highlight w:val="none"/>
          <w:lang w:val="en-US" w:eastAsia="zh-CN"/>
        </w:rPr>
        <w:t>a</w:t>
      </w:r>
      <w:r>
        <w:rPr>
          <w:rFonts w:hint="eastAsia" w:ascii="Times New Roman" w:hAnsi="Times New Roman"/>
          <w:highlight w:val="none"/>
        </w:rPr>
        <w:t xml:space="preserve">tion processes, confirming no change in current kinetics. Untreated: </w:t>
      </w:r>
      <w:r>
        <w:rPr>
          <w:rFonts w:ascii="Times New Roman" w:hAnsi="Times New Roman"/>
          <w:highlight w:val="none"/>
        </w:rPr>
        <w:t>τ</w:t>
      </w:r>
      <w:r>
        <w:rPr>
          <w:rFonts w:hint="eastAsia" w:ascii="Times New Roman" w:hAnsi="Times New Roman"/>
          <w:highlight w:val="none"/>
          <w:vertAlign w:val="subscript"/>
        </w:rPr>
        <w:t>activation</w:t>
      </w:r>
      <w:r>
        <w:rPr>
          <w:rFonts w:hint="eastAsia" w:ascii="Times New Roman" w:hAnsi="Times New Roman"/>
          <w:highlight w:val="none"/>
        </w:rPr>
        <w:t xml:space="preserve"> =</w:t>
      </w:r>
      <w:r>
        <w:rPr>
          <w:rFonts w:ascii="Times New Roman" w:hAnsi="Times New Roman"/>
          <w:highlight w:val="none"/>
        </w:rPr>
        <w:t>3.0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0.5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ms, </w:t>
      </w:r>
      <w:r>
        <w:rPr>
          <w:rFonts w:ascii="Times New Roman" w:hAnsi="Times New Roman"/>
          <w:highlight w:val="none"/>
        </w:rPr>
        <w:t>τ</w:t>
      </w:r>
      <w:r>
        <w:rPr>
          <w:rFonts w:hint="eastAsia" w:ascii="Times New Roman" w:hAnsi="Times New Roman"/>
          <w:highlight w:val="none"/>
          <w:vertAlign w:val="subscript"/>
        </w:rPr>
        <w:t>deactivation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3.0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 xml:space="preserve">0.6 </w:t>
      </w:r>
      <w:r>
        <w:rPr>
          <w:rFonts w:hint="eastAsia" w:ascii="Times New Roman" w:hAnsi="Times New Roman"/>
          <w:highlight w:val="none"/>
        </w:rPr>
        <w:t xml:space="preserve">ms; treated: </w:t>
      </w:r>
      <w:r>
        <w:rPr>
          <w:rFonts w:ascii="Times New Roman" w:hAnsi="Times New Roman"/>
          <w:highlight w:val="none"/>
        </w:rPr>
        <w:t>τ</w:t>
      </w:r>
      <w:r>
        <w:rPr>
          <w:rFonts w:hint="eastAsia" w:ascii="Times New Roman" w:hAnsi="Times New Roman"/>
          <w:highlight w:val="none"/>
          <w:vertAlign w:val="subscript"/>
        </w:rPr>
        <w:t>activation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4.1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1.1</w:t>
      </w:r>
      <w:r>
        <w:rPr>
          <w:rFonts w:hint="eastAsia" w:ascii="Times New Roman" w:hAnsi="Times New Roman"/>
          <w:highlight w:val="none"/>
        </w:rPr>
        <w:t xml:space="preserve"> ms , </w:t>
      </w:r>
      <w:r>
        <w:rPr>
          <w:rFonts w:ascii="Times New Roman" w:hAnsi="Times New Roman"/>
          <w:highlight w:val="none"/>
        </w:rPr>
        <w:t>τ</w:t>
      </w:r>
      <w:r>
        <w:rPr>
          <w:rFonts w:hint="eastAsia" w:ascii="Times New Roman" w:hAnsi="Times New Roman"/>
          <w:highlight w:val="none"/>
          <w:vertAlign w:val="subscript"/>
        </w:rPr>
        <w:t>deactivation</w:t>
      </w:r>
      <w:r>
        <w:rPr>
          <w:rFonts w:hint="eastAsia" w:ascii="Times New Roman" w:hAnsi="Times New Roman"/>
          <w:highlight w:val="none"/>
        </w:rPr>
        <w:t xml:space="preserve"> = </w:t>
      </w:r>
      <w:r>
        <w:rPr>
          <w:rFonts w:ascii="Times New Roman" w:hAnsi="Times New Roman"/>
          <w:highlight w:val="none"/>
        </w:rPr>
        <w:t>2.8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0.3</w:t>
      </w:r>
      <w:r>
        <w:rPr>
          <w:rFonts w:hint="eastAsia" w:ascii="Times New Roman" w:hAnsi="Times New Roman"/>
          <w:highlight w:val="none"/>
        </w:rPr>
        <w:t xml:space="preserve"> ms (n =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 xml:space="preserve">). In (C), (D), (G), and (H), each dot represents a separate experimental cell. Statistical tests: (C) </w:t>
      </w:r>
      <w:r>
        <w:rPr>
          <w:rFonts w:hint="default" w:ascii="Times New Roman" w:hAnsi="Times New Roman"/>
          <w:highlight w:val="none"/>
          <w:lang w:val="en-US"/>
        </w:rPr>
        <w:t>one-way ANOVA with post-hoc Tukey’s multiple comparison test</w:t>
      </w:r>
      <w:r>
        <w:rPr>
          <w:rFonts w:hint="eastAsia" w:ascii="Times New Roman" w:hAnsi="Times New Roman"/>
          <w:highlight w:val="none"/>
        </w:rPr>
        <w:t>; (D) and (H) paired t-test; (G) unpaired t-test</w:t>
      </w:r>
      <w:r>
        <w:rPr>
          <w:rFonts w:hint="default" w:ascii="Times New Roman" w:hAnsi="Times New Roman"/>
          <w:highlight w:val="none"/>
          <w:lang w:val="en-US"/>
        </w:rPr>
        <w:t xml:space="preserve">. p values are as shown; refer to Supplementary table 2 for </w:t>
      </w:r>
      <w:r>
        <w:rPr>
          <w:rFonts w:hint="default" w:ascii="Times New Roman" w:hAnsi="Times New Roman"/>
          <w:highlight w:val="none"/>
        </w:rPr>
        <w:t>F</w:t>
      </w:r>
      <w:r>
        <w:rPr>
          <w:rFonts w:hint="default" w:ascii="Times New Roman" w:hAnsi="Times New Roman"/>
          <w:highlight w:val="none"/>
          <w:lang w:val="en-US"/>
        </w:rPr>
        <w:t xml:space="preserve">, t, df, and exact p (C) values. </w:t>
      </w:r>
    </w:p>
    <w:p w14:paraId="5D0E0C66">
      <w:pPr>
        <w:spacing w:line="480" w:lineRule="auto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2405" cy="7160260"/>
            <wp:effectExtent l="0" t="0" r="4445" b="2540"/>
            <wp:docPr id="6" name="图片 6" descr="SFig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Fig.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2E301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6.</w:t>
      </w:r>
      <w:r>
        <w:rPr>
          <w:rFonts w:hint="eastAsia" w:ascii="Times New Roman" w:hAnsi="Times New Roman"/>
          <w:highlight w:val="none"/>
        </w:rPr>
        <w:t xml:space="preserve"> (A-F) Current density of cells expressing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channels across various depolarizing voltages, recorded without (Ctrl) or with bath preincubation of 200 pM ShK (A), 350 nM PAP-1 (B), 10 nM ADWX-1 (C), 200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>M verapamil (D), 25 mM TEA-Cl (E), or with 1 mM TEA-Cl in the pipette (F)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(n = </w:t>
      </w:r>
      <w:r>
        <w:rPr>
          <w:rFonts w:ascii="Times New Roman" w:hAnsi="Times New Roman"/>
          <w:highlight w:val="none"/>
        </w:rPr>
        <w:t>8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 (G) Representative current traces showing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inhibition by 1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>M MPiN in the presence of the bath- or pipette-applied drugs shown in (A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- </w:t>
      </w:r>
      <w:r>
        <w:rPr>
          <w:rFonts w:hint="eastAsia" w:ascii="Times New Roman" w:hAnsi="Times New Roman"/>
          <w:highlight w:val="none"/>
        </w:rPr>
        <w:t xml:space="preserve">F) (n = </w:t>
      </w:r>
      <w:r>
        <w:rPr>
          <w:rFonts w:ascii="Times New Roman" w:hAnsi="Times New Roman"/>
          <w:highlight w:val="none"/>
        </w:rPr>
        <w:t>8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 (H) Dose-response relationships of MPiN inhibiting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currents in the absence (Ctrl) or presence of preincubated drugs as indicated (n = </w:t>
      </w:r>
      <w:r>
        <w:rPr>
          <w:rFonts w:ascii="Times New Roman" w:hAnsi="Times New Roman"/>
          <w:highlight w:val="none"/>
        </w:rPr>
        <w:t>5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8</w:t>
      </w:r>
      <w:r>
        <w:rPr>
          <w:rFonts w:hint="eastAsia" w:ascii="Times New Roman" w:hAnsi="Times New Roman"/>
          <w:highlight w:val="none"/>
        </w:rPr>
        <w:t>). (I) Current density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1.3-expressing cells in the absence (Ctrl) or presence of 10 </w:t>
      </w:r>
      <w:r>
        <w:rPr>
          <w:rFonts w:ascii="Times New Roman" w:hAnsi="Times New Roman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 MPiN preincubation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(n =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 (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J - </w:t>
      </w:r>
      <w:r>
        <w:rPr>
          <w:rFonts w:hint="eastAsia" w:ascii="Times New Roman" w:hAnsi="Times New Roman"/>
          <w:highlight w:val="none"/>
        </w:rPr>
        <w:t>K) Representative current traces (</w:t>
      </w:r>
      <w:r>
        <w:rPr>
          <w:rFonts w:hint="eastAsia" w:ascii="Times New Roman" w:hAnsi="Times New Roman"/>
          <w:highlight w:val="none"/>
          <w:lang w:val="en-US" w:eastAsia="zh-CN"/>
        </w:rPr>
        <w:t>J</w:t>
      </w:r>
      <w:r>
        <w:rPr>
          <w:rFonts w:hint="eastAsia" w:ascii="Times New Roman" w:hAnsi="Times New Roman"/>
          <w:highlight w:val="none"/>
        </w:rPr>
        <w:t>) and concentration-response curves (K) for ADWX-1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channels in the absence (Ctrl) or presence of MPiN preincubation (n = </w:t>
      </w:r>
      <w:r>
        <w:rPr>
          <w:rFonts w:ascii="Times New Roman" w:hAnsi="Times New Roman"/>
          <w:highlight w:val="none"/>
        </w:rPr>
        <w:t>8</w:t>
      </w:r>
      <w:r>
        <w:rPr>
          <w:rFonts w:hint="eastAsia" w:ascii="Times New Roman" w:hAnsi="Times New Roman"/>
          <w:highlight w:val="none"/>
        </w:rPr>
        <w:t>). The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</w:t>
      </w:r>
      <w:r>
        <w:rPr>
          <w:rFonts w:hint="default" w:ascii="Times New Roman" w:hAnsi="Times New Roman"/>
          <w:highlight w:val="none"/>
          <w:lang w:val="en-US"/>
        </w:rPr>
        <w:t xml:space="preserve"> In (A - F) and (I)</w:t>
      </w:r>
      <w:r>
        <w:rPr>
          <w:rFonts w:hint="eastAsia" w:ascii="Times New Roman" w:hAnsi="Times New Roman"/>
          <w:highlight w:val="none"/>
        </w:rPr>
        <w:t xml:space="preserve">, </w:t>
      </w:r>
      <w:r>
        <w:rPr>
          <w:rFonts w:hint="default" w:ascii="Times New Roman" w:hAnsi="Times New Roman"/>
          <w:highlight w:val="none"/>
          <w:lang w:val="en-US"/>
        </w:rPr>
        <w:t>e</w:t>
      </w:r>
      <w:r>
        <w:rPr>
          <w:rFonts w:hint="eastAsia" w:ascii="Times New Roman" w:hAnsi="Times New Roman"/>
          <w:highlight w:val="none"/>
        </w:rPr>
        <w:t xml:space="preserve">ach dot represents a </w:t>
      </w:r>
      <w:r>
        <w:rPr>
          <w:rFonts w:hint="eastAsia" w:ascii="Times New Roman" w:hAnsi="Times New Roman"/>
          <w:highlight w:val="none"/>
          <w:lang w:val="en-US" w:eastAsia="zh-CN"/>
        </w:rPr>
        <w:t>separate</w:t>
      </w:r>
      <w:r>
        <w:rPr>
          <w:rFonts w:hint="eastAsia" w:ascii="Times New Roman" w:hAnsi="Times New Roman"/>
          <w:highlight w:val="none"/>
        </w:rPr>
        <w:t xml:space="preserve"> experimental cell</w:t>
      </w:r>
      <w:r>
        <w:rPr>
          <w:rFonts w:hint="default" w:ascii="Times New Roman" w:hAnsi="Times New Roman"/>
          <w:highlight w:val="none"/>
          <w:lang w:val="en-US"/>
        </w:rPr>
        <w:t xml:space="preserve">; </w:t>
      </w:r>
      <w:r>
        <w:rPr>
          <w:rFonts w:hint="eastAsia" w:ascii="Times New Roman" w:hAnsi="Times New Roman"/>
          <w:highlight w:val="none"/>
        </w:rPr>
        <w:t>statistical differences assessed by unpaired t-test</w:t>
      </w:r>
      <w:r>
        <w:rPr>
          <w:rFonts w:hint="default" w:ascii="Times New Roman" w:hAnsi="Times New Roman"/>
          <w:highlight w:val="none"/>
          <w:lang w:val="en-US"/>
        </w:rPr>
        <w:t>, p values are as shown; refer to Supplementary table 2 for t and df values</w:t>
      </w:r>
      <w:r>
        <w:rPr>
          <w:rFonts w:hint="eastAsia" w:ascii="Times New Roman" w:hAnsi="Times New Roman"/>
          <w:highlight w:val="none"/>
        </w:rPr>
        <w:t>.</w:t>
      </w:r>
    </w:p>
    <w:p w14:paraId="762B41F0">
      <w:pPr>
        <w:spacing w:line="480" w:lineRule="auto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0500" cy="7027545"/>
            <wp:effectExtent l="0" t="0" r="6350" b="1905"/>
            <wp:docPr id="8" name="图片 8" descr="SFig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Fig.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8BEF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 xml:space="preserve">Supplementary Figure 7. </w:t>
      </w:r>
      <w:r>
        <w:rPr>
          <w:rFonts w:hint="eastAsia" w:ascii="Times New Roman" w:hAnsi="Times New Roman"/>
          <w:highlight w:val="none"/>
        </w:rPr>
        <w:t>Sequence alignment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1.x </w:t>
      </w:r>
      <w:r>
        <w:rPr>
          <w:rFonts w:hint="eastAsia" w:ascii="Times New Roman" w:hAnsi="Times New Roman"/>
          <w:highlight w:val="none"/>
          <w:lang w:val="en-US" w:eastAsia="zh-CN"/>
        </w:rPr>
        <w:t>paralog</w:t>
      </w:r>
      <w:r>
        <w:rPr>
          <w:rFonts w:hint="default" w:ascii="Times New Roman" w:hAnsi="Times New Roman"/>
          <w:highlight w:val="none"/>
          <w:lang w:val="en-US" w:eastAsia="zh-CN"/>
        </w:rPr>
        <w:t xml:space="preserve">s </w:t>
      </w:r>
      <w:r>
        <w:rPr>
          <w:rFonts w:hint="eastAsia" w:ascii="Times New Roman" w:hAnsi="Times New Roman"/>
          <w:highlight w:val="none"/>
        </w:rPr>
        <w:t>, with transmembrane helices S1-S6</w:t>
      </w:r>
      <w:r>
        <w:rPr>
          <w:rFonts w:hint="default" w:ascii="Times New Roman" w:hAnsi="Times New Roman"/>
          <w:highlight w:val="none"/>
          <w:lang w:val="en-US"/>
        </w:rPr>
        <w:t xml:space="preserve">, </w:t>
      </w:r>
      <w:r>
        <w:rPr>
          <w:rFonts w:hint="eastAsia" w:ascii="Times New Roman" w:hAnsi="Times New Roman"/>
          <w:highlight w:val="none"/>
        </w:rPr>
        <w:t>the S</w:t>
      </w:r>
      <w:r>
        <w:rPr>
          <w:rFonts w:hint="default" w:ascii="Times New Roman" w:hAnsi="Times New Roman"/>
          <w:highlight w:val="none"/>
          <w:lang w:val="en-US"/>
        </w:rPr>
        <w:t>4</w:t>
      </w:r>
      <w:r>
        <w:rPr>
          <w:rFonts w:hint="eastAsia" w:ascii="Times New Roman" w:hAnsi="Times New Roman"/>
          <w:highlight w:val="none"/>
        </w:rPr>
        <w:t>-S</w:t>
      </w:r>
      <w:r>
        <w:rPr>
          <w:rFonts w:hint="default" w:ascii="Times New Roman" w:hAnsi="Times New Roman"/>
          <w:highlight w:val="none"/>
          <w:lang w:val="en-US"/>
        </w:rPr>
        <w:t xml:space="preserve">5 </w:t>
      </w:r>
      <w:r>
        <w:rPr>
          <w:rFonts w:hint="eastAsia" w:ascii="Times New Roman" w:hAnsi="Times New Roman"/>
          <w:highlight w:val="none"/>
        </w:rPr>
        <w:t>and S5-S6 linker</w:t>
      </w:r>
      <w:r>
        <w:rPr>
          <w:rFonts w:hint="default" w:ascii="Times New Roman" w:hAnsi="Times New Roman"/>
          <w:highlight w:val="none"/>
          <w:lang w:val="en-US"/>
        </w:rPr>
        <w:t>s labeled</w:t>
      </w:r>
      <w:r>
        <w:rPr>
          <w:rFonts w:hint="eastAsia" w:ascii="Times New Roman" w:hAnsi="Times New Roman"/>
          <w:highlight w:val="none"/>
        </w:rPr>
        <w:t>. The S5-S6 linker comprises the S5-pore helix loop (PP1 loop), the pore helix, the selectivity filter (SF), and the SF-S6 loop (PP2 loop).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Red boxes indicate two variable regions in PP1 and PP2 loops, designated as P1 and P2 segments, respectively.</w:t>
      </w:r>
      <w:r>
        <w:rPr>
          <w:rFonts w:hint="eastAsia" w:ascii="Times New Roman" w:hAnsi="Times New Roman"/>
          <w:highlight w:val="none"/>
        </w:rPr>
        <w:t xml:space="preserve"> </w:t>
      </w:r>
    </w:p>
    <w:p w14:paraId="7D67AFFF">
      <w:pPr>
        <w:spacing w:line="480" w:lineRule="auto"/>
        <w:jc w:val="center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2253615" cy="2390140"/>
            <wp:effectExtent l="0" t="0" r="0" b="0"/>
            <wp:docPr id="9" name="图片 9" descr="SFig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Fig.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622B7">
      <w:pPr>
        <w:spacing w:line="480" w:lineRule="auto"/>
        <w:rPr>
          <w:rFonts w:ascii="Times New Roman" w:hAnsi="Times New Roman"/>
          <w:b/>
          <w:bCs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 xml:space="preserve">Supplementary Figure 8. </w:t>
      </w:r>
      <w:r>
        <w:rPr>
          <w:rFonts w:hint="eastAsia" w:ascii="Times New Roman" w:hAnsi="Times New Roman"/>
          <w:highlight w:val="none"/>
        </w:rPr>
        <w:t>Dose-response relationships of MPiN inhibiting the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1.5/1.3P1P2 chimera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1.5-H463G/R487H mutant channels, with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1.5 shown as dashed lines for reference (n = </w:t>
      </w:r>
      <w:r>
        <w:rPr>
          <w:rFonts w:ascii="Times New Roman" w:hAnsi="Times New Roman"/>
          <w:highlight w:val="none"/>
        </w:rPr>
        <w:t>6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US"/>
        </w:rPr>
        <w:t xml:space="preserve">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). The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 xml:space="preserve">. </w:t>
      </w:r>
    </w:p>
    <w:p w14:paraId="7A3ED42C">
      <w:pPr>
        <w:spacing w:line="480" w:lineRule="auto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70500" cy="5973445"/>
            <wp:effectExtent l="0" t="0" r="6350" b="8255"/>
            <wp:docPr id="10" name="图片 10" descr="SFig.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Fig.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97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F3C05">
      <w:pPr>
        <w:spacing w:line="480" w:lineRule="auto"/>
        <w:rPr>
          <w:rFonts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 xml:space="preserve">Supplementary Figure 9. </w:t>
      </w:r>
      <w:r>
        <w:rPr>
          <w:rFonts w:hint="eastAsia" w:ascii="Times New Roman" w:hAnsi="Times New Roman"/>
          <w:highlight w:val="none"/>
        </w:rPr>
        <w:t xml:space="preserve">(A) and (C) Representative current traces showing inhibition by 10 </w:t>
      </w:r>
      <w:r>
        <w:rPr>
          <w:rFonts w:ascii="Times New Roman" w:hAnsi="Times New Roman" w:cs="Times New Roman"/>
          <w:highlight w:val="none"/>
        </w:rPr>
        <w:t xml:space="preserve">μM </w:t>
      </w:r>
      <w:r>
        <w:rPr>
          <w:rFonts w:hint="eastAsia" w:ascii="Times New Roman" w:hAnsi="Times New Roman"/>
          <w:highlight w:val="none"/>
        </w:rPr>
        <w:t>MPiN of (A)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1.3- and (C)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1.5-derived mutant channels, constructed using scanning mutagenesis to exchange variable residues in their 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P1 and P2 segments </w:t>
      </w:r>
      <w:r>
        <w:rPr>
          <w:rFonts w:hint="eastAsia" w:ascii="Times New Roman" w:hAnsi="Times New Roman"/>
          <w:highlight w:val="none"/>
        </w:rPr>
        <w:t xml:space="preserve">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 xml:space="preserve">). (B) and (D) Dose-response relationships for MPiN inhibition of </w:t>
      </w:r>
      <w:r>
        <w:rPr>
          <w:rFonts w:hint="eastAsia" w:ascii="Times New Roman" w:hAnsi="Times New Roman"/>
          <w:highlight w:val="none"/>
          <w:lang w:val="en-US" w:eastAsia="zh-CN"/>
        </w:rPr>
        <w:t>indicated</w:t>
      </w:r>
      <w:r>
        <w:rPr>
          <w:rFonts w:hint="eastAsia" w:ascii="Times New Roman" w:hAnsi="Times New Roman"/>
          <w:highlight w:val="none"/>
        </w:rPr>
        <w:t xml:space="preserve"> (</w:t>
      </w:r>
      <w:r>
        <w:rPr>
          <w:rFonts w:hint="eastAsia" w:ascii="Times New Roman" w:hAnsi="Times New Roman"/>
          <w:highlight w:val="none"/>
          <w:lang w:val="en-US" w:eastAsia="zh-CN"/>
        </w:rPr>
        <w:t>B</w:t>
      </w:r>
      <w:r>
        <w:rPr>
          <w:rFonts w:hint="eastAsia" w:ascii="Times New Roman" w:hAnsi="Times New Roman"/>
          <w:highlight w:val="none"/>
        </w:rPr>
        <w:t>)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1.3- and (</w:t>
      </w:r>
      <w:r>
        <w:rPr>
          <w:rFonts w:hint="eastAsia" w:ascii="Times New Roman" w:hAnsi="Times New Roman"/>
          <w:highlight w:val="none"/>
          <w:lang w:val="en-US" w:eastAsia="zh-CN"/>
        </w:rPr>
        <w:t>D</w:t>
      </w:r>
      <w:r>
        <w:rPr>
          <w:rFonts w:hint="eastAsia" w:ascii="Times New Roman" w:hAnsi="Times New Roman"/>
          <w:highlight w:val="none"/>
        </w:rPr>
        <w:t>)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1.5-derived mutant channels; wild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 channels were shown as dashed lines for reference 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=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>). The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 (E) Fold change in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for MPiN inhibit</w:t>
      </w:r>
      <w:r>
        <w:rPr>
          <w:rFonts w:hint="eastAsia" w:ascii="Times New Roman" w:hAnsi="Times New Roman"/>
          <w:highlight w:val="none"/>
          <w:lang w:val="en-US" w:eastAsia="zh-CN"/>
        </w:rPr>
        <w:t>ing the indicated</w:t>
      </w:r>
      <w:r>
        <w:rPr>
          <w:rFonts w:hint="eastAsia" w:ascii="Times New Roman" w:hAnsi="Times New Roman"/>
          <w:highlight w:val="none"/>
        </w:rPr>
        <w:t xml:space="preserve"> mutant channels relative to 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 xml:space="preserve">).    </w:t>
      </w:r>
    </w:p>
    <w:p w14:paraId="6B602E7B">
      <w:pPr>
        <w:spacing w:line="480" w:lineRule="auto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2405" cy="4540885"/>
            <wp:effectExtent l="0" t="0" r="4445" b="12065"/>
            <wp:docPr id="11" name="图片 11" descr="SFig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Fig.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1B59C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0</w:t>
      </w:r>
      <w:r>
        <w:rPr>
          <w:rFonts w:hint="eastAsia" w:ascii="Times New Roman" w:hAnsi="Times New Roman"/>
          <w:b/>
          <w:bCs/>
          <w:highlight w:val="none"/>
        </w:rPr>
        <w:t xml:space="preserve">. </w:t>
      </w:r>
      <w:r>
        <w:rPr>
          <w:rFonts w:hint="eastAsia" w:ascii="Times New Roman" w:hAnsi="Times New Roman"/>
          <w:highlight w:val="none"/>
        </w:rPr>
        <w:t>(A-C) Representative current traces (A) and dose-response relationships (B, C) showing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1.3/G427H,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1.3/H451R,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1.5/H463G,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1.5/R487H,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H463G/R487H channels by ADWX-1 (n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=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-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</w:rPr>
        <w:t>). Substitution of G427 or H451 in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with the corresponding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 residues (H463 and R487, respectively) drastically reduced ADWX-1 sensitivity. Conversely, ADWX-1 sensitivity was restored only by the double reverse mutation (H463G/R487H) in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1.5.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 (</w:t>
      </w:r>
      <w:r>
        <w:rPr>
          <w:rFonts w:hint="eastAsia" w:ascii="Times New Roman" w:hAnsi="Times New Roman"/>
          <w:highlight w:val="none"/>
          <w:lang w:val="en-US" w:eastAsia="zh-CN"/>
        </w:rPr>
        <w:t>D</w:t>
      </w:r>
      <w:r>
        <w:rPr>
          <w:rFonts w:hint="eastAsia" w:ascii="Times New Roman" w:hAnsi="Times New Roman"/>
          <w:highlight w:val="none"/>
        </w:rPr>
        <w:t>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currents recorded before (blue) and after (</w:t>
      </w:r>
      <w:r>
        <w:rPr>
          <w:rFonts w:hint="eastAsia" w:ascii="Times New Roman" w:hAnsi="Times New Roman"/>
          <w:highlight w:val="none"/>
          <w:lang w:val="en-US" w:eastAsia="zh-CN"/>
        </w:rPr>
        <w:t>orange</w:t>
      </w:r>
      <w:r>
        <w:rPr>
          <w:rFonts w:hint="eastAsia" w:ascii="Times New Roman" w:hAnsi="Times New Roman"/>
          <w:highlight w:val="none"/>
        </w:rPr>
        <w:t xml:space="preserve">) 2 nM ADWX-1 treatment (n =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 xml:space="preserve">). Currents were elicited by depolarizing steps from 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70 to +60 mV in 10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 xml:space="preserve">mV increments from a holding potential of 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90 mV, with sweep interval</w:t>
      </w:r>
      <w:r>
        <w:rPr>
          <w:rFonts w:hint="eastAsia" w:ascii="Times New Roman" w:hAnsi="Times New Roman"/>
          <w:highlight w:val="none"/>
          <w:lang w:val="en-US" w:eastAsia="zh-CN"/>
        </w:rPr>
        <w:t>s</w:t>
      </w:r>
      <w:r>
        <w:rPr>
          <w:rFonts w:hint="eastAsia" w:ascii="Times New Roman" w:hAnsi="Times New Roman"/>
          <w:highlight w:val="none"/>
        </w:rPr>
        <w:t xml:space="preserve"> of 30 s. (</w:t>
      </w:r>
      <w:r>
        <w:rPr>
          <w:rFonts w:hint="eastAsia" w:ascii="Times New Roman" w:hAnsi="Times New Roman"/>
          <w:highlight w:val="none"/>
          <w:lang w:val="en-US" w:eastAsia="zh-CN"/>
        </w:rPr>
        <w:t>E</w:t>
      </w:r>
      <w:r>
        <w:rPr>
          <w:rFonts w:hint="eastAsia" w:ascii="Times New Roman" w:hAnsi="Times New Roman"/>
          <w:highlight w:val="none"/>
        </w:rPr>
        <w:t xml:space="preserve">, </w:t>
      </w:r>
      <w:r>
        <w:rPr>
          <w:rFonts w:hint="eastAsia" w:ascii="Times New Roman" w:hAnsi="Times New Roman"/>
          <w:highlight w:val="none"/>
          <w:lang w:val="en-US" w:eastAsia="zh-CN"/>
        </w:rPr>
        <w:t>F</w:t>
      </w:r>
      <w:r>
        <w:rPr>
          <w:rFonts w:hint="eastAsia" w:ascii="Times New Roman" w:hAnsi="Times New Roman"/>
          <w:highlight w:val="none"/>
        </w:rPr>
        <w:t xml:space="preserve">) Current-voltage (I - V; </w:t>
      </w:r>
      <w:r>
        <w:rPr>
          <w:rFonts w:hint="eastAsia" w:ascii="Times New Roman" w:hAnsi="Times New Roman"/>
          <w:highlight w:val="none"/>
          <w:lang w:val="en-US" w:eastAsia="zh-CN"/>
        </w:rPr>
        <w:t>E</w:t>
      </w:r>
      <w:r>
        <w:rPr>
          <w:rFonts w:hint="eastAsia" w:ascii="Times New Roman" w:hAnsi="Times New Roman"/>
          <w:highlight w:val="none"/>
        </w:rPr>
        <w:t xml:space="preserve">) and conductance-voltage (G - V; </w:t>
      </w:r>
      <w:r>
        <w:rPr>
          <w:rFonts w:hint="eastAsia" w:ascii="Times New Roman" w:hAnsi="Times New Roman"/>
          <w:highlight w:val="none"/>
          <w:lang w:val="en-US" w:eastAsia="zh-CN"/>
        </w:rPr>
        <w:t>F</w:t>
      </w:r>
      <w:r>
        <w:rPr>
          <w:rFonts w:hint="eastAsia" w:ascii="Times New Roman" w:hAnsi="Times New Roman"/>
          <w:highlight w:val="none"/>
        </w:rPr>
        <w:t>) relationships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channels under the conditions shown in (</w:t>
      </w:r>
      <w:r>
        <w:rPr>
          <w:rFonts w:hint="eastAsia" w:ascii="Times New Roman" w:hAnsi="Times New Roman"/>
          <w:highlight w:val="none"/>
          <w:lang w:val="en-US" w:eastAsia="zh-CN"/>
        </w:rPr>
        <w:t>D</w:t>
      </w:r>
      <w:r>
        <w:rPr>
          <w:rFonts w:hint="eastAsia" w:ascii="Times New Roman" w:hAnsi="Times New Roman"/>
          <w:highlight w:val="none"/>
        </w:rPr>
        <w:t>). In (</w:t>
      </w:r>
      <w:r>
        <w:rPr>
          <w:rFonts w:hint="eastAsia" w:ascii="Times New Roman" w:hAnsi="Times New Roman"/>
          <w:highlight w:val="none"/>
          <w:lang w:val="en-US" w:eastAsia="zh-CN"/>
        </w:rPr>
        <w:t>E</w:t>
      </w:r>
      <w:r>
        <w:rPr>
          <w:rFonts w:hint="eastAsia" w:ascii="Times New Roman" w:hAnsi="Times New Roman"/>
          <w:highlight w:val="none"/>
        </w:rPr>
        <w:t>), currents were normalized to the control current at +60 mV (I/I</w:t>
      </w:r>
      <w:r>
        <w:rPr>
          <w:rFonts w:hint="eastAsia" w:ascii="Times New Roman" w:hAnsi="Times New Roman"/>
          <w:highlight w:val="none"/>
          <w:vertAlign w:val="subscript"/>
          <w:lang w:val="en-US" w:eastAsia="zh-CN"/>
        </w:rPr>
        <w:t>max</w:t>
      </w:r>
      <w:r>
        <w:rPr>
          <w:rFonts w:hint="eastAsia" w:ascii="Times New Roman" w:hAnsi="Times New Roman"/>
          <w:highlight w:val="none"/>
        </w:rPr>
        <w:t>). In (</w:t>
      </w:r>
      <w:r>
        <w:rPr>
          <w:rFonts w:hint="eastAsia" w:ascii="Times New Roman" w:hAnsi="Times New Roman"/>
          <w:highlight w:val="none"/>
          <w:lang w:val="en-US" w:eastAsia="zh-CN"/>
        </w:rPr>
        <w:t>F</w:t>
      </w:r>
      <w:r>
        <w:rPr>
          <w:rFonts w:hint="eastAsia" w:ascii="Times New Roman" w:hAnsi="Times New Roman"/>
          <w:highlight w:val="none"/>
        </w:rPr>
        <w:t>), conductance values were normalized to the maximal conductance of each condition (G/G</w:t>
      </w:r>
      <w:r>
        <w:rPr>
          <w:rFonts w:hint="eastAsia" w:ascii="Times New Roman" w:hAnsi="Times New Roman"/>
          <w:highlight w:val="none"/>
          <w:vertAlign w:val="subscript"/>
        </w:rPr>
        <w:t>max</w:t>
      </w:r>
      <w:r>
        <w:rPr>
          <w:rFonts w:hint="eastAsia" w:ascii="Times New Roman" w:hAnsi="Times New Roman"/>
          <w:highlight w:val="none"/>
        </w:rPr>
        <w:t>). (</w:t>
      </w:r>
      <w:r>
        <w:rPr>
          <w:rFonts w:hint="eastAsia" w:ascii="Times New Roman" w:hAnsi="Times New Roman"/>
          <w:highlight w:val="none"/>
          <w:lang w:val="en-US" w:eastAsia="zh-CN"/>
        </w:rPr>
        <w:t>G</w:t>
      </w:r>
      <w:r>
        <w:rPr>
          <w:rFonts w:hint="eastAsia" w:ascii="Times New Roman" w:hAnsi="Times New Roman"/>
          <w:highlight w:val="none"/>
        </w:rPr>
        <w:t>) Representative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currents evoked using the two-pulse protocol shown, in the absence (blue) or </w:t>
      </w:r>
      <w:bookmarkStart w:id="0" w:name="OLE_LINK4"/>
      <w:r>
        <w:rPr>
          <w:rFonts w:hint="eastAsia" w:ascii="Times New Roman" w:hAnsi="Times New Roman"/>
          <w:highlight w:val="none"/>
        </w:rPr>
        <w:t>presence</w:t>
      </w:r>
      <w:bookmarkEnd w:id="0"/>
      <w:r>
        <w:rPr>
          <w:rFonts w:hint="eastAsia" w:ascii="Times New Roman" w:hAnsi="Times New Roman"/>
          <w:highlight w:val="none"/>
        </w:rPr>
        <w:t xml:space="preserve"> (</w:t>
      </w:r>
      <w:r>
        <w:rPr>
          <w:rFonts w:hint="eastAsia" w:ascii="Times New Roman" w:hAnsi="Times New Roman"/>
          <w:highlight w:val="none"/>
          <w:lang w:val="en-US" w:eastAsia="zh-CN"/>
        </w:rPr>
        <w:t>orange</w:t>
      </w:r>
      <w:r>
        <w:rPr>
          <w:rFonts w:hint="eastAsia" w:ascii="Times New Roman" w:hAnsi="Times New Roman"/>
          <w:highlight w:val="none"/>
        </w:rPr>
        <w:t xml:space="preserve">) of 2 nM ADWX-1 preincubation (n =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 (</w:t>
      </w:r>
      <w:r>
        <w:rPr>
          <w:rFonts w:hint="eastAsia" w:ascii="Times New Roman" w:hAnsi="Times New Roman"/>
          <w:highlight w:val="none"/>
          <w:lang w:val="en-US" w:eastAsia="zh-CN"/>
        </w:rPr>
        <w:t>H</w:t>
      </w:r>
      <w:r>
        <w:rPr>
          <w:rFonts w:hint="eastAsia" w:ascii="Times New Roman" w:hAnsi="Times New Roman"/>
          <w:highlight w:val="none"/>
        </w:rPr>
        <w:t>) Steady-state fast inactivation curves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channels under the conditions shown in (</w:t>
      </w:r>
      <w:r>
        <w:rPr>
          <w:rFonts w:hint="eastAsia" w:ascii="Times New Roman" w:hAnsi="Times New Roman"/>
          <w:highlight w:val="none"/>
          <w:lang w:val="en-US" w:eastAsia="zh-CN"/>
        </w:rPr>
        <w:t>G</w:t>
      </w:r>
      <w:r>
        <w:rPr>
          <w:rFonts w:hint="eastAsia" w:ascii="Times New Roman" w:hAnsi="Times New Roman"/>
          <w:highlight w:val="none"/>
        </w:rPr>
        <w:t>). The half-inactivation voltage (V</w:t>
      </w:r>
      <w:r>
        <w:rPr>
          <w:rFonts w:hint="eastAsia" w:ascii="Times New Roman" w:hAnsi="Times New Roman"/>
          <w:highlight w:val="none"/>
          <w:vertAlign w:val="subscript"/>
        </w:rPr>
        <w:t>h</w:t>
      </w:r>
      <w:r>
        <w:rPr>
          <w:rFonts w:hint="eastAsia" w:ascii="Times New Roman" w:hAnsi="Times New Roman"/>
          <w:highlight w:val="none"/>
        </w:rPr>
        <w:t>) and slope factor (K</w:t>
      </w:r>
      <w:r>
        <w:rPr>
          <w:rFonts w:hint="eastAsia" w:ascii="Times New Roman" w:hAnsi="Times New Roman"/>
          <w:highlight w:val="none"/>
          <w:vertAlign w:val="subscript"/>
        </w:rPr>
        <w:t>h</w:t>
      </w:r>
      <w:r>
        <w:rPr>
          <w:rFonts w:hint="eastAsia" w:ascii="Times New Roman" w:hAnsi="Times New Roman"/>
          <w:highlight w:val="none"/>
        </w:rPr>
        <w:t xml:space="preserve">) were </w:t>
      </w:r>
      <w:r>
        <w:rPr>
          <w:rFonts w:ascii="Times New Roman" w:hAnsi="Times New Roman" w:cs="Times New Roman"/>
          <w:highlight w:val="none"/>
        </w:rPr>
        <w:t>-19.8</w:t>
      </w:r>
      <w:r>
        <w:rPr>
          <w:rFonts w:hint="default" w:ascii="Times New Roman" w:hAnsi="Times New Roman" w:cs="Times New Roman"/>
          <w:highlight w:val="none"/>
        </w:rPr>
        <w:t xml:space="preserve"> ± </w:t>
      </w:r>
      <w:r>
        <w:rPr>
          <w:rFonts w:ascii="Times New Roman" w:hAnsi="Times New Roman" w:cs="Times New Roman"/>
          <w:highlight w:val="none"/>
        </w:rPr>
        <w:t>2.5</w:t>
      </w:r>
      <w:r>
        <w:rPr>
          <w:rFonts w:hint="default" w:ascii="Times New Roman" w:hAnsi="Times New Roman" w:cs="Times New Roman"/>
          <w:highlight w:val="none"/>
        </w:rPr>
        <w:t xml:space="preserve"> mV and </w:t>
      </w:r>
      <w:r>
        <w:rPr>
          <w:rFonts w:ascii="Times New Roman" w:hAnsi="Times New Roman" w:cs="Times New Roman"/>
          <w:highlight w:val="none"/>
        </w:rPr>
        <w:t>-8.6</w:t>
      </w:r>
      <w:r>
        <w:rPr>
          <w:rFonts w:hint="default" w:ascii="Times New Roman" w:hAnsi="Times New Roman" w:cs="Times New Roman"/>
          <w:highlight w:val="none"/>
        </w:rPr>
        <w:t xml:space="preserve"> ± </w:t>
      </w:r>
      <w:r>
        <w:rPr>
          <w:rFonts w:ascii="Times New Roman" w:hAnsi="Times New Roman" w:cs="Times New Roman"/>
          <w:highlight w:val="none"/>
        </w:rPr>
        <w:t>1.8</w:t>
      </w:r>
      <w:r>
        <w:rPr>
          <w:rFonts w:hint="default" w:ascii="Times New Roman" w:hAnsi="Times New Roman" w:cs="Times New Roman"/>
          <w:highlight w:val="none"/>
        </w:rPr>
        <w:t xml:space="preserve"> mV,</w:t>
      </w:r>
      <w:r>
        <w:rPr>
          <w:rFonts w:hint="eastAsia" w:ascii="Times New Roman" w:hAnsi="Times New Roman"/>
          <w:highlight w:val="none"/>
        </w:rPr>
        <w:t xml:space="preserve"> and </w:t>
      </w:r>
      <w:r>
        <w:rPr>
          <w:rFonts w:ascii="Times New Roman" w:hAnsi="Times New Roman"/>
          <w:highlight w:val="none"/>
        </w:rPr>
        <w:t>-31.8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hint="default" w:ascii="Times New Roman" w:hAnsi="Times New Roman" w:cs="Times New Roman"/>
          <w:highlight w:val="none"/>
        </w:rPr>
        <w:t xml:space="preserve">± </w:t>
      </w:r>
      <w:r>
        <w:rPr>
          <w:rFonts w:ascii="Times New Roman" w:hAnsi="Times New Roman" w:cs="Times New Roman"/>
          <w:highlight w:val="none"/>
        </w:rPr>
        <w:t>3.9</w:t>
      </w:r>
      <w:r>
        <w:rPr>
          <w:rFonts w:hint="default" w:ascii="Times New Roman" w:hAnsi="Times New Roman" w:cs="Times New Roman"/>
          <w:highlight w:val="none"/>
        </w:rPr>
        <w:t xml:space="preserve"> mV and </w:t>
      </w:r>
      <w:r>
        <w:rPr>
          <w:rFonts w:ascii="Times New Roman" w:hAnsi="Times New Roman" w:cs="Times New Roman"/>
          <w:highlight w:val="none"/>
        </w:rPr>
        <w:t>-15.0</w:t>
      </w:r>
      <w:r>
        <w:rPr>
          <w:rFonts w:hint="default" w:ascii="Times New Roman" w:hAnsi="Times New Roman" w:cs="Times New Roman"/>
          <w:highlight w:val="none"/>
        </w:rPr>
        <w:t xml:space="preserve"> ± </w:t>
      </w:r>
      <w:r>
        <w:rPr>
          <w:rFonts w:ascii="Times New Roman" w:hAnsi="Times New Roman" w:cs="Times New Roman"/>
          <w:highlight w:val="none"/>
        </w:rPr>
        <w:t>3.6</w:t>
      </w:r>
      <w:r>
        <w:rPr>
          <w:rFonts w:hint="default" w:ascii="Times New Roman" w:hAnsi="Times New Roman" w:cs="Times New Roman"/>
          <w:highlight w:val="none"/>
        </w:rPr>
        <w:t xml:space="preserve"> mV</w:t>
      </w:r>
      <w:r>
        <w:rPr>
          <w:rFonts w:hint="eastAsia" w:ascii="Times New Roman" w:hAnsi="Times New Roman"/>
          <w:highlight w:val="none"/>
        </w:rPr>
        <w:t xml:space="preserve">, for ADWX-1 untreated and treated channels, respectively (n =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</w:t>
      </w:r>
    </w:p>
    <w:p w14:paraId="4FAF0E75">
      <w:pPr>
        <w:spacing w:line="480" w:lineRule="auto"/>
        <w:rPr>
          <w:rFonts w:hint="eastAsia" w:ascii="Times New Roman" w:hAnsi="Times New Roman"/>
          <w:highlight w:val="none"/>
        </w:rPr>
      </w:pPr>
    </w:p>
    <w:p w14:paraId="6BF0E5B7">
      <w:pPr>
        <w:spacing w:line="480" w:lineRule="auto"/>
        <w:rPr>
          <w:rFonts w:hint="eastAsia" w:ascii="Times New Roman" w:hAnsi="Times New Roman" w:eastAsia="宋体"/>
          <w:highlight w:val="none"/>
          <w:lang w:eastAsia="zh-CN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0500" cy="5835650"/>
            <wp:effectExtent l="0" t="0" r="6350" b="12700"/>
            <wp:docPr id="12" name="图片 12" descr="SFig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Fig.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52C04">
      <w:pPr>
        <w:spacing w:line="480" w:lineRule="auto"/>
        <w:rPr>
          <w:rFonts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1</w:t>
      </w:r>
      <w:r>
        <w:rPr>
          <w:rFonts w:hint="eastAsia" w:ascii="Times New Roman" w:hAnsi="Times New Roman"/>
          <w:b/>
          <w:bCs/>
          <w:highlight w:val="none"/>
        </w:rPr>
        <w:t xml:space="preserve">. </w:t>
      </w:r>
      <w:r>
        <w:rPr>
          <w:rFonts w:hint="eastAsia" w:ascii="Times New Roman" w:hAnsi="Times New Roman"/>
          <w:highlight w:val="none"/>
        </w:rPr>
        <w:t xml:space="preserve">Summary of normalized residual current ratios after 10 </w:t>
      </w:r>
      <w:r>
        <w:rPr>
          <w:rFonts w:ascii="Times New Roman" w:hAnsi="Times New Roman" w:cs="Times New Roman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 MPiN treatment for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mutants generated by alanine-scanning mutagenesis (or cysteine substitution for native alanine residues) across 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the full-length </w:t>
      </w:r>
      <w:r>
        <w:rPr>
          <w:rFonts w:hint="eastAsia" w:ascii="Times New Roman" w:hAnsi="Times New Roman"/>
          <w:highlight w:val="none"/>
        </w:rPr>
        <w:t>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sequence, excluding the 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N- and C-terminal </w:t>
      </w:r>
      <w:r>
        <w:rPr>
          <w:rFonts w:hint="eastAsia" w:ascii="Times New Roman" w:hAnsi="Times New Roman"/>
          <w:highlight w:val="none"/>
        </w:rPr>
        <w:t xml:space="preserve">intracellular loops and the S1-S2 and S3-S4 extracellular linkers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Statistics: one-way ANOVA with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post-hoc Dunnett's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multiple comparison </w:t>
      </w:r>
      <w:r>
        <w:rPr>
          <w:rFonts w:hint="eastAsia" w:ascii="Times New Roman" w:hAnsi="Times New Roman"/>
          <w:highlight w:val="none"/>
        </w:rPr>
        <w:t>test (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vs </w:t>
      </w:r>
      <w:r>
        <w:rPr>
          <w:rFonts w:hint="eastAsia" w:ascii="Times New Roman" w:hAnsi="Times New Roman"/>
          <w:highlight w:val="none"/>
        </w:rPr>
        <w:t>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1.3)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; </w:t>
      </w:r>
      <w:r>
        <w:rPr>
          <w:rFonts w:hint="eastAsia" w:ascii="Times New Roman" w:hAnsi="Times New Roman"/>
          <w:highlight w:val="none"/>
        </w:rPr>
        <w:t>*p &lt; 0.05; ***p &lt; 0.001; ****p &lt; 0.0001;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refer to Supplementary table 2 for F, df, and exact p values.</w:t>
      </w:r>
      <w:r>
        <w:rPr>
          <w:rFonts w:hint="eastAsia" w:ascii="Times New Roman" w:hAnsi="Times New Roman"/>
          <w:highlight w:val="none"/>
        </w:rPr>
        <w:t xml:space="preserve"> </w:t>
      </w:r>
    </w:p>
    <w:p w14:paraId="53B46C40">
      <w:pPr>
        <w:spacing w:line="480" w:lineRule="auto"/>
        <w:rPr>
          <w:rFonts w:hint="eastAsia" w:ascii="Times New Roman" w:hAnsi="Times New Roman"/>
          <w:b/>
          <w:bCs/>
          <w:highlight w:val="none"/>
        </w:rPr>
      </w:pPr>
    </w:p>
    <w:p w14:paraId="02A8F2C1">
      <w:pPr>
        <w:spacing w:line="480" w:lineRule="auto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70500" cy="7027545"/>
            <wp:effectExtent l="0" t="0" r="6350" b="1905"/>
            <wp:docPr id="13" name="图片 13" descr="SFig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Fig.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09959">
      <w:pPr>
        <w:spacing w:line="480" w:lineRule="auto"/>
        <w:rPr>
          <w:rFonts w:ascii="Times New Roman" w:hAnsi="Times New Roman"/>
          <w:b/>
          <w:bCs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2</w:t>
      </w:r>
      <w:r>
        <w:rPr>
          <w:rFonts w:hint="eastAsia" w:ascii="Times New Roman" w:hAnsi="Times New Roman"/>
          <w:b/>
          <w:bCs/>
          <w:highlight w:val="none"/>
        </w:rPr>
        <w:t>.</w:t>
      </w:r>
      <w:r>
        <w:rPr>
          <w:rFonts w:hint="eastAsia" w:ascii="Times New Roman" w:hAnsi="Times New Roman"/>
          <w:highlight w:val="none"/>
        </w:rPr>
        <w:t xml:space="preserve"> (A-C) Representative current traces (A) and dose-response curves (B-C) showing MPiN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mutant channels identified by alanine/cysteine-scanning mutagenesis as critical for MPiN activity (Supplementary Figure 1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1). </w:t>
      </w:r>
      <w:r>
        <w:rPr>
          <w:rFonts w:hint="eastAsia" w:ascii="Times New Roman" w:hAnsi="Times New Roman"/>
          <w:highlight w:val="none"/>
        </w:rPr>
        <w:t xml:space="preserve">n = </w:t>
      </w:r>
      <w:r>
        <w:rPr>
          <w:rFonts w:ascii="Times New Roman" w:hAnsi="Times New Roman"/>
          <w:highlight w:val="none"/>
        </w:rPr>
        <w:t>5-7</w:t>
      </w:r>
      <w:r>
        <w:rPr>
          <w:rFonts w:hint="eastAsia" w:ascii="Times New Roman" w:hAnsi="Times New Roman"/>
          <w:highlight w:val="none"/>
        </w:rPr>
        <w:t>. 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is shown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in dashed line</w:t>
      </w:r>
      <w:r>
        <w:rPr>
          <w:rFonts w:hint="eastAsia" w:ascii="Times New Roman" w:hAnsi="Times New Roman"/>
          <w:highlight w:val="none"/>
        </w:rPr>
        <w:t xml:space="preserve"> for comparison.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are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 (D-E) Representative current traces (D) and summary of normalized residual current ratio (I</w:t>
      </w:r>
      <w:r>
        <w:rPr>
          <w:rFonts w:hint="eastAsia" w:ascii="Times New Roman" w:hAnsi="Times New Roman"/>
          <w:highlight w:val="none"/>
          <w:vertAlign w:val="subscript"/>
        </w:rPr>
        <w:t>res</w:t>
      </w:r>
      <w:r>
        <w:rPr>
          <w:rFonts w:hint="eastAsia" w:ascii="Times New Roman" w:hAnsi="Times New Roman"/>
          <w:highlight w:val="none"/>
        </w:rPr>
        <w:t>; E) showing inhibition by 20 nM ADWX-1 of MPiN-critical mutant channels. 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served as a reference. Each dot in (E) represents an individual cell 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8</w:t>
      </w:r>
      <w:r>
        <w:rPr>
          <w:rFonts w:hint="eastAsia" w:ascii="Times New Roman" w:hAnsi="Times New Roman"/>
          <w:highlight w:val="none"/>
        </w:rPr>
        <w:t>); significance was assessed by one-way ANOVA with post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hoc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>Dunnett</w:t>
      </w:r>
      <w:r>
        <w:rPr>
          <w:rFonts w:ascii="Times New Roman" w:hAnsi="Times New Roman"/>
          <w:highlight w:val="none"/>
        </w:rPr>
        <w:t>’</w:t>
      </w:r>
      <w:r>
        <w:rPr>
          <w:rFonts w:hint="eastAsia" w:ascii="Times New Roman" w:hAnsi="Times New Roman"/>
          <w:highlight w:val="none"/>
        </w:rPr>
        <w:t xml:space="preserve">s </w:t>
      </w:r>
      <w:r>
        <w:rPr>
          <w:rFonts w:hint="eastAsia" w:ascii="Times New Roman" w:hAnsi="Times New Roman"/>
          <w:highlight w:val="none"/>
          <w:lang w:val="en-US" w:eastAsia="zh-CN"/>
        </w:rPr>
        <w:t>multiple comparison</w:t>
      </w:r>
      <w:r>
        <w:rPr>
          <w:rFonts w:hint="eastAsia" w:ascii="Times New Roman" w:hAnsi="Times New Roman"/>
          <w:highlight w:val="none"/>
        </w:rPr>
        <w:t xml:space="preserve"> test</w:t>
      </w:r>
      <w:r>
        <w:rPr>
          <w:rFonts w:hint="eastAsia" w:ascii="Times New Roman" w:hAnsi="Times New Roman"/>
          <w:highlight w:val="none"/>
          <w:lang w:val="en-US" w:eastAsia="zh-CN"/>
        </w:rPr>
        <w:t>; ****p&lt;0.0001; refer to Supplementary table 2 for F, df, and p values</w:t>
      </w:r>
      <w:r>
        <w:rPr>
          <w:rFonts w:hint="eastAsia" w:ascii="Times New Roman" w:hAnsi="Times New Roman"/>
          <w:highlight w:val="none"/>
        </w:rPr>
        <w:t>. Note I</w:t>
      </w:r>
      <w:r>
        <w:rPr>
          <w:rFonts w:hint="eastAsia" w:ascii="Times New Roman" w:hAnsi="Times New Roman"/>
          <w:highlight w:val="none"/>
          <w:vertAlign w:val="subscript"/>
        </w:rPr>
        <w:t>res</w:t>
      </w:r>
      <w:r>
        <w:rPr>
          <w:rFonts w:hint="eastAsia" w:ascii="Times New Roman" w:hAnsi="Times New Roman"/>
          <w:highlight w:val="none"/>
        </w:rPr>
        <w:t xml:space="preserve"> values determined in (E) were used to calculate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>s of ADWX-1 against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mutant channels based on the simplified Hill equation: IC</w:t>
      </w:r>
      <w:r>
        <w:rPr>
          <w:rFonts w:hint="eastAsia" w:ascii="Times New Roman" w:hAnsi="Times New Roman"/>
          <w:highlight w:val="none"/>
          <w:vertAlign w:val="subscript"/>
        </w:rPr>
        <w:t xml:space="preserve">50 </w:t>
      </w:r>
      <w:r>
        <w:rPr>
          <w:rFonts w:hint="eastAsia" w:ascii="Times New Roman" w:hAnsi="Times New Roman"/>
          <w:highlight w:val="none"/>
        </w:rPr>
        <w:t>= [X]/(1/I</w:t>
      </w:r>
      <w:r>
        <w:rPr>
          <w:rFonts w:hint="eastAsia" w:ascii="Times New Roman" w:hAnsi="Times New Roman"/>
          <w:highlight w:val="none"/>
          <w:vertAlign w:val="subscript"/>
        </w:rPr>
        <w:t>res</w:t>
      </w:r>
      <w:r>
        <w:rPr>
          <w:rFonts w:hint="eastAsia" w:ascii="Times New Roman" w:hAnsi="Times New Roman"/>
          <w:highlight w:val="none"/>
        </w:rPr>
        <w:t xml:space="preserve"> - 1), in which [X] was the ADWX-1 concentration. The calculated ADWX-1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for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(</w:t>
      </w:r>
      <w:r>
        <w:rPr>
          <w:rFonts w:ascii="Times New Roman" w:hAnsi="Times New Roman"/>
          <w:highlight w:val="none"/>
        </w:rPr>
        <w:t>2.9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0.8</w:t>
      </w:r>
      <w:r>
        <w:rPr>
          <w:rFonts w:hint="eastAsia" w:ascii="Times New Roman" w:hAnsi="Times New Roman"/>
          <w:highlight w:val="none"/>
        </w:rPr>
        <w:t xml:space="preserve"> nM) was nearly identical to that obtained from the dose-re</w:t>
      </w:r>
      <w:r>
        <w:rPr>
          <w:rFonts w:hint="eastAsia" w:ascii="Times New Roman" w:hAnsi="Times New Roman"/>
          <w:highlight w:val="none"/>
          <w:lang w:val="en-US" w:eastAsia="zh-CN"/>
        </w:rPr>
        <w:t>s</w:t>
      </w:r>
      <w:r>
        <w:rPr>
          <w:rFonts w:hint="eastAsia" w:ascii="Times New Roman" w:hAnsi="Times New Roman"/>
          <w:highlight w:val="none"/>
        </w:rPr>
        <w:t>ponse curve (</w:t>
      </w:r>
      <w:r>
        <w:rPr>
          <w:rFonts w:ascii="Times New Roman" w:hAnsi="Times New Roman"/>
          <w:highlight w:val="none"/>
        </w:rPr>
        <w:t>2.3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±</w:t>
      </w:r>
      <w:r>
        <w:rPr>
          <w:rFonts w:hint="eastAsia" w:ascii="Times New Roman" w:hAnsi="Times New Roman"/>
          <w:highlight w:val="none"/>
        </w:rPr>
        <w:t xml:space="preserve"> </w:t>
      </w:r>
      <w:r>
        <w:rPr>
          <w:rFonts w:ascii="Times New Roman" w:hAnsi="Times New Roman"/>
          <w:highlight w:val="none"/>
        </w:rPr>
        <w:t>0.6</w:t>
      </w:r>
      <w:r>
        <w:rPr>
          <w:rFonts w:hint="eastAsia" w:ascii="Times New Roman" w:hAnsi="Times New Roman"/>
          <w:highlight w:val="none"/>
        </w:rPr>
        <w:t xml:space="preserve"> nM). </w:t>
      </w:r>
    </w:p>
    <w:p w14:paraId="687C2BB9">
      <w:pPr>
        <w:spacing w:line="480" w:lineRule="auto"/>
        <w:rPr>
          <w:rFonts w:ascii="Times New Roman" w:hAnsi="Times New Roman"/>
          <w:b/>
          <w:bCs/>
          <w:highlight w:val="none"/>
        </w:rPr>
      </w:pPr>
    </w:p>
    <w:p w14:paraId="5C41CC79">
      <w:pPr>
        <w:spacing w:line="480" w:lineRule="auto"/>
        <w:jc w:val="center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69865" cy="1878330"/>
            <wp:effectExtent l="0" t="0" r="6985" b="7620"/>
            <wp:docPr id="14" name="图片 14" descr="SFig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Fig.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2B2B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3</w:t>
      </w:r>
      <w:r>
        <w:rPr>
          <w:rFonts w:hint="eastAsia" w:ascii="Times New Roman" w:hAnsi="Times New Roman"/>
          <w:b/>
          <w:bCs/>
          <w:highlight w:val="none"/>
        </w:rPr>
        <w:t xml:space="preserve">. </w:t>
      </w:r>
      <w:r>
        <w:rPr>
          <w:rFonts w:hint="eastAsia" w:ascii="Times New Roman" w:hAnsi="Times New Roman"/>
          <w:highlight w:val="none"/>
        </w:rPr>
        <w:t>(A) Current density-voltage relationships of cells expressing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1.3/D433A mutant channels in the absence or presence of 1 </w:t>
      </w:r>
      <w:r>
        <w:rPr>
          <w:rFonts w:ascii="Arial" w:hAnsi="Arial" w:cs="Arial"/>
          <w:highlight w:val="none"/>
        </w:rPr>
        <w:t>μ</w:t>
      </w:r>
      <w:r>
        <w:rPr>
          <w:rFonts w:hint="eastAsia" w:ascii="Times New Roman" w:hAnsi="Times New Roman"/>
          <w:highlight w:val="none"/>
        </w:rPr>
        <w:t xml:space="preserve">M ADWX-1 preincubation, showing robust channel inhibition. Each dot represents a separate experimental cell (n = </w:t>
      </w:r>
      <w:r>
        <w:rPr>
          <w:rFonts w:ascii="Times New Roman" w:hAnsi="Times New Roman"/>
          <w:highlight w:val="none"/>
        </w:rPr>
        <w:t>9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 xml:space="preserve">). 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Statistics: </w:t>
      </w:r>
      <w:r>
        <w:rPr>
          <w:rFonts w:hint="eastAsia" w:ascii="Times New Roman" w:hAnsi="Times New Roman"/>
          <w:highlight w:val="none"/>
        </w:rPr>
        <w:t>unpaired t-test</w:t>
      </w:r>
      <w:r>
        <w:rPr>
          <w:rFonts w:hint="eastAsia" w:ascii="Times New Roman" w:hAnsi="Times New Roman"/>
          <w:highlight w:val="none"/>
          <w:lang w:val="en-US" w:eastAsia="zh-CN"/>
        </w:rPr>
        <w:t>; p values are as shown; refer to Supplementary table 2 for t and df values</w:t>
      </w:r>
      <w:r>
        <w:rPr>
          <w:rFonts w:hint="eastAsia" w:ascii="Times New Roman" w:hAnsi="Times New Roman"/>
          <w:highlight w:val="none"/>
        </w:rPr>
        <w:t>. (B) Schematic of drug compet</w:t>
      </w:r>
      <w:r>
        <w:rPr>
          <w:rFonts w:hint="eastAsia" w:ascii="Times New Roman" w:hAnsi="Times New Roman"/>
          <w:highlight w:val="none"/>
          <w:lang w:val="en-US" w:eastAsia="zh-CN"/>
        </w:rPr>
        <w:t>i</w:t>
      </w:r>
      <w:r>
        <w:rPr>
          <w:rFonts w:hint="eastAsia" w:ascii="Times New Roman" w:hAnsi="Times New Roman"/>
          <w:highlight w:val="none"/>
        </w:rPr>
        <w:t>tion assay analyzing the influence of preincubated ADWX-1 on MPiN potency against the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1.3/D433A mutant channel. (C) Representative current traces of MPiN inhibiting the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1.3/D433A mutant channel in the absence or presence of bath-appli</w:t>
      </w:r>
      <w:r>
        <w:rPr>
          <w:rFonts w:hint="eastAsia" w:ascii="Times New Roman" w:hAnsi="Times New Roman"/>
          <w:highlight w:val="none"/>
          <w:lang w:val="en-US" w:eastAsia="zh-CN"/>
        </w:rPr>
        <w:t>ed</w:t>
      </w:r>
      <w:r>
        <w:rPr>
          <w:rFonts w:hint="eastAsia" w:ascii="Times New Roman" w:hAnsi="Times New Roman"/>
          <w:highlight w:val="none"/>
        </w:rPr>
        <w:t xml:space="preserve"> ADWX-1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hint="eastAsia" w:ascii="Times New Roman" w:hAnsi="Times New Roman"/>
          <w:highlight w:val="none"/>
        </w:rPr>
        <w:t xml:space="preserve">(n = </w:t>
      </w:r>
      <w:r>
        <w:rPr>
          <w:rFonts w:ascii="Times New Roman" w:hAnsi="Times New Roman"/>
          <w:highlight w:val="none"/>
        </w:rPr>
        <w:t>5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eastAsia" w:ascii="Times New Roman" w:hAnsi="Times New Roman"/>
          <w:highlight w:val="none"/>
          <w:lang w:val="en-US" w:eastAsia="zh-CN"/>
        </w:rPr>
        <w:t xml:space="preserve"> </w:t>
      </w:r>
      <w:r>
        <w:rPr>
          <w:rFonts w:ascii="Times New Roman" w:hAnsi="Times New Roman"/>
          <w:highlight w:val="none"/>
        </w:rPr>
        <w:t>6</w:t>
      </w:r>
      <w:r>
        <w:rPr>
          <w:rFonts w:hint="eastAsia" w:ascii="Times New Roman" w:hAnsi="Times New Roman"/>
          <w:highlight w:val="none"/>
        </w:rPr>
        <w:t>).</w:t>
      </w:r>
    </w:p>
    <w:p w14:paraId="2824DCA1">
      <w:pPr>
        <w:spacing w:line="480" w:lineRule="auto"/>
        <w:rPr>
          <w:rFonts w:hint="eastAsia" w:ascii="Times New Roman" w:hAnsi="Times New Roman"/>
          <w:highlight w:val="none"/>
        </w:rPr>
      </w:pPr>
    </w:p>
    <w:p w14:paraId="0DCCBD60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 w:eastAsia="宋体"/>
          <w:highlight w:val="none"/>
          <w:lang w:eastAsia="zh-CN"/>
        </w:rPr>
        <w:drawing>
          <wp:inline distT="0" distB="0" distL="114300" distR="114300">
            <wp:extent cx="5270500" cy="4567555"/>
            <wp:effectExtent l="0" t="0" r="6350" b="4445"/>
            <wp:docPr id="16" name="图片 16" descr="SFig.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Fig.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C9D03">
      <w:pPr>
        <w:spacing w:line="480" w:lineRule="auto"/>
        <w:rPr>
          <w:rFonts w:ascii="Times New Roman" w:hAnsi="Times New Roman" w:cs="Times New Roman"/>
          <w:szCs w:val="21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4</w:t>
      </w:r>
      <w:r>
        <w:rPr>
          <w:rFonts w:hint="eastAsia" w:ascii="Times New Roman" w:hAnsi="Times New Roman"/>
          <w:b/>
          <w:bCs/>
          <w:highlight w:val="none"/>
        </w:rPr>
        <w:t>.</w:t>
      </w:r>
      <w:r>
        <w:rPr>
          <w:rFonts w:hint="eastAsia"/>
          <w:highlight w:val="none"/>
          <w:lang w:val="en-US" w:eastAsia="zh-CN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Binding of ADWX-1 to K</w:t>
      </w:r>
      <w:r>
        <w:rPr>
          <w:rFonts w:hint="eastAsia" w:ascii="Times New Roman" w:hAnsi="Times New Roman" w:cs="Times New Roman"/>
          <w:b/>
          <w:bCs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1.3 as observed by </w:t>
      </w:r>
      <w:r>
        <w:rPr>
          <w:rFonts w:hint="eastAsia" w:ascii="Times New Roman" w:hAnsi="Times New Roman" w:cs="Times New Roman"/>
          <w:b/>
          <w:bCs/>
          <w:szCs w:val="21"/>
          <w:highlight w:val="none"/>
          <w:lang w:val="en-US" w:eastAsia="zh-CN"/>
        </w:rPr>
        <w:t>C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MD and MetaD.</w:t>
      </w:r>
      <w:r>
        <w:rPr>
          <w:rFonts w:ascii="Times New Roman" w:hAnsi="Times New Roman" w:cs="Times New Roman"/>
          <w:szCs w:val="21"/>
          <w:highlight w:val="none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(A) </w:t>
      </w:r>
      <w:r>
        <w:rPr>
          <w:rFonts w:ascii="Times New Roman" w:hAnsi="Times New Roman" w:cs="Times New Roman"/>
          <w:szCs w:val="21"/>
          <w:highlight w:val="none"/>
        </w:rPr>
        <w:t xml:space="preserve">RMSD plots of the ligand and protein during </w:t>
      </w: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t>C</w:t>
      </w:r>
      <w:r>
        <w:rPr>
          <w:rFonts w:ascii="Times New Roman" w:hAnsi="Times New Roman" w:cs="Times New Roman"/>
          <w:szCs w:val="21"/>
          <w:highlight w:val="none"/>
        </w:rPr>
        <w:t>MD simulation of the K</w:t>
      </w:r>
      <w:r>
        <w:rPr>
          <w:rFonts w:hint="eastAsia" w:ascii="Times New Roman" w:hAnsi="Times New Roman" w:cs="Times New Roman"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szCs w:val="21"/>
          <w:highlight w:val="none"/>
        </w:rPr>
        <w:t>1.3–MPiN complex.</w:t>
      </w:r>
      <w:r>
        <w:rPr>
          <w:rFonts w:hint="eastAsia" w:ascii="Times New Roman" w:hAnsi="Times New Roman" w:cs="Times New Roman"/>
          <w:b/>
          <w:bCs/>
          <w:szCs w:val="21"/>
          <w:highlight w:val="none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(B) </w:t>
      </w:r>
      <w:r>
        <w:rPr>
          <w:rFonts w:ascii="Times New Roman" w:hAnsi="Times New Roman" w:cs="Times New Roman"/>
          <w:szCs w:val="21"/>
          <w:highlight w:val="none"/>
        </w:rPr>
        <w:t>Front view of the three-dimensional complex of ADWX-1 bound to K</w:t>
      </w:r>
      <w:r>
        <w:rPr>
          <w:rFonts w:hint="eastAsia" w:ascii="Times New Roman" w:hAnsi="Times New Roman" w:cs="Times New Roman"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szCs w:val="21"/>
          <w:highlight w:val="none"/>
        </w:rPr>
        <w:t>1.3</w:t>
      </w:r>
      <w:r>
        <w:rPr>
          <w:rFonts w:hint="eastAsia" w:ascii="Times New Roman" w:hAnsi="Times New Roman" w:cs="Times New Roman"/>
          <w:szCs w:val="21"/>
          <w:highlight w:val="none"/>
        </w:rPr>
        <w:t>.</w:t>
      </w:r>
      <w:r>
        <w:rPr>
          <w:rFonts w:hint="eastAsia" w:ascii="Times New Roman" w:hAnsi="Times New Roman" w:cs="Times New Roman"/>
          <w:b/>
          <w:bCs/>
          <w:szCs w:val="21"/>
          <w:highlight w:val="none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(C)</w:t>
      </w:r>
      <w:r>
        <w:rPr>
          <w:rFonts w:ascii="Times New Roman" w:hAnsi="Times New Roman" w:cs="Times New Roman"/>
          <w:szCs w:val="21"/>
          <w:highlight w:val="none"/>
        </w:rPr>
        <w:t xml:space="preserve"> RMSD plots of the ligand and protein during M</w:t>
      </w: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t>eta</w:t>
      </w:r>
      <w:r>
        <w:rPr>
          <w:rFonts w:ascii="Times New Roman" w:hAnsi="Times New Roman" w:cs="Times New Roman"/>
          <w:szCs w:val="21"/>
          <w:highlight w:val="none"/>
        </w:rPr>
        <w:t>D simulation of the ADWX-1</w:t>
      </w: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t>-</w:t>
      </w:r>
      <w:r>
        <w:rPr>
          <w:rFonts w:ascii="Times New Roman" w:hAnsi="Times New Roman" w:cs="Times New Roman"/>
          <w:szCs w:val="21"/>
          <w:highlight w:val="none"/>
        </w:rPr>
        <w:t xml:space="preserve">MPiN complex.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(D)</w:t>
      </w:r>
      <w:r>
        <w:rPr>
          <w:rFonts w:ascii="Times New Roman" w:hAnsi="Times New Roman" w:cs="Times New Roman"/>
          <w:szCs w:val="21"/>
          <w:highlight w:val="none"/>
        </w:rPr>
        <w:t xml:space="preserve"> Detailed molecular structure of the protein–ligand interactions between ADWX-1 and K</w:t>
      </w:r>
      <w:r>
        <w:rPr>
          <w:rFonts w:hint="eastAsia" w:ascii="Times New Roman" w:hAnsi="Times New Roman" w:cs="Times New Roman"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szCs w:val="21"/>
          <w:highlight w:val="none"/>
        </w:rPr>
        <w:t>1.3</w:t>
      </w:r>
      <w:r>
        <w:rPr>
          <w:rFonts w:hint="eastAsia" w:ascii="Times New Roman" w:hAnsi="Times New Roman" w:cs="Times New Roman"/>
          <w:szCs w:val="21"/>
          <w:highlight w:val="none"/>
        </w:rPr>
        <w:t>.</w:t>
      </w:r>
      <w:r>
        <w:rPr>
          <w:rFonts w:hint="eastAsia" w:ascii="Times New Roman" w:hAnsi="Times New Roman" w:cs="Times New Roman"/>
          <w:b/>
          <w:bCs/>
          <w:szCs w:val="21"/>
          <w:highlight w:val="none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(E)</w:t>
      </w:r>
      <w:r>
        <w:rPr>
          <w:rFonts w:ascii="Times New Roman" w:hAnsi="Times New Roman" w:cs="Times New Roman"/>
          <w:szCs w:val="21"/>
          <w:highlight w:val="none"/>
        </w:rPr>
        <w:t xml:space="preserve"> Conformation of the ADWX-1</w:t>
      </w:r>
      <w:r>
        <w:rPr>
          <w:rFonts w:hint="default" w:ascii="Times New Roman" w:hAnsi="Times New Roman" w:cs="Times New Roman"/>
          <w:szCs w:val="21"/>
          <w:highlight w:val="none"/>
          <w:lang w:val="en-GB"/>
        </w:rPr>
        <w:t>-</w:t>
      </w:r>
      <w:r>
        <w:rPr>
          <w:rFonts w:ascii="Times New Roman" w:hAnsi="Times New Roman" w:cs="Times New Roman"/>
          <w:szCs w:val="21"/>
          <w:highlight w:val="none"/>
        </w:rPr>
        <w:t>K</w:t>
      </w:r>
      <w:r>
        <w:rPr>
          <w:rFonts w:hint="eastAsia" w:ascii="Times New Roman" w:hAnsi="Times New Roman" w:cs="Times New Roman"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szCs w:val="21"/>
          <w:highlight w:val="none"/>
        </w:rPr>
        <w:t>1.3 complex at the lowest free energy, as revealed by MetaD simulations.</w:t>
      </w:r>
    </w:p>
    <w:p w14:paraId="1813A15F">
      <w:pPr>
        <w:spacing w:line="480" w:lineRule="auto"/>
        <w:rPr>
          <w:rFonts w:hint="default" w:ascii="Times New Roman" w:hAnsi="Times New Roman" w:cs="Times New Roman"/>
          <w:szCs w:val="21"/>
          <w:highlight w:val="none"/>
          <w:lang w:val="en-GB"/>
        </w:rPr>
      </w:pPr>
    </w:p>
    <w:p w14:paraId="6DB9A2E3">
      <w:pPr>
        <w:spacing w:line="480" w:lineRule="auto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73675" cy="4141470"/>
            <wp:effectExtent l="0" t="0" r="3175" b="11430"/>
            <wp:docPr id="17" name="图片 17" descr="SFig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Fig.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C69CA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default" w:ascii="Times New Roman" w:hAnsi="Times New Roman"/>
          <w:b/>
          <w:bCs/>
          <w:highlight w:val="none"/>
          <w:lang w:val="en-GB" w:eastAsia="zh-CN"/>
        </w:rPr>
        <w:t>5</w:t>
      </w:r>
      <w:r>
        <w:rPr>
          <w:rFonts w:hint="eastAsia" w:ascii="Times New Roman" w:hAnsi="Times New Roman"/>
          <w:b/>
          <w:bCs/>
          <w:highlight w:val="none"/>
        </w:rPr>
        <w:t>.</w:t>
      </w:r>
      <w:r>
        <w:rPr>
          <w:rFonts w:hint="eastAsia" w:ascii="Times New Roman" w:hAnsi="Times New Roman"/>
          <w:highlight w:val="none"/>
        </w:rPr>
        <w:t xml:space="preserve"> Representative current traces (A, C, E) and concentration-response relationships (B, D, F) of MPiN inhibiting mutant channels generated by multiple-attribute mutations of the F428 (A-B), W437 (C-D), and M450 (E-F) residues in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(n = </w:t>
      </w:r>
      <w:r>
        <w:rPr>
          <w:rFonts w:ascii="Times New Roman" w:hAnsi="Times New Roman"/>
          <w:highlight w:val="none"/>
        </w:rPr>
        <w:t>5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).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</w:t>
      </w:r>
    </w:p>
    <w:p w14:paraId="4BA3596F">
      <w:pPr>
        <w:spacing w:line="480" w:lineRule="auto"/>
        <w:rPr>
          <w:rFonts w:hint="eastAsia" w:ascii="Times New Roman" w:hAnsi="Times New Roman" w:cs="Times New Roman"/>
          <w:szCs w:val="21"/>
          <w:highlight w:val="none"/>
          <w:lang w:val="en-US" w:eastAsia="zh-CN"/>
        </w:rPr>
      </w:pPr>
    </w:p>
    <w:p w14:paraId="5CCD1ECD">
      <w:pPr>
        <w:spacing w:line="480" w:lineRule="auto"/>
        <w:rPr>
          <w:rFonts w:hint="eastAsia" w:ascii="Times New Roman" w:hAnsi="Times New Roman" w:cs="Times New Roman"/>
          <w:szCs w:val="21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drawing>
          <wp:inline distT="0" distB="0" distL="114300" distR="114300">
            <wp:extent cx="5272405" cy="2769870"/>
            <wp:effectExtent l="0" t="0" r="4445" b="11430"/>
            <wp:docPr id="18" name="图片 18" descr="SFig.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Fig.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2C53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default" w:ascii="Times New Roman" w:hAnsi="Times New Roman"/>
          <w:b/>
          <w:bCs/>
          <w:highlight w:val="none"/>
          <w:lang w:val="en-GB" w:eastAsia="zh-CN"/>
        </w:rPr>
        <w:t>6</w:t>
      </w:r>
      <w:r>
        <w:rPr>
          <w:rFonts w:hint="eastAsia" w:ascii="Times New Roman" w:hAnsi="Times New Roman"/>
          <w:b/>
          <w:bCs/>
          <w:highlight w:val="none"/>
        </w:rPr>
        <w:t xml:space="preserve">. </w:t>
      </w:r>
      <w:r>
        <w:rPr>
          <w:rFonts w:hint="eastAsia" w:ascii="Times New Roman" w:hAnsi="Times New Roman"/>
          <w:highlight w:val="none"/>
        </w:rPr>
        <w:t xml:space="preserve">(A) Representative current traces showing 10 </w:t>
      </w:r>
      <w:r>
        <w:rPr>
          <w:rFonts w:ascii="Arial" w:hAnsi="Arial" w:cs="Arial"/>
          <w:highlight w:val="none"/>
        </w:rPr>
        <w:t>μM</w:t>
      </w:r>
      <w:r>
        <w:rPr>
          <w:rFonts w:hint="eastAsia" w:ascii="Times New Roman" w:hAnsi="Times New Roman"/>
          <w:highlight w:val="none"/>
        </w:rPr>
        <w:t xml:space="preserve"> MPiN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mutants, in which Gly427 (G427) or His451 (H451) was substituted with corresponding residues from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1.1-1.2,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1.4, or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1.6-1.8 (n = </w:t>
      </w:r>
      <w:r>
        <w:rPr>
          <w:rFonts w:ascii="Times New Roman" w:hAnsi="Times New Roman"/>
          <w:highlight w:val="none"/>
        </w:rPr>
        <w:t>6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). (B-C) Dose-response curves for MPiN inhibition of the (B) G427 and (C) H451 mutants, with 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>1.3 and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1.5 shown as dashed lines for reference (n = </w:t>
      </w:r>
      <w:r>
        <w:rPr>
          <w:rFonts w:ascii="Times New Roman" w:hAnsi="Times New Roman"/>
          <w:highlight w:val="none"/>
        </w:rPr>
        <w:t>6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7</w:t>
      </w:r>
      <w:r>
        <w:rPr>
          <w:rFonts w:hint="eastAsia" w:ascii="Times New Roman" w:hAnsi="Times New Roman"/>
          <w:highlight w:val="none"/>
        </w:rPr>
        <w:t>). The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</w:t>
      </w:r>
    </w:p>
    <w:p w14:paraId="59881768">
      <w:pPr>
        <w:spacing w:line="480" w:lineRule="auto"/>
        <w:rPr>
          <w:rFonts w:hint="eastAsia" w:ascii="Times New Roman" w:hAnsi="Times New Roman"/>
          <w:highlight w:val="none"/>
        </w:rPr>
      </w:pPr>
    </w:p>
    <w:p w14:paraId="41F7C6BC">
      <w:pPr>
        <w:spacing w:line="480" w:lineRule="auto"/>
        <w:rPr>
          <w:rFonts w:hint="eastAsia" w:ascii="Times New Roman" w:hAnsi="Times New Roman" w:eastAsia="宋体"/>
          <w:b/>
          <w:bCs/>
          <w:highlight w:val="none"/>
          <w:lang w:eastAsia="zh-CN"/>
        </w:rPr>
      </w:pPr>
      <w:r>
        <w:rPr>
          <w:rFonts w:hint="eastAsia" w:ascii="Times New Roman" w:hAnsi="Times New Roman" w:eastAsia="宋体"/>
          <w:b/>
          <w:bCs/>
          <w:highlight w:val="none"/>
          <w:lang w:eastAsia="zh-CN"/>
        </w:rPr>
        <w:drawing>
          <wp:inline distT="0" distB="0" distL="114300" distR="114300">
            <wp:extent cx="5272405" cy="2597150"/>
            <wp:effectExtent l="0" t="0" r="4445" b="12700"/>
            <wp:docPr id="19" name="图片 19" descr="SFig.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Fig.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1F7E8">
      <w:pPr>
        <w:spacing w:line="480" w:lineRule="auto"/>
        <w:rPr>
          <w:rFonts w:hint="eastAsia" w:ascii="Times New Roman" w:hAnsi="Times New Roman"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7</w:t>
      </w:r>
      <w:r>
        <w:rPr>
          <w:rFonts w:hint="eastAsia" w:ascii="Times New Roman" w:hAnsi="Times New Roman"/>
          <w:b/>
          <w:bCs/>
          <w:highlight w:val="none"/>
        </w:rPr>
        <w:t xml:space="preserve">. </w:t>
      </w:r>
      <w:r>
        <w:rPr>
          <w:rFonts w:hint="eastAsia" w:ascii="Times New Roman" w:hAnsi="Times New Roman"/>
          <w:highlight w:val="none"/>
        </w:rPr>
        <w:t>Representative current traces (A) and concentration-response curves (B-D) showing MPiN inhibition of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mutants bearing substitutions at residues along the </w:t>
      </w:r>
      <w:r>
        <w:rPr>
          <w:rFonts w:hint="default" w:ascii="Times New Roman" w:hAnsi="Times New Roman"/>
          <w:highlight w:val="none"/>
          <w:lang w:val="en-GB"/>
        </w:rPr>
        <w:t>identified</w:t>
      </w:r>
      <w:r>
        <w:rPr>
          <w:rFonts w:hint="eastAsia" w:ascii="Times New Roman" w:hAnsi="Times New Roman"/>
          <w:highlight w:val="none"/>
        </w:rPr>
        <w:t xml:space="preserve"> allosteric propagation pathway (V409, I410, F435, and V439), with wild-type K</w:t>
      </w:r>
      <w:r>
        <w:rPr>
          <w:rFonts w:hint="eastAsia" w:ascii="Times New Roman" w:hAnsi="Times New Roman"/>
          <w:highlight w:val="none"/>
          <w:vertAlign w:val="subscript"/>
        </w:rPr>
        <w:t>V</w:t>
      </w:r>
      <w:r>
        <w:rPr>
          <w:rFonts w:hint="eastAsia" w:ascii="Times New Roman" w:hAnsi="Times New Roman"/>
          <w:highlight w:val="none"/>
        </w:rPr>
        <w:t xml:space="preserve">1.3 included for comparison (n = </w:t>
      </w:r>
      <w:r>
        <w:rPr>
          <w:rFonts w:ascii="Times New Roman" w:hAnsi="Times New Roman"/>
          <w:highlight w:val="none"/>
        </w:rPr>
        <w:t>6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-</w:t>
      </w:r>
      <w:r>
        <w:rPr>
          <w:rFonts w:hint="default" w:ascii="Times New Roman" w:hAnsi="Times New Roman"/>
          <w:highlight w:val="none"/>
          <w:lang w:val="en-GB"/>
        </w:rPr>
        <w:t xml:space="preserve"> </w:t>
      </w:r>
      <w:r>
        <w:rPr>
          <w:rFonts w:ascii="Times New Roman" w:hAnsi="Times New Roman"/>
          <w:highlight w:val="none"/>
        </w:rPr>
        <w:t>10</w:t>
      </w:r>
      <w:r>
        <w:rPr>
          <w:rFonts w:hint="eastAsia" w:ascii="Times New Roman" w:hAnsi="Times New Roman"/>
          <w:highlight w:val="none"/>
        </w:rPr>
        <w:t>).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are summarized in </w:t>
      </w:r>
      <w:r>
        <w:rPr>
          <w:rFonts w:hint="eastAsia" w:ascii="Times New Roman" w:hAnsi="Times New Roman"/>
          <w:b/>
          <w:bCs/>
          <w:highlight w:val="none"/>
        </w:rPr>
        <w:t>Supplementary Table 1</w:t>
      </w:r>
      <w:r>
        <w:rPr>
          <w:rFonts w:hint="eastAsia" w:ascii="Times New Roman" w:hAnsi="Times New Roman"/>
          <w:highlight w:val="none"/>
        </w:rPr>
        <w:t>.</w:t>
      </w:r>
    </w:p>
    <w:p w14:paraId="0D5C2B6E">
      <w:pPr>
        <w:spacing w:line="480" w:lineRule="auto"/>
        <w:rPr>
          <w:rFonts w:hint="eastAsia" w:ascii="Times New Roman" w:hAnsi="Times New Roman"/>
          <w:highlight w:val="none"/>
        </w:rPr>
      </w:pPr>
    </w:p>
    <w:p w14:paraId="1A6DE80A">
      <w:pPr>
        <w:spacing w:line="480" w:lineRule="auto"/>
        <w:rPr>
          <w:rFonts w:hint="eastAsia" w:eastAsia="宋体"/>
          <w:highlight w:val="none"/>
          <w:lang w:eastAsia="zh-CN"/>
        </w:rPr>
      </w:pPr>
      <w:r>
        <w:rPr>
          <w:rFonts w:hint="eastAsia" w:eastAsia="宋体"/>
          <w:highlight w:val="none"/>
          <w:lang w:eastAsia="zh-CN"/>
        </w:rPr>
        <w:drawing>
          <wp:inline distT="0" distB="0" distL="114300" distR="114300">
            <wp:extent cx="5272405" cy="1892935"/>
            <wp:effectExtent l="0" t="0" r="4445" b="12065"/>
            <wp:docPr id="20" name="图片 20" descr="SFig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Fig.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258D">
      <w:pPr>
        <w:spacing w:line="480" w:lineRule="auto"/>
        <w:rPr>
          <w:rFonts w:hint="eastAsia" w:ascii="Times New Roman" w:hAnsi="Times New Roman"/>
          <w:b/>
          <w:bCs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Figure 1</w:t>
      </w: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8</w:t>
      </w:r>
      <w:r>
        <w:rPr>
          <w:rFonts w:hint="eastAsia" w:ascii="Times New Roman" w:hAnsi="Times New Roman"/>
          <w:b/>
          <w:bCs/>
          <w:highlight w:val="none"/>
        </w:rPr>
        <w:t>.</w:t>
      </w:r>
      <w:r>
        <w:rPr>
          <w:rFonts w:hint="eastAsia"/>
          <w:highlight w:val="none"/>
          <w:lang w:val="en-US" w:eastAsia="zh-CN"/>
        </w:rPr>
        <w:t xml:space="preserve">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Interactions between </w:t>
      </w:r>
      <w:r>
        <w:rPr>
          <w:rFonts w:hint="default" w:ascii="Times New Roman" w:hAnsi="Times New Roman" w:cs="Times New Roman"/>
          <w:b/>
          <w:bCs/>
          <w:szCs w:val="21"/>
          <w:highlight w:val="none"/>
          <w:lang w:val="en-GB"/>
        </w:rPr>
        <w:t xml:space="preserve">residues in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the S</w:t>
      </w:r>
      <w:r>
        <w:rPr>
          <w:rFonts w:hint="default" w:ascii="Times New Roman" w:hAnsi="Times New Roman" w:cs="Times New Roman"/>
          <w:b/>
          <w:bCs/>
          <w:szCs w:val="21"/>
          <w:highlight w:val="none"/>
          <w:lang w:val="en-GB"/>
        </w:rPr>
        <w:t>4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 and S</w:t>
      </w:r>
      <w:r>
        <w:rPr>
          <w:rFonts w:hint="default" w:ascii="Times New Roman" w:hAnsi="Times New Roman" w:cs="Times New Roman"/>
          <w:b/>
          <w:bCs/>
          <w:szCs w:val="21"/>
          <w:highlight w:val="none"/>
          <w:lang w:val="en-GB"/>
        </w:rPr>
        <w:t>5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 </w:t>
      </w:r>
      <w:r>
        <w:rPr>
          <w:rFonts w:hint="default" w:ascii="Times New Roman" w:hAnsi="Times New Roman" w:cs="Times New Roman"/>
          <w:b/>
          <w:bCs/>
          <w:szCs w:val="21"/>
          <w:highlight w:val="none"/>
          <w:lang w:val="en-GB"/>
        </w:rPr>
        <w:t>helices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 </w:t>
      </w:r>
      <w:r>
        <w:rPr>
          <w:rFonts w:hint="default" w:ascii="Times New Roman" w:hAnsi="Times New Roman" w:cs="Times New Roman"/>
          <w:b/>
          <w:bCs/>
          <w:szCs w:val="21"/>
          <w:highlight w:val="none"/>
          <w:lang w:val="en-GB"/>
        </w:rPr>
        <w:t xml:space="preserve">of </w:t>
      </w:r>
      <w:r>
        <w:rPr>
          <w:rFonts w:ascii="Times New Roman" w:hAnsi="Times New Roman" w:cs="Times New Roman"/>
          <w:b/>
          <w:bCs/>
          <w:szCs w:val="21"/>
          <w:highlight w:val="none"/>
        </w:rPr>
        <w:t>K</w:t>
      </w:r>
      <w:r>
        <w:rPr>
          <w:rFonts w:hint="eastAsia" w:ascii="Times New Roman" w:hAnsi="Times New Roman" w:cs="Times New Roman"/>
          <w:b/>
          <w:bCs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b/>
          <w:bCs/>
          <w:szCs w:val="21"/>
          <w:highlight w:val="none"/>
        </w:rPr>
        <w:t xml:space="preserve">1.3 in distinct functional states. (A–C) </w:t>
      </w:r>
      <w:r>
        <w:rPr>
          <w:rFonts w:ascii="Times New Roman" w:hAnsi="Times New Roman" w:cs="Times New Roman"/>
          <w:szCs w:val="21"/>
          <w:highlight w:val="none"/>
        </w:rPr>
        <w:t>Shown are the interaction patterns and inter‑residue distances between R364</w:t>
      </w:r>
      <w:r>
        <w:rPr>
          <w:rFonts w:hint="default" w:ascii="Times New Roman" w:hAnsi="Times New Roman" w:cs="Times New Roman"/>
          <w:szCs w:val="21"/>
          <w:highlight w:val="none"/>
          <w:lang w:val="en-GB"/>
        </w:rPr>
        <w:t xml:space="preserve"> (S4)</w:t>
      </w:r>
      <w:r>
        <w:rPr>
          <w:rFonts w:ascii="Times New Roman" w:hAnsi="Times New Roman" w:cs="Times New Roman"/>
          <w:szCs w:val="21"/>
          <w:highlight w:val="none"/>
        </w:rPr>
        <w:t xml:space="preserve"> and D422</w:t>
      </w:r>
      <w:r>
        <w:rPr>
          <w:rFonts w:hint="default" w:ascii="Times New Roman" w:hAnsi="Times New Roman" w:cs="Times New Roman"/>
          <w:szCs w:val="21"/>
          <w:highlight w:val="none"/>
          <w:lang w:val="en-GB"/>
        </w:rPr>
        <w:t xml:space="preserve"> (S5)</w:t>
      </w:r>
      <w:r>
        <w:rPr>
          <w:rFonts w:ascii="Times New Roman" w:hAnsi="Times New Roman" w:cs="Times New Roman"/>
          <w:szCs w:val="21"/>
          <w:highlight w:val="none"/>
        </w:rPr>
        <w:t xml:space="preserve"> for K</w:t>
      </w:r>
      <w:r>
        <w:rPr>
          <w:rFonts w:hint="eastAsia" w:ascii="Times New Roman" w:hAnsi="Times New Roman" w:cs="Times New Roman"/>
          <w:szCs w:val="21"/>
          <w:highlight w:val="none"/>
          <w:vertAlign w:val="subscript"/>
          <w:lang w:val="en-US" w:eastAsia="zh-CN"/>
        </w:rPr>
        <w:t>V</w:t>
      </w:r>
      <w:r>
        <w:rPr>
          <w:rFonts w:ascii="Times New Roman" w:hAnsi="Times New Roman" w:cs="Times New Roman"/>
          <w:szCs w:val="21"/>
          <w:highlight w:val="none"/>
        </w:rPr>
        <w:t xml:space="preserve">1.3 in the </w:t>
      </w:r>
      <w:r>
        <w:rPr>
          <w:rFonts w:hint="default" w:ascii="Times New Roman" w:hAnsi="Times New Roman" w:cs="Times New Roman"/>
          <w:szCs w:val="21"/>
          <w:highlight w:val="none"/>
          <w:lang w:val="en-GB"/>
        </w:rPr>
        <w:t xml:space="preserve">Apo </w:t>
      </w:r>
      <w:r>
        <w:rPr>
          <w:rFonts w:ascii="Times New Roman" w:hAnsi="Times New Roman" w:cs="Times New Roman"/>
          <w:szCs w:val="21"/>
          <w:highlight w:val="none"/>
        </w:rPr>
        <w:t>C</w:t>
      </w:r>
      <w:r>
        <w:rPr>
          <w:rFonts w:hint="eastAsia" w:ascii="Times New Roman" w:hAnsi="Times New Roman" w:cs="Times New Roman"/>
          <w:szCs w:val="21"/>
          <w:highlight w:val="none"/>
        </w:rPr>
        <w:t>-Type</w:t>
      </w: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t xml:space="preserve"> inactivated</w:t>
      </w:r>
      <w:r>
        <w:rPr>
          <w:rFonts w:ascii="Times New Roman" w:hAnsi="Times New Roman" w:cs="Times New Roman"/>
          <w:szCs w:val="21"/>
          <w:highlight w:val="none"/>
        </w:rPr>
        <w:t xml:space="preserve"> state</w:t>
      </w:r>
      <w:r>
        <w:rPr>
          <w:rFonts w:hint="eastAsia" w:ascii="Times New Roman" w:hAnsi="Times New Roman" w:cs="Times New Roman"/>
          <w:szCs w:val="21"/>
          <w:highlight w:val="none"/>
        </w:rPr>
        <w:t xml:space="preserve"> (A</w:t>
      </w:r>
      <w:r>
        <w:rPr>
          <w:rFonts w:hint="default" w:ascii="Times New Roman" w:hAnsi="Times New Roman" w:cs="Times New Roman"/>
          <w:szCs w:val="21"/>
          <w:highlight w:val="none"/>
          <w:lang w:val="en-GB"/>
        </w:rPr>
        <w:t>-</w:t>
      </w:r>
      <w:r>
        <w:rPr>
          <w:rFonts w:hint="eastAsia" w:ascii="Times New Roman" w:hAnsi="Times New Roman" w:cs="Times New Roman"/>
          <w:szCs w:val="21"/>
          <w:highlight w:val="none"/>
        </w:rPr>
        <w:t>B)</w:t>
      </w:r>
      <w:r>
        <w:rPr>
          <w:rFonts w:ascii="Times New Roman" w:hAnsi="Times New Roman" w:cs="Times New Roman"/>
          <w:szCs w:val="21"/>
          <w:highlight w:val="none"/>
        </w:rPr>
        <w:t>, and the MPiN‑bound C</w:t>
      </w:r>
      <w:r>
        <w:rPr>
          <w:rFonts w:hint="eastAsia" w:ascii="Times New Roman" w:hAnsi="Times New Roman" w:cs="Times New Roman"/>
          <w:szCs w:val="21"/>
          <w:highlight w:val="none"/>
        </w:rPr>
        <w:t>-Type</w:t>
      </w:r>
      <w:r>
        <w:rPr>
          <w:rFonts w:hint="eastAsia" w:ascii="Times New Roman" w:hAnsi="Times New Roman" w:cs="Times New Roman"/>
          <w:szCs w:val="21"/>
          <w:highlight w:val="none"/>
          <w:lang w:val="en-US" w:eastAsia="zh-CN"/>
        </w:rPr>
        <w:t xml:space="preserve"> inactivated</w:t>
      </w:r>
      <w:r>
        <w:rPr>
          <w:rFonts w:ascii="Times New Roman" w:hAnsi="Times New Roman" w:cs="Times New Roman"/>
          <w:szCs w:val="21"/>
          <w:highlight w:val="none"/>
        </w:rPr>
        <w:t xml:space="preserve"> state</w:t>
      </w:r>
      <w:r>
        <w:rPr>
          <w:rFonts w:hint="eastAsia" w:ascii="Times New Roman" w:hAnsi="Times New Roman" w:cs="Times New Roman"/>
          <w:szCs w:val="21"/>
          <w:highlight w:val="none"/>
        </w:rPr>
        <w:t xml:space="preserve"> (C)</w:t>
      </w:r>
      <w:r>
        <w:rPr>
          <w:rFonts w:ascii="Times New Roman" w:hAnsi="Times New Roman" w:cs="Times New Roman"/>
          <w:szCs w:val="21"/>
          <w:highlight w:val="none"/>
        </w:rPr>
        <w:t>, respectively.</w:t>
      </w:r>
    </w:p>
    <w:p w14:paraId="349C0635">
      <w:pPr>
        <w:spacing w:line="360" w:lineRule="auto"/>
        <w:rPr>
          <w:rFonts w:ascii="Times New Roman" w:hAnsi="Times New Roman"/>
          <w:highlight w:val="none"/>
        </w:rPr>
      </w:pPr>
    </w:p>
    <w:p w14:paraId="155C6ED3">
      <w:pPr>
        <w:spacing w:line="360" w:lineRule="auto"/>
        <w:rPr>
          <w:rFonts w:hint="eastAsia" w:ascii="Times New Roman" w:hAnsi="Times New Roman"/>
          <w:b/>
          <w:bCs/>
          <w:highlight w:val="none"/>
          <w:lang w:val="en-US" w:eastAsia="zh-CN"/>
        </w:rPr>
      </w:pPr>
      <w:r>
        <w:rPr>
          <w:rFonts w:hint="eastAsia" w:ascii="Times New Roman" w:hAnsi="Times New Roman"/>
          <w:b/>
          <w:bCs/>
          <w:highlight w:val="none"/>
          <w:lang w:val="en-US" w:eastAsia="zh-CN"/>
        </w:rPr>
        <w:t>Supplementary Table 1</w:t>
      </w:r>
    </w:p>
    <w:p w14:paraId="7CE47636">
      <w:pPr>
        <w:spacing w:line="360" w:lineRule="auto"/>
        <w:rPr>
          <w:rFonts w:hint="eastAsia" w:ascii="Times New Roman" w:hAnsi="Times New Roman"/>
          <w:b/>
          <w:bCs/>
          <w:highlight w:val="none"/>
          <w:lang w:val="en-US" w:eastAsia="zh-CN"/>
        </w:rPr>
      </w:pPr>
      <w:r>
        <w:rPr>
          <w:rFonts w:hint="eastAsia" w:ascii="Times New Roman" w:hAnsi="Times New Roman"/>
          <w:b w:val="0"/>
          <w:bCs w:val="0"/>
          <w:highlight w:val="none"/>
          <w:lang w:val="en-US" w:eastAsia="zh-CN"/>
        </w:rPr>
        <w:t>Summary of IC</w:t>
      </w:r>
      <w:r>
        <w:rPr>
          <w:rFonts w:hint="eastAsia" w:ascii="Times New Roman" w:hAnsi="Times New Roman"/>
          <w:b w:val="0"/>
          <w:bCs w:val="0"/>
          <w:highlight w:val="none"/>
          <w:vertAlign w:val="subscript"/>
          <w:lang w:val="en-US" w:eastAsia="zh-CN"/>
        </w:rPr>
        <w:t>50</w:t>
      </w:r>
      <w:r>
        <w:rPr>
          <w:rFonts w:hint="eastAsia" w:ascii="Times New Roman" w:hAnsi="Times New Roman"/>
          <w:b w:val="0"/>
          <w:bCs w:val="0"/>
          <w:highlight w:val="none"/>
          <w:lang w:val="en-US" w:eastAsia="zh-CN"/>
        </w:rPr>
        <w:t xml:space="preserve"> values reported in this study</w:t>
      </w:r>
    </w:p>
    <w:tbl>
      <w:tblPr>
        <w:tblStyle w:val="7"/>
        <w:tblW w:w="4999" w:type="pct"/>
        <w:jc w:val="center"/>
        <w:tblBorders>
          <w:top w:val="single" w:color="auto" w:sz="4" w:space="0"/>
          <w:left w:val="none" w:color="auto" w:sz="12" w:space="0"/>
          <w:bottom w:val="single" w:color="auto" w:sz="4" w:space="0"/>
          <w:right w:val="none" w:color="auto" w:sz="12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8"/>
        <w:gridCol w:w="2659"/>
        <w:gridCol w:w="2372"/>
        <w:gridCol w:w="1088"/>
        <w:gridCol w:w="1216"/>
      </w:tblGrid>
      <w:tr w14:paraId="165711C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tblHeader/>
          <w:jc w:val="center"/>
        </w:trPr>
        <w:tc>
          <w:tcPr>
            <w:tcW w:w="582" w:type="pct"/>
            <w:tcBorders>
              <w:left w:val="nil"/>
              <w:bottom w:val="nil"/>
              <w:right w:val="nil"/>
              <w:tl2br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2F68D7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Figures</w:t>
            </w:r>
          </w:p>
        </w:tc>
        <w:tc>
          <w:tcPr>
            <w:tcW w:w="1601" w:type="pct"/>
            <w:tcBorders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5CD75D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Channel</w:t>
            </w:r>
          </w:p>
        </w:tc>
        <w:tc>
          <w:tcPr>
            <w:tcW w:w="1428" w:type="pct"/>
            <w:tcBorders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BE6ADF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IC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>50</w:t>
            </w:r>
            <w:r>
              <w:rPr>
                <w:rFonts w:hint="eastAsia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 xml:space="preserve"> 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(μM)</w:t>
            </w:r>
          </w:p>
        </w:tc>
        <w:tc>
          <w:tcPr>
            <w:tcW w:w="655" w:type="pct"/>
            <w:tcBorders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3B9BB53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n</w:t>
            </w:r>
          </w:p>
        </w:tc>
        <w:tc>
          <w:tcPr>
            <w:tcW w:w="732" w:type="pct"/>
            <w:tcBorders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0B5AC7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Fold change of IC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>50</w:t>
            </w:r>
          </w:p>
          <w:p w14:paraId="707B087F">
            <w:pPr>
              <w:snapToGrid/>
              <w:spacing w:line="36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(</w:t>
            </w:r>
            <w:r>
              <w:rPr>
                <w:rFonts w:hint="default" w:ascii="Times New Roman" w:hAnsi="Times New Roman" w:cs="Times New Roman"/>
                <w:b/>
                <w:bCs/>
                <w:i/>
                <w:i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vs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 xml:space="preserve"> K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>V</w:t>
            </w:r>
            <w:r>
              <w:rPr>
                <w:rFonts w:hint="default" w:ascii="Times New Roman" w:hAnsi="Times New Roman" w:cs="Times New Roman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1.3)</w:t>
            </w:r>
          </w:p>
        </w:tc>
      </w:tr>
      <w:tr w14:paraId="7849EC2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6E3BA2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Fig.1B</w:t>
            </w:r>
          </w:p>
        </w:tc>
        <w:tc>
          <w:tcPr>
            <w:tcW w:w="1601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0E1096">
            <w:pPr>
              <w:snapToGrid w:val="0"/>
              <w:ind w:left="0" w:leftChars="0" w:right="0" w:rightChars="0" w:firstLine="0" w:firstLineChars="0"/>
              <w:jc w:val="left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K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>V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 xml:space="preserve">1.3（-90 mV </w:t>
            </w:r>
            <w:r>
              <w:rPr>
                <w:rFonts w:hint="eastAsia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h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olding）</w:t>
            </w:r>
          </w:p>
        </w:tc>
        <w:tc>
          <w:tcPr>
            <w:tcW w:w="1428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0921C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1.05 ± 0.1</w:t>
            </w:r>
          </w:p>
        </w:tc>
        <w:tc>
          <w:tcPr>
            <w:tcW w:w="655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0C32D7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12</w:t>
            </w:r>
          </w:p>
        </w:tc>
        <w:tc>
          <w:tcPr>
            <w:tcW w:w="732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C0613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1</w:t>
            </w:r>
          </w:p>
        </w:tc>
      </w:tr>
      <w:tr w14:paraId="22B01704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219DD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12D4D4">
            <w:pPr>
              <w:snapToGrid w:val="0"/>
              <w:ind w:left="0" w:leftChars="0" w:right="0" w:rightChars="0" w:firstLine="0" w:firstLineChars="0"/>
              <w:jc w:val="left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K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subscript"/>
                <w:lang w:val="en-US" w:eastAsia="zh-CN"/>
              </w:rPr>
              <w:t>V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 xml:space="preserve">1.3（-35 mV </w:t>
            </w:r>
            <w:r>
              <w:rPr>
                <w:rFonts w:hint="eastAsia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h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olding）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7DC01F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0.6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6EAB41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9F5385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0.55</w:t>
            </w:r>
          </w:p>
        </w:tc>
      </w:tr>
      <w:tr w14:paraId="1259881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341AE6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Fig.1C/SFig.2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0C8987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1.1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FF8089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101.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2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16.3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C22CB1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C2768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96.1</w:t>
            </w:r>
          </w:p>
        </w:tc>
      </w:tr>
      <w:tr w14:paraId="5CD86E23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B74FA3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6A3FA8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K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1.2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3FF5A8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0"/>
                <w:sz w:val="21"/>
                <w:szCs w:val="21"/>
                <w:highlight w:val="none"/>
                <w:vertAlign w:val="baseline"/>
                <w:lang w:val="en-US" w:eastAsia="zh-CN" w:bidi="ar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79.5 ± 13.5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E8A300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F6B29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75.5</w:t>
            </w:r>
          </w:p>
        </w:tc>
      </w:tr>
      <w:tr w14:paraId="3C6E5A5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8F136A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00A94E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Style w:val="15"/>
                <w:rFonts w:ascii="Times New Roman" w:hAnsi="Times New Roman" w:eastAsia="等线" w:cs="Times New Roman"/>
                <w:color w:val="auto"/>
                <w:sz w:val="21"/>
                <w:highlight w:val="none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1.4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42F42D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150.6 ± 23.2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819C4D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AECFFC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142.9</w:t>
            </w:r>
          </w:p>
        </w:tc>
      </w:tr>
      <w:tr w14:paraId="525D3279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AF6C7E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9B69D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D1B853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225.1 ± 64.6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C2826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1ED170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213.7</w:t>
            </w:r>
          </w:p>
        </w:tc>
      </w:tr>
      <w:tr w14:paraId="488E2347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4B914E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495AA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K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1.6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D03D8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0"/>
                <w:sz w:val="21"/>
                <w:szCs w:val="21"/>
                <w:highlight w:val="none"/>
                <w:vertAlign w:val="baseline"/>
                <w:lang w:val="en-US" w:eastAsia="zh-CN" w:bidi="ar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135.0 ± 23.6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08CA7A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BFE296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128.2</w:t>
            </w:r>
          </w:p>
        </w:tc>
      </w:tr>
      <w:tr w14:paraId="2E100AE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310BD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9CDA9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1.7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4780A3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63.4 ± 12.0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0502B1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C994C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60.2</w:t>
            </w:r>
          </w:p>
        </w:tc>
      </w:tr>
      <w:tr w14:paraId="463CE0C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8CFCF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24F6FF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K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2.1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FD7704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144.0 ± 46.6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CD204E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033B98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136.7</w:t>
            </w:r>
          </w:p>
        </w:tc>
      </w:tr>
      <w:tr w14:paraId="12371F7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6839CD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8604CB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3.4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F630FF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336.6 ± 6.8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32CE5F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6C556F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319.7</w:t>
            </w:r>
          </w:p>
        </w:tc>
      </w:tr>
      <w:tr w14:paraId="4D2ACAB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50714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38E30F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4.1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6132A3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0"/>
                <w:sz w:val="21"/>
                <w:szCs w:val="21"/>
                <w:highlight w:val="none"/>
                <w:vertAlign w:val="baseline"/>
                <w:lang w:val="en-US" w:eastAsia="zh-CN" w:bidi="ar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306.2 ± 48.4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AF3729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52E43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290.7</w:t>
            </w:r>
          </w:p>
        </w:tc>
      </w:tr>
      <w:tr w14:paraId="19C5020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00D802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C241BD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4.2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CEE1C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0"/>
                <w:sz w:val="21"/>
                <w:szCs w:val="21"/>
                <w:highlight w:val="none"/>
                <w:vertAlign w:val="baseline"/>
                <w:lang w:val="en-US" w:eastAsia="zh-CN" w:bidi="ar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151.4 ± 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17.6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F860D1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4AD119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143.8</w:t>
            </w:r>
          </w:p>
        </w:tc>
      </w:tr>
      <w:tr w14:paraId="73EE42E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841048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236B36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4.3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35EE0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142.2 ± 28.7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26FE5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F4DD3A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135</w:t>
            </w:r>
          </w:p>
        </w:tc>
      </w:tr>
      <w:tr w14:paraId="1D1FCFF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EB5C5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A5000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K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7.2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8890D00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33.9 ± 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7.4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493FC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796979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32.1</w:t>
            </w:r>
          </w:p>
        </w:tc>
      </w:tr>
      <w:tr w14:paraId="02B972A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77BD13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528C7A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Na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54EAB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186.9 ± 48.1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6C4E0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A5FC3C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177.4</w:t>
            </w:r>
          </w:p>
        </w:tc>
      </w:tr>
      <w:tr w14:paraId="11F1597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57E306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79DE39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Na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1.4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A36471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199.2 ± 39.5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056675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94195A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189.2</w:t>
            </w:r>
          </w:p>
        </w:tc>
      </w:tr>
      <w:tr w14:paraId="170C24B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E4F62C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0DB6C1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Na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7788E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36.3 ± 5.2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61F264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368DD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34.4</w:t>
            </w:r>
          </w:p>
        </w:tc>
      </w:tr>
      <w:tr w14:paraId="2428A463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F6C3A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5839B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Na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1.7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750D0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91.9 ± 12.6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118415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5589F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87.2</w:t>
            </w:r>
          </w:p>
        </w:tc>
      </w:tr>
      <w:tr w14:paraId="2E7E296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8CEBB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EAE300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Na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1.8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37F9E9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210.9 ± 34.4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34F0C5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2FBA77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199.3</w:t>
            </w:r>
          </w:p>
        </w:tc>
      </w:tr>
      <w:tr w14:paraId="63B670B9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C9AF41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B10A6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Ca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1.2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989C38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54.3 ± 8.8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45BCFA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3FAEED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51.5</w:t>
            </w:r>
          </w:p>
        </w:tc>
      </w:tr>
      <w:tr w14:paraId="2D337CF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0EFFE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50AD90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Ca</w:t>
            </w:r>
            <w:r>
              <w:rPr>
                <w:rStyle w:val="14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V</w:t>
            </w:r>
            <w:r>
              <w:rPr>
                <w:rStyle w:val="13"/>
                <w:rFonts w:hint="default" w:ascii="Times New Roman" w:hAnsi="Times New Roman" w:eastAsia="等线" w:cs="Times New Roman"/>
                <w:color w:val="auto"/>
                <w:sz w:val="21"/>
                <w:szCs w:val="21"/>
                <w:highlight w:val="none"/>
                <w:lang w:val="en-US" w:eastAsia="zh-CN" w:bidi="ar"/>
              </w:rPr>
              <w:t>2.2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F24ADC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110.5 ± 21.5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637AB0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3A39FF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104.9</w:t>
            </w:r>
          </w:p>
        </w:tc>
      </w:tr>
      <w:tr w14:paraId="103B9CA3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81935E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D9996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Ca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3.1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69F56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81.8 ± 11.1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8E0B0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843F5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77.7</w:t>
            </w:r>
          </w:p>
        </w:tc>
      </w:tr>
      <w:tr w14:paraId="4B0507B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C27625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Fig.3C/SFig.6H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119A59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200 pM ShK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69BC2F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0.7 ± 0.2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474EBC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5F1F0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0.7</w:t>
            </w:r>
          </w:p>
        </w:tc>
      </w:tr>
      <w:tr w14:paraId="07F5E75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33ADA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B8D543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350 nM PAP-1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22D9D0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1.7 ± 0.4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87BD17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6607CB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1.6</w:t>
            </w:r>
          </w:p>
        </w:tc>
      </w:tr>
      <w:tr w14:paraId="0CEDF95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3C9C1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39098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 nM ADWX-1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7C5030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13.3 ± 3.1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594D0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7FE89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12.7</w:t>
            </w:r>
          </w:p>
        </w:tc>
      </w:tr>
      <w:tr w14:paraId="014EC11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9CCE45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E07713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200 μM 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erapamil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67513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0.9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B226B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2406E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0.8</w:t>
            </w:r>
          </w:p>
        </w:tc>
      </w:tr>
      <w:tr w14:paraId="75F57044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43ABC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F92DE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25 mM TEA-Cl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07ECBC2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0.7 ± 0.2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45B7B6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D93B6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0.7</w:t>
            </w:r>
          </w:p>
        </w:tc>
      </w:tr>
      <w:tr w14:paraId="361FB494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B21E94F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C63401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 mM TEA-Cl in pipette)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DDCCFF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0.7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2B9423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05FE77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0.7</w:t>
            </w:r>
          </w:p>
        </w:tc>
      </w:tr>
      <w:tr w14:paraId="072F375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2830B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Fig.3D/SFig.6K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F28355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D30CEE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0.0023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0.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0006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D215ED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CB6F39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1.0</w:t>
            </w:r>
          </w:p>
        </w:tc>
      </w:tr>
      <w:tr w14:paraId="78DE817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1B141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852227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 μM MPiN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DB1AEC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0.0076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0.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0009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0E7C73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82154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3.3</w:t>
            </w:r>
          </w:p>
        </w:tc>
      </w:tr>
      <w:tr w14:paraId="2DABF4B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54750A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Fig.3F/SFig.8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FA2AE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vertAlign w:val="subscript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1.5/1.3 P1P2 chimera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F8B8CE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0.7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9C39F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112B8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0.6</w:t>
            </w:r>
          </w:p>
        </w:tc>
      </w:tr>
      <w:tr w14:paraId="68AB604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458AC7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D63353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vertAlign w:val="subscript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1.5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lang w:val="en-US" w:eastAsia="zh-CN"/>
              </w:rPr>
              <w:t>-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H463G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lang w:val="en-US" w:eastAsia="zh-CN"/>
              </w:rPr>
              <w:t>/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R487H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C764B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8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0.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34922D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61240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0.7</w:t>
            </w:r>
          </w:p>
        </w:tc>
      </w:tr>
      <w:tr w14:paraId="51CFC9A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9384EA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Fig.3F/SFig.10C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748473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vertAlign w:val="subscript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1.5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lang w:val="en-US" w:eastAsia="zh-CN"/>
              </w:rPr>
              <w:t>-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H463G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  <w:lang w:val="en-US" w:eastAsia="zh-CN"/>
              </w:rPr>
              <w:t>/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sz w:val="21"/>
                <w:szCs w:val="21"/>
                <w:highlight w:val="none"/>
                <w:u w:val="none"/>
              </w:rPr>
              <w:t>R487H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09D825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0.0066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0.0014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8E106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9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37909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2.9</w:t>
            </w:r>
          </w:p>
        </w:tc>
      </w:tr>
      <w:tr w14:paraId="27FB200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A06DE5F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8496F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764AC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&gt;0.1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ADE13F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74CB35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&gt;100</w:t>
            </w:r>
          </w:p>
        </w:tc>
      </w:tr>
      <w:tr w14:paraId="198533B7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5E71A8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Fig.4A</w:t>
            </w:r>
          </w:p>
          <w:p w14:paraId="1A93D51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(upper panel)/SFig.12B-C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0A84A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1.3/F306A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64E431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8.7 ± 2.2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50C21C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BE4614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8.2</w:t>
            </w:r>
          </w:p>
        </w:tc>
      </w:tr>
      <w:tr w14:paraId="6422C3D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C9C918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1231E1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1.3/I402A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4DAECD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5.9 ± 1.3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189A83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C7ADE3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5.6</w:t>
            </w:r>
          </w:p>
        </w:tc>
      </w:tr>
      <w:tr w14:paraId="52BED5C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2F4D6C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F97C22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1.3/F403A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75E6D4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12.5 ± 3.0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81FB1E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F78284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11.8</w:t>
            </w:r>
          </w:p>
        </w:tc>
      </w:tr>
      <w:tr w14:paraId="016B9724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0ACC8B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62548D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1.3/V409A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2A9F3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5.8 ± 0.9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9E4C93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97553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5.5</w:t>
            </w:r>
          </w:p>
        </w:tc>
      </w:tr>
      <w:tr w14:paraId="11481960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70970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D8E860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1.3/I410A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0D15D1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4.5 ± 0.7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D888B4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8E01C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4.3</w:t>
            </w:r>
          </w:p>
        </w:tc>
      </w:tr>
      <w:tr w14:paraId="410F385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4D340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7593B0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1.3/V416A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0528CA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25.7 ± 9.5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87ADD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9A9C4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24.4</w:t>
            </w:r>
          </w:p>
        </w:tc>
      </w:tr>
      <w:tr w14:paraId="381C61C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D325D3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13C96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1.3/A419C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F88E04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13.7 ± 3.3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A61E9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346D0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13.0</w:t>
            </w:r>
          </w:p>
        </w:tc>
      </w:tr>
      <w:tr w14:paraId="04348D9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20737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C965C2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1.3/G427A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3E5025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8.6 ± 0.9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48A428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2742E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8.1</w:t>
            </w:r>
          </w:p>
        </w:tc>
      </w:tr>
      <w:tr w14:paraId="2D7193D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308AF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4DB73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1.3/D433A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5FAD11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111.7 ± 30.9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D0535C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C2B1C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106.1</w:t>
            </w:r>
          </w:p>
        </w:tc>
      </w:tr>
      <w:tr w14:paraId="7398469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34CEA6B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3A5CDA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1.3/A434C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CC88A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11.9 ± 3.0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8A7650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A3498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11.3</w:t>
            </w:r>
          </w:p>
        </w:tc>
      </w:tr>
      <w:tr w14:paraId="7943931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74D318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463482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1.3/F435A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072FFA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81.1 ± 19.0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2766F1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7414C5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77.0</w:t>
            </w:r>
          </w:p>
        </w:tc>
      </w:tr>
      <w:tr w14:paraId="7C60881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099FBA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BEE94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1.3/G456A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57DDA8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8.8 ± 1.8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A5C416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C154C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8.3</w:t>
            </w:r>
          </w:p>
        </w:tc>
      </w:tr>
      <w:tr w14:paraId="7173232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98686A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B21D77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1.3/S462A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A68B23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13.7 ± 3.4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01342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7FE38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13.0</w:t>
            </w:r>
          </w:p>
        </w:tc>
      </w:tr>
      <w:tr w14:paraId="6ED693C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9797A8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F0F591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1.3/A465C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6AE5FC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84.2 ± 16.0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2BE827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AE624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80.0</w:t>
            </w:r>
          </w:p>
        </w:tc>
      </w:tr>
      <w:tr w14:paraId="120768B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E32EDC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75971B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1.3/L474A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9EAFC1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6.3 ± 1.5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590A1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F57A8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6.0</w:t>
            </w:r>
          </w:p>
        </w:tc>
      </w:tr>
      <w:tr w14:paraId="2272D6B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DB6EC7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</w:t>
            </w:r>
            <w:r>
              <w:rPr>
                <w:rFonts w:hint="eastAsia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4A</w:t>
            </w:r>
          </w:p>
          <w:p w14:paraId="01AEF8D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( lower panel)/SFig.12E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641A2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174BA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0.0029 ± 0.0008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989ED8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A382DE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1.0</w:t>
            </w:r>
          </w:p>
        </w:tc>
      </w:tr>
      <w:tr w14:paraId="224BD7B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552E90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1FA688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1.3/F306A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47D7B5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0.0079 ± 0.0005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64CC8F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25FC92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2.7</w:t>
            </w:r>
          </w:p>
        </w:tc>
      </w:tr>
      <w:tr w14:paraId="1BC0F34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5A206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8EECA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1.3/I402A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3F43A8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0.0056 ± 0.0004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84390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811520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1.9</w:t>
            </w:r>
          </w:p>
        </w:tc>
      </w:tr>
      <w:tr w14:paraId="1D0493C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70A225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C1E5FE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1.3/F403A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5EBE2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0.0095 ± 0.0005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965EC7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4BCE4D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3.2</w:t>
            </w:r>
          </w:p>
        </w:tc>
      </w:tr>
      <w:tr w14:paraId="0FB903C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A8E19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01595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V409A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/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I410A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B708E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0.0166 ± 0.0016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4D627A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14533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5.6</w:t>
            </w:r>
          </w:p>
        </w:tc>
      </w:tr>
      <w:tr w14:paraId="2747E70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0389A9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23E6E6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1.3/V416A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E9EEC7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0.0055 ± 0.0008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A7456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15035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1.9</w:t>
            </w:r>
          </w:p>
        </w:tc>
      </w:tr>
      <w:tr w14:paraId="08228BD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84EE61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B2399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1.3/A419C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84C440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0.0012 ± 0.0002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2081D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70F548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0.4</w:t>
            </w:r>
          </w:p>
        </w:tc>
      </w:tr>
      <w:tr w14:paraId="14A85EE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BF48F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F2A444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1.3/G427A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AD487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0.0201 ± 0.0016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33D1D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B60846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6.8</w:t>
            </w:r>
          </w:p>
        </w:tc>
      </w:tr>
      <w:tr w14:paraId="44C1831B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C6E576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3162EC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1.3/D433A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607427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0.3211 ± 0.0008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09BA0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3FC8D1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109.0</w:t>
            </w:r>
          </w:p>
        </w:tc>
      </w:tr>
      <w:tr w14:paraId="2DA1A1D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6CDD4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AC9E7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1.3/A434C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7DD2E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0.0031 ± 0.0007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63963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FF61CA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1.1</w:t>
            </w:r>
          </w:p>
        </w:tc>
      </w:tr>
      <w:tr w14:paraId="3F290AF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B651A4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5E614B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1.3/F435A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78DA23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0.0025 ± 0.0004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4D969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BFD372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0.8</w:t>
            </w:r>
          </w:p>
        </w:tc>
      </w:tr>
      <w:tr w14:paraId="2C56C56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545F49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A6850A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1.3/G456A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F556E9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0.0033 ± 0.0006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D02FE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A903B3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1.1</w:t>
            </w:r>
          </w:p>
        </w:tc>
      </w:tr>
      <w:tr w14:paraId="6851792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A1183A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A2DF6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1.3/S462A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4133650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0.0012 ± 0.0001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4A3885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E916A8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0.4</w:t>
            </w:r>
          </w:p>
        </w:tc>
      </w:tr>
      <w:tr w14:paraId="4F9212E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742514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FC3137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1.3/A465C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3787B21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0.0034 ± 0.0004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9C5D29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761BE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1.2</w:t>
            </w:r>
          </w:p>
        </w:tc>
      </w:tr>
      <w:tr w14:paraId="32145C97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31292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55CE2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1.3/L474A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4208C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0.0064 ± 0.0009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perscript"/>
                <w:lang w:val="en-US" w:eastAsia="zh-CN" w:bidi="ar"/>
              </w:rPr>
              <w:t>a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0C1CBA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7EDFF6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2.2</w:t>
            </w:r>
          </w:p>
        </w:tc>
      </w:tr>
      <w:tr w14:paraId="2F8411D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2DE23A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Fig.4C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75D99D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1.3/D433A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EDCC1B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41.8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 ± 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4.4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139E8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5DF38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39.7</w:t>
            </w:r>
          </w:p>
        </w:tc>
      </w:tr>
      <w:tr w14:paraId="347D8A7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45230E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8273C8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1.3/D433A(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 xml:space="preserve">with 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 μM ADWX-1 in bath)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506071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40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 xml:space="preserve">.4 ± </w:t>
            </w: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  <w:lang w:val="en-US" w:eastAsia="zh-CN"/>
              </w:rPr>
              <w:t>9.1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1E924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184DF7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38.4</w:t>
            </w:r>
          </w:p>
        </w:tc>
      </w:tr>
      <w:tr w14:paraId="23B02B0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D0C690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Fig.4H/SFig.16B,D,F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89D72B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1.3/F428Y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389B39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74.6 ± 24.2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04775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15FCE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70.8</w:t>
            </w:r>
          </w:p>
        </w:tc>
      </w:tr>
      <w:tr w14:paraId="0AD0294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076C1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96C89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1.3/F428V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022A8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46.7 ± 5.9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164EAF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24BF4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44.3</w:t>
            </w:r>
          </w:p>
        </w:tc>
      </w:tr>
      <w:tr w14:paraId="7290765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89D7817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A7B620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1.3/F428W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B83004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1.3 ± 0.4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C7F85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31577E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1.2</w:t>
            </w:r>
          </w:p>
        </w:tc>
      </w:tr>
      <w:tr w14:paraId="6B9AA29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0B7E1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3198F3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1.3/W437Y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2DEDD0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166.1 ± 28.1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A26C6F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B030F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157.7</w:t>
            </w:r>
          </w:p>
        </w:tc>
      </w:tr>
      <w:tr w14:paraId="7FCC65B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B2D11C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8924CD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1.3/W437F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8BF1AB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34.6 ± 4.1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1103C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F7868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32.8</w:t>
            </w:r>
          </w:p>
        </w:tc>
      </w:tr>
      <w:tr w14:paraId="1359FE3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96912C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E1834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1.3/M450S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8138B2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0.3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E89A9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294E19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0.3</w:t>
            </w:r>
          </w:p>
        </w:tc>
      </w:tr>
      <w:tr w14:paraId="218A65B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013A15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020C9D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1.3/M450Y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702EBC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50.8 ± 14.9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3CD5C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6941F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48.2</w:t>
            </w:r>
          </w:p>
        </w:tc>
      </w:tr>
      <w:tr w14:paraId="447D30B9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B0602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C29995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1.3/M450T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FDEABC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8.8 ± 2.4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512D29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418D69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8.3</w:t>
            </w:r>
          </w:p>
        </w:tc>
      </w:tr>
      <w:tr w14:paraId="4951B4B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C33D32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F63B7F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1.3/M450E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C0584BA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14.7 ± 4.2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05B4E4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E64E61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14.0</w:t>
            </w:r>
          </w:p>
        </w:tc>
      </w:tr>
      <w:tr w14:paraId="601C21D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2E8B85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45CD2C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1.3/M450F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4CA3CC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7.8 ± 1.7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D4BD9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CDDEB4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7.4</w:t>
            </w:r>
          </w:p>
        </w:tc>
      </w:tr>
      <w:tr w14:paraId="0EBC2533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B33025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0A23EF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1.3/M450L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8A8E57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0.8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C8FE9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B970EA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0.7</w:t>
            </w:r>
          </w:p>
        </w:tc>
      </w:tr>
      <w:tr w14:paraId="707D354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B6A16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61180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AE447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69.5 ± 6.6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EC2F16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47169F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65.9</w:t>
            </w:r>
          </w:p>
        </w:tc>
      </w:tr>
      <w:tr w14:paraId="20E1EBD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7D05F2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48F90D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1.3/M450I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AF83AC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61.6 ± 8.1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890FC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FDED7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58.4</w:t>
            </w:r>
          </w:p>
        </w:tc>
      </w:tr>
      <w:tr w14:paraId="3816754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7652E3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Fig.5J/SFig.15B-C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A47D2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1.3/G427L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DAFB0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21.3 ± 6.1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F60B6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CE8EA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20.3</w:t>
            </w:r>
          </w:p>
        </w:tc>
      </w:tr>
      <w:tr w14:paraId="18D37FD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AE974F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D4BE1B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1.3/G427Q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F6796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84.3 ± 14.1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C0D8E0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65D54B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80.1</w:t>
            </w:r>
          </w:p>
        </w:tc>
      </w:tr>
      <w:tr w14:paraId="574C7A0B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9C8E16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EB96C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B2975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240.1 ± 80.3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3EA477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7C72E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228.0</w:t>
            </w:r>
          </w:p>
        </w:tc>
      </w:tr>
      <w:tr w14:paraId="22797F00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09DE5C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9874B1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B3483A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79.1 ± 20.1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1B55E0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CBBE4F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75.1</w:t>
            </w:r>
          </w:p>
        </w:tc>
      </w:tr>
      <w:tr w14:paraId="6EAFA5A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A4C91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643B2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1.3/H451Y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EA7172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144.3 ± 34.9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F806D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E88EAD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137.0</w:t>
            </w:r>
          </w:p>
        </w:tc>
      </w:tr>
      <w:tr w14:paraId="319CDCD0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98DA13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88D1F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1.3/H451K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3DDFED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100.4 ± 20.4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FC8890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077049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95.3</w:t>
            </w:r>
          </w:p>
        </w:tc>
      </w:tr>
      <w:tr w14:paraId="70865F29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372066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3CBF15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958FC94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113.7 ± 26.3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FF7C7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9F737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108.0</w:t>
            </w:r>
          </w:p>
        </w:tc>
      </w:tr>
      <w:tr w14:paraId="3AE53B31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2D6BA8B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Fig.6E/SFig.17B-D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D836D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2"/>
                <w:sz w:val="21"/>
                <w:szCs w:val="21"/>
                <w:highlight w:val="none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V409A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/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I410A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459337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43.1 ± 9.1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45815C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5B6BD9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40.9</w:t>
            </w:r>
          </w:p>
        </w:tc>
      </w:tr>
      <w:tr w14:paraId="665F61CE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7BD030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4E7DAB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1.3/F435W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2ED6D8B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2.1 ± 0.4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AF555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1CEEA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2.0</w:t>
            </w:r>
          </w:p>
        </w:tc>
      </w:tr>
      <w:tr w14:paraId="677E196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70F433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78B38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1.3/F435V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5C5EF8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4.8 ± 0.7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B03061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9235DE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4.5</w:t>
            </w:r>
          </w:p>
        </w:tc>
      </w:tr>
      <w:tr w14:paraId="3947E4AB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1E3661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EA02D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1.3/F435G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E6412C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20.1 ± 2.7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F4B947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A7414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19.1</w:t>
            </w:r>
          </w:p>
        </w:tc>
      </w:tr>
      <w:tr w14:paraId="65FA86A3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683C591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98ED0D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1.3/V439L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64405B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0.4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D7A76B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7669A1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0.3</w:t>
            </w:r>
          </w:p>
        </w:tc>
      </w:tr>
      <w:tr w14:paraId="7D4FBDA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1A3E53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0DEAF7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1.3/V439W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08D79F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16.2 ± 4.9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25AF1B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174F5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15.3</w:t>
            </w:r>
          </w:p>
        </w:tc>
      </w:tr>
      <w:tr w14:paraId="20E94A89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BB287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7C7828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1.3/V439C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09CE0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0.4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68F194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B8A619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0.4</w:t>
            </w:r>
          </w:p>
        </w:tc>
      </w:tr>
      <w:tr w14:paraId="0BB4E5F7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10DAFC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DEF5F6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1.3/V439F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CE742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0.3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E13896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057D53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0.3</w:t>
            </w:r>
          </w:p>
        </w:tc>
      </w:tr>
      <w:tr w14:paraId="05D13D94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8FC2C3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SFig.9B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68DA4F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2"/>
                <w:sz w:val="21"/>
                <w:szCs w:val="21"/>
                <w:highlight w:val="none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1.3/D423N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192F3E1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1.3 ± 0.2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439CB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4DC17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</w:t>
            </w:r>
          </w:p>
        </w:tc>
      </w:tr>
      <w:tr w14:paraId="13F3EE46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FB3A3FE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E72298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2"/>
                <w:sz w:val="21"/>
                <w:szCs w:val="21"/>
                <w:highlight w:val="none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1.3/T425G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85D56C8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0.4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9357C9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B66D76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0.4</w:t>
            </w:r>
          </w:p>
        </w:tc>
      </w:tr>
      <w:tr w14:paraId="762E3E5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5E4D22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6500B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1.3/S426T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6653AAE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0.5 ± 0.1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68BD62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5819DD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0.5</w:t>
            </w:r>
          </w:p>
        </w:tc>
      </w:tr>
      <w:tr w14:paraId="6EEDF090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2F2606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B60DF6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1.3/G427H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5FFE5E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166.9 ± 57.1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8BE7E30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3FDEB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158.4</w:t>
            </w:r>
          </w:p>
        </w:tc>
      </w:tr>
      <w:tr w14:paraId="09F1544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49B019C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15EA0D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1.3/H451R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D4C7ED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99.2 ± 30.8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8ABF1D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A5A63C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94.2</w:t>
            </w:r>
          </w:p>
        </w:tc>
      </w:tr>
      <w:tr w14:paraId="7F70F81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D1875D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E9FEEA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1.3/V453I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1967F4C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3.1 ± 1.0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6F2059F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D424C3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2.9</w:t>
            </w:r>
          </w:p>
        </w:tc>
      </w:tr>
      <w:tr w14:paraId="2B02CED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F935F04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F0F647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1.3/P424Q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2439DE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6.9 ± 2.8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38FDAE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FC68C3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6.6</w:t>
            </w:r>
          </w:p>
        </w:tc>
      </w:tr>
      <w:tr w14:paraId="5D1BE7FD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9309EFD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17DAE8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1.3/I455V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9FE782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3.6 ± 0.9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C19A03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9702F59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3.4</w:t>
            </w:r>
          </w:p>
        </w:tc>
      </w:tr>
      <w:tr w14:paraId="58CFE6B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FDF03C9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SFig</w:t>
            </w:r>
            <w:r>
              <w:rPr>
                <w:rFonts w:hint="eastAsia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.</w:t>
            </w:r>
            <w:r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9D</w:t>
            </w: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519C3D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1.5/H463G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1DE768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0"/>
                <w:sz w:val="21"/>
                <w:szCs w:val="21"/>
                <w:highlight w:val="none"/>
                <w:vertAlign w:val="baseline"/>
                <w:lang w:val="en-US" w:eastAsia="zh-CN" w:bidi="ar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66.9 ± 16.3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48BBF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C204C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kern w:val="2"/>
                <w:sz w:val="21"/>
                <w:szCs w:val="21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63.6</w:t>
            </w:r>
          </w:p>
        </w:tc>
      </w:tr>
      <w:tr w14:paraId="2677A33F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BEFAAA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5BAD7C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1.5/R487H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213883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50.4 ± 13.5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43D0A9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D152FB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47.8</w:t>
            </w:r>
          </w:p>
        </w:tc>
      </w:tr>
      <w:tr w14:paraId="197568F5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0F0FE3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D1BE95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1.5/I489V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62CC18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88.0 ± 15.9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E101E9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D43284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83.6</w:t>
            </w:r>
          </w:p>
        </w:tc>
      </w:tr>
      <w:tr w14:paraId="5B3AB042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D85995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7EAFF31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1.5/N459D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75493B5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95.0 ± 24.2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4829E6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B3D3BB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90.2</w:t>
            </w:r>
          </w:p>
        </w:tc>
      </w:tr>
      <w:tr w14:paraId="41D8C64A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DFB755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5A5BA4B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1.5/T462S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4940F38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147.0 ± 37.3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A7DBEEA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807DB6E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139.6</w:t>
            </w:r>
          </w:p>
        </w:tc>
      </w:tr>
      <w:tr w14:paraId="230CB8C7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04E54C0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535A785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1.5/Q460P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73425E39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73.4 ± 11.5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9CA66DD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66267767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69.6</w:t>
            </w:r>
          </w:p>
        </w:tc>
      </w:tr>
      <w:tr w14:paraId="08288B9C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379A91A8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0E8D66A4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1.5/G461T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5B29F07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107.0 ± 23.2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C69A29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C68D226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101.6</w:t>
            </w:r>
          </w:p>
        </w:tc>
      </w:tr>
      <w:tr w14:paraId="06EB7788">
        <w:tblPrEx>
          <w:tblBorders>
            <w:top w:val="single" w:color="auto" w:sz="4" w:space="0"/>
            <w:left w:val="none" w:color="auto" w:sz="12" w:space="0"/>
            <w:bottom w:val="single" w:color="auto" w:sz="4" w:space="0"/>
            <w:right w:val="none" w:color="auto" w:sz="1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582" w:type="pct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5EC4C3E5">
            <w:pPr>
              <w:snapToGrid w:val="0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1601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7F0DF08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left"/>
              <w:textAlignment w:val="bottom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K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vertAlign w:val="subscript"/>
                <w:lang w:val="en-US" w:eastAsia="zh-CN" w:bidi="ar"/>
              </w:rPr>
              <w:t>V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1.5/V491I</w:t>
            </w:r>
          </w:p>
        </w:tc>
        <w:tc>
          <w:tcPr>
            <w:tcW w:w="14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18E246A6">
            <w:pPr>
              <w:pStyle w:val="5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wordWrap/>
              <w:bidi w:val="0"/>
              <w:snapToGrid w:val="0"/>
              <w:spacing w:before="105" w:beforeAutospacing="0" w:after="105" w:afterAutospacing="0" w:line="240" w:lineRule="auto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Style w:val="10"/>
                <w:rFonts w:hint="default" w:ascii="Times New Roman" w:hAnsi="Times New Roman" w:eastAsia="等线" w:cs="Times New Roman"/>
                <w:i w:val="0"/>
                <w:iCs w:val="0"/>
                <w:caps w:val="0"/>
                <w:color w:val="auto"/>
                <w:spacing w:val="8"/>
                <w:sz w:val="21"/>
                <w:szCs w:val="21"/>
                <w:highlight w:val="none"/>
                <w:vertAlign w:val="baseline"/>
              </w:rPr>
              <w:t>82.0 ± 17.1</w:t>
            </w:r>
          </w:p>
        </w:tc>
        <w:tc>
          <w:tcPr>
            <w:tcW w:w="65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E097762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732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 w:val="0"/>
            <w:tcMar>
              <w:top w:w="-1" w:type="dxa"/>
              <w:left w:w="-1" w:type="dxa"/>
              <w:bottom w:w="-1" w:type="dxa"/>
              <w:right w:w="-1" w:type="dxa"/>
            </w:tcMar>
            <w:vAlign w:val="center"/>
          </w:tcPr>
          <w:p w14:paraId="2AEE085C">
            <w:pPr>
              <w:keepNext w:val="0"/>
              <w:keepLines w:val="0"/>
              <w:widowControl/>
              <w:suppressLineNumbers w:val="0"/>
              <w:snapToGrid w:val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Times New Roman" w:hAnsi="Times New Roman" w:eastAsia="等线" w:cs="Times New Roman"/>
                <w:b w:val="0"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1"/>
                <w:szCs w:val="21"/>
                <w:highlight w:val="none"/>
                <w:u w:val="none"/>
                <w:lang w:val="en-US" w:eastAsia="zh-CN" w:bidi="ar"/>
              </w:rPr>
              <w:t>77.8</w:t>
            </w:r>
          </w:p>
        </w:tc>
      </w:tr>
    </w:tbl>
    <w:p w14:paraId="15B4F931">
      <w:pPr>
        <w:spacing w:line="360" w:lineRule="auto"/>
        <w:rPr>
          <w:rFonts w:hint="default" w:ascii="Times New Roman" w:hAnsi="Times New Roman" w:cs="Times New Roman"/>
          <w:szCs w:val="21"/>
          <w:highlight w:val="none"/>
          <w:vertAlign w:val="superscript"/>
          <w:lang w:val="en-US" w:eastAsia="zh-CN"/>
        </w:rPr>
      </w:pPr>
      <w:r>
        <w:rPr>
          <w:rFonts w:hint="eastAsia" w:ascii="Times New Roman" w:hAnsi="Times New Roman"/>
          <w:highlight w:val="none"/>
          <w:vertAlign w:val="superscript"/>
        </w:rPr>
        <w:t>a</w:t>
      </w:r>
      <w:r>
        <w:rPr>
          <w:rFonts w:hint="eastAsia" w:ascii="Times New Roman" w:hAnsi="Times New Roman"/>
          <w:highlight w:val="none"/>
        </w:rPr>
        <w:t>Estimated from a simplified Hill equation; all other IC</w:t>
      </w:r>
      <w:r>
        <w:rPr>
          <w:rFonts w:hint="eastAsia" w:ascii="Times New Roman" w:hAnsi="Times New Roman"/>
          <w:highlight w:val="none"/>
          <w:vertAlign w:val="subscript"/>
        </w:rPr>
        <w:t>50</w:t>
      </w:r>
      <w:r>
        <w:rPr>
          <w:rFonts w:hint="eastAsia" w:ascii="Times New Roman" w:hAnsi="Times New Roman"/>
          <w:highlight w:val="none"/>
        </w:rPr>
        <w:t xml:space="preserve"> values were determined by fitting the concentration</w:t>
      </w:r>
      <w:r>
        <w:rPr>
          <w:rFonts w:hint="eastAsia" w:ascii="Times New Roman" w:hAnsi="Times New Roman"/>
          <w:highlight w:val="none"/>
          <w:lang w:val="en-US" w:eastAsia="zh-CN"/>
        </w:rPr>
        <w:t>-</w:t>
      </w:r>
      <w:r>
        <w:rPr>
          <w:rFonts w:hint="eastAsia" w:ascii="Times New Roman" w:hAnsi="Times New Roman"/>
          <w:highlight w:val="none"/>
        </w:rPr>
        <w:t>response curve.</w:t>
      </w:r>
    </w:p>
    <w:p w14:paraId="3BC7BEC8">
      <w:pPr>
        <w:spacing w:line="360" w:lineRule="auto"/>
        <w:rPr>
          <w:highlight w:val="none"/>
        </w:rPr>
      </w:pPr>
    </w:p>
    <w:p w14:paraId="390A794F">
      <w:pPr>
        <w:rPr>
          <w:rFonts w:ascii="Times New Roman" w:hAnsi="Times New Roman"/>
          <w:b/>
          <w:bCs/>
          <w:highlight w:val="none"/>
        </w:rPr>
      </w:pPr>
      <w:r>
        <w:rPr>
          <w:rFonts w:hint="eastAsia" w:ascii="Times New Roman" w:hAnsi="Times New Roman"/>
          <w:b/>
          <w:bCs/>
          <w:highlight w:val="none"/>
        </w:rPr>
        <w:t>Supplementary Tabl</w:t>
      </w:r>
      <w:r>
        <w:rPr>
          <w:rFonts w:ascii="Times New Roman" w:hAnsi="Times New Roman"/>
          <w:b/>
          <w:bCs/>
          <w:highlight w:val="none"/>
        </w:rPr>
        <w:t>e 2</w:t>
      </w:r>
    </w:p>
    <w:p w14:paraId="1DD5C22F">
      <w:pPr>
        <w:rPr>
          <w:rFonts w:ascii="Times New Roman" w:hAnsi="Times New Roman"/>
          <w:b w:val="0"/>
          <w:bCs w:val="0"/>
          <w:highlight w:val="none"/>
        </w:rPr>
      </w:pPr>
      <w:r>
        <w:rPr>
          <w:rFonts w:hint="default" w:ascii="Times New Roman" w:hAnsi="Times New Roman"/>
          <w:b w:val="0"/>
          <w:bCs w:val="0"/>
          <w:highlight w:val="none"/>
          <w:lang w:val="en-US"/>
        </w:rPr>
        <w:t>Statistical parameters in this study</w:t>
      </w:r>
    </w:p>
    <w:tbl>
      <w:tblPr>
        <w:tblStyle w:val="7"/>
        <w:tblW w:w="5130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2387"/>
        <w:gridCol w:w="2047"/>
        <w:gridCol w:w="3008"/>
      </w:tblGrid>
      <w:tr w14:paraId="571AFB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7E329B2">
            <w:pPr>
              <w:jc w:val="center"/>
              <w:rPr>
                <w:rFonts w:ascii="Times New Roman" w:hAnsi="Times New Roman"/>
                <w:b/>
                <w:bCs/>
                <w:szCs w:val="21"/>
              </w:rPr>
            </w:pPr>
            <w:r>
              <w:rPr>
                <w:rFonts w:ascii="Times New Roman" w:hAnsi="Times New Roman"/>
                <w:b/>
                <w:bCs/>
                <w:szCs w:val="21"/>
              </w:rPr>
              <w:t>Figure</w:t>
            </w:r>
          </w:p>
        </w:tc>
        <w:tc>
          <w:tcPr>
            <w:tcW w:w="2387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192E105A">
            <w:pPr>
              <w:jc w:val="center"/>
              <w:rPr>
                <w:rFonts w:ascii="Times New Roman" w:hAnsi="Times New Roman"/>
                <w:b/>
                <w:bCs/>
                <w:szCs w:val="21"/>
              </w:rPr>
            </w:pPr>
            <w:r>
              <w:rPr>
                <w:rFonts w:ascii="Times New Roman" w:hAnsi="Times New Roman"/>
                <w:b/>
                <w:bCs/>
                <w:szCs w:val="21"/>
              </w:rPr>
              <w:t>Analysis</w:t>
            </w:r>
          </w:p>
        </w:tc>
        <w:tc>
          <w:tcPr>
            <w:tcW w:w="2047" w:type="dxa"/>
            <w:tcBorders>
              <w:top w:val="single" w:color="auto" w:sz="4" w:space="0"/>
              <w:bottom w:val="single" w:color="auto" w:sz="4" w:space="0"/>
            </w:tcBorders>
            <w:shd w:val="clear" w:color="auto" w:fill="auto"/>
            <w:vAlign w:val="center"/>
          </w:tcPr>
          <w:p w14:paraId="063BD18A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szCs w:val="21"/>
              </w:rPr>
            </w:pPr>
            <w:r>
              <w:rPr>
                <w:rFonts w:ascii="Times New Roman" w:hAnsi="Times New Roman"/>
                <w:b/>
                <w:bCs/>
                <w:kern w:val="0"/>
                <w:szCs w:val="21"/>
                <w:lang w:bidi="ar"/>
              </w:rPr>
              <w:t>F</w:t>
            </w:r>
            <w:r>
              <w:rPr>
                <w:rFonts w:ascii="Times New Roman" w:hAnsi="Times New Roman"/>
                <w:b/>
                <w:bCs/>
                <w:kern w:val="0"/>
                <w:szCs w:val="21"/>
                <w:lang w:val="en-US" w:bidi="ar"/>
              </w:rPr>
              <w:t>,</w:t>
            </w:r>
            <w:r>
              <w:rPr>
                <w:rFonts w:hint="default" w:ascii="Times New Roman" w:hAnsi="Times New Roman"/>
                <w:b/>
                <w:bCs/>
                <w:kern w:val="0"/>
                <w:szCs w:val="21"/>
                <w:lang w:val="en-US" w:bidi="ar"/>
              </w:rPr>
              <w:t xml:space="preserve"> t, </w:t>
            </w:r>
            <w:r>
              <w:rPr>
                <w:rFonts w:ascii="Times New Roman" w:hAnsi="Times New Roman"/>
                <w:b/>
                <w:bCs/>
                <w:kern w:val="0"/>
                <w:szCs w:val="21"/>
                <w:lang w:bidi="ar"/>
              </w:rPr>
              <w:t>df</w:t>
            </w:r>
            <w:r>
              <w:rPr>
                <w:rFonts w:hint="default" w:ascii="Times New Roman" w:hAnsi="Times New Roman"/>
                <w:b/>
                <w:bCs/>
                <w:kern w:val="0"/>
                <w:szCs w:val="21"/>
                <w:lang w:val="en-US" w:bidi="ar"/>
              </w:rPr>
              <w:t xml:space="preserve">, p values </w:t>
            </w:r>
          </w:p>
        </w:tc>
        <w:tc>
          <w:tcPr>
            <w:tcW w:w="3008" w:type="dxa"/>
            <w:tcBorders>
              <w:top w:val="single" w:color="auto" w:sz="4" w:space="0"/>
              <w:bottom w:val="single" w:color="auto" w:sz="4" w:space="0"/>
            </w:tcBorders>
            <w:shd w:val="clear" w:color="auto" w:fill="auto"/>
            <w:vAlign w:val="center"/>
          </w:tcPr>
          <w:p w14:paraId="2038553E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szCs w:val="21"/>
              </w:rPr>
            </w:pPr>
            <w:r>
              <w:rPr>
                <w:rFonts w:ascii="Times New Roman" w:hAnsi="Times New Roman"/>
                <w:b/>
                <w:bCs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b/>
                <w:bCs/>
                <w:kern w:val="0"/>
                <w:szCs w:val="21"/>
                <w:lang w:bidi="ar"/>
              </w:rPr>
              <w:t xml:space="preserve"> value</w:t>
            </w:r>
          </w:p>
        </w:tc>
      </w:tr>
      <w:tr w14:paraId="495A2F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restart"/>
            <w:tcBorders>
              <w:top w:val="single" w:color="auto" w:sz="4" w:space="0"/>
            </w:tcBorders>
            <w:shd w:val="clear" w:color="auto" w:fill="auto"/>
            <w:vAlign w:val="center"/>
          </w:tcPr>
          <w:p w14:paraId="094C232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Fig.1E</w:t>
            </w:r>
          </w:p>
        </w:tc>
        <w:tc>
          <w:tcPr>
            <w:tcW w:w="2387" w:type="dxa"/>
            <w:vMerge w:val="restart"/>
            <w:tcBorders>
              <w:top w:val="single" w:color="auto" w:sz="4" w:space="0"/>
            </w:tcBorders>
            <w:shd w:val="clear" w:color="auto" w:fill="auto"/>
            <w:vAlign w:val="center"/>
          </w:tcPr>
          <w:p w14:paraId="4A0F57B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 w14:paraId="5E033F9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19.54;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  <w:p w14:paraId="53834CE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3008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 w14:paraId="4E9DA09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 2: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=0.0184;  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6BC6A36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648913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90D13E2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5E4DF6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(2, 18) = 4.704;</w:t>
            </w:r>
          </w:p>
          <w:p w14:paraId="4149E1F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=0.0227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93F3522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 3: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=0.4022;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=0.0131</w:t>
            </w:r>
          </w:p>
        </w:tc>
      </w:tr>
      <w:tr w14:paraId="7E6E89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4228F8D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0FBB88F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9C9B1E6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(2, 18) = 22.63;</w:t>
            </w:r>
          </w:p>
          <w:p w14:paraId="140E3EA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196CF7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 4: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=0.0042;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B692B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F764E2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61DBE6B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E6274E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(2, 18) = 11.91;</w:t>
            </w:r>
          </w:p>
          <w:p w14:paraId="0DE655E3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=0.0005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B8E125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Day5: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=0.0031;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=0.0004</w:t>
            </w:r>
          </w:p>
        </w:tc>
      </w:tr>
      <w:tr w14:paraId="2869F0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65D396F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D7FADD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5C0F83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(2, 18) = 18.06;</w:t>
            </w:r>
          </w:p>
          <w:p w14:paraId="6C2F14E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CD1D6B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Day6: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722CAF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3ED7E1C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25F60B8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B76BF1E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19.72;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1A0DD3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Day7: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17B860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74C3B63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2EF42922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2059272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20.75;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9244CC3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Day8: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=0.0004;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BFAAD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ACE12E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78148C57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181E1E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48.89;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&lt; 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221591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Day 9: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IMQ+PAP-1, </w:t>
            </w:r>
            <w:r>
              <w:rPr>
                <w:rFonts w:ascii="Times New Roman" w:hAnsi="Times New Roman"/>
                <w:i w:val="0"/>
                <w:iCs w:val="0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43E4F5E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328520A0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Fig.1F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4AFE09B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0665273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(3, 24) = 38.69;</w:t>
            </w:r>
          </w:p>
          <w:p w14:paraId="669FE7B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9FE7216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bookmarkStart w:id="1" w:name="OLE_LINK5"/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Normal,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bookmarkEnd w:id="1"/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=0.0070</w:t>
            </w:r>
          </w:p>
        </w:tc>
      </w:tr>
      <w:tr w14:paraId="787464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38A79F2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Fig.1G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09B478B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5562CBB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(3, 24) = 22.22;</w:t>
            </w:r>
          </w:p>
          <w:p w14:paraId="6DD1F55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E63636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Normal,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&lt;0.0001;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I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65D333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6C101B49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Fig.2E</w:t>
            </w:r>
          </w:p>
        </w:tc>
        <w:tc>
          <w:tcPr>
            <w:tcW w:w="2387" w:type="dxa"/>
            <w:vAlign w:val="center"/>
          </w:tcPr>
          <w:p w14:paraId="7556A78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Tukey's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5852C5B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 (2, 23) = 42.22;</w:t>
            </w:r>
          </w:p>
          <w:p w14:paraId="4F4FD0F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23D8E6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=0.3620;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Open&amp;Inactivated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Inactivated state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Open&amp;Inactivated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86B02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72B5469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Fig.2F</w:t>
            </w:r>
          </w:p>
        </w:tc>
        <w:tc>
          <w:tcPr>
            <w:tcW w:w="2387" w:type="dxa"/>
            <w:vAlign w:val="center"/>
          </w:tcPr>
          <w:p w14:paraId="67095EE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Tukey's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37BD423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23) = 243.3;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D0E1C98">
            <w:pPr>
              <w:widowControl/>
              <w:jc w:val="center"/>
              <w:textAlignment w:val="center"/>
              <w:rPr>
                <w:rFonts w:hint="eastAsia" w:ascii="Times New Roman" w:hAnsi="Times New Roman" w:eastAsia="宋体"/>
                <w:kern w:val="0"/>
                <w:szCs w:val="21"/>
                <w:lang w:eastAsia="zh-CN"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Open&amp;Inactivated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Inactivated state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Open&amp;Inactivated state,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=0.8153</w:t>
            </w:r>
          </w:p>
        </w:tc>
      </w:tr>
      <w:tr w14:paraId="068212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409D621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  <w:highlight w:val="none"/>
              </w:rPr>
            </w:pP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Fig.2K(right upper panel)</w:t>
            </w:r>
          </w:p>
        </w:tc>
        <w:tc>
          <w:tcPr>
            <w:tcW w:w="2387" w:type="dxa"/>
            <w:vAlign w:val="center"/>
          </w:tcPr>
          <w:p w14:paraId="2E20D65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  <w:highlight w:val="none"/>
              </w:rPr>
            </w:pP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ratio </w:t>
            </w:r>
            <w:bookmarkStart w:id="2" w:name="OLE_LINK6"/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paired t test</w:t>
            </w:r>
            <w:bookmarkEnd w:id="2"/>
          </w:p>
        </w:tc>
        <w:tc>
          <w:tcPr>
            <w:tcW w:w="2047" w:type="dxa"/>
            <w:shd w:val="clear" w:color="auto" w:fill="auto"/>
            <w:vAlign w:val="center"/>
          </w:tcPr>
          <w:p w14:paraId="6958CA2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+40 mV: t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 w:bidi="ar"/>
              </w:rPr>
              <w:t xml:space="preserve"> (5)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=14.56; 0 mV: t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 w:bidi="ar"/>
              </w:rPr>
              <w:t xml:space="preserve"> (5)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=7.536; -30 mV: t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val="en-US" w:eastAsia="zh-CN" w:bidi="ar"/>
              </w:rPr>
              <w:t xml:space="preserve"> (5)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=4.722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162309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+40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highlight w:val="none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 20 µM MPiN, 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eastAsia="zh-CN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&lt;0.0001; 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highlight w:val="none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 20 µM MPiN, 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eastAsia="zh-CN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=0.0007; -30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highlight w:val="none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 xml:space="preserve"> 20 µM MPiN, </w:t>
            </w:r>
            <w:r>
              <w:rPr>
                <w:rFonts w:hint="eastAsia" w:ascii="Times New Roman" w:hAnsi="Times New Roman"/>
                <w:kern w:val="0"/>
                <w:szCs w:val="21"/>
                <w:highlight w:val="none"/>
                <w:lang w:eastAsia="zh-CN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highlight w:val="none"/>
                <w:lang w:bidi="ar"/>
              </w:rPr>
              <w:t>=0.0052</w:t>
            </w:r>
          </w:p>
        </w:tc>
      </w:tr>
      <w:tr w14:paraId="60FAFD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352C19A5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Fig.2K(right lower panel)</w:t>
            </w:r>
          </w:p>
        </w:tc>
        <w:tc>
          <w:tcPr>
            <w:tcW w:w="2387" w:type="dxa"/>
            <w:vAlign w:val="center"/>
          </w:tcPr>
          <w:p w14:paraId="0AEE38E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ratio 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44147EF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</w:t>
            </w:r>
            <w:r>
              <w:rPr>
                <w:rFonts w:hint="eastAsia" w:ascii="Times New Roman" w:hAnsi="Times New Roman"/>
                <w:kern w:val="0"/>
                <w:szCs w:val="21"/>
                <w:lang w:val="en-US" w:eastAsia="zh-CN" w:bidi="ar"/>
              </w:rPr>
              <w:t>(5)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=0.09403; 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=2.604; -30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=5.050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11BE3F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=0.9287; 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=0.0480; -30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=0.0039</w:t>
            </w:r>
          </w:p>
        </w:tc>
      </w:tr>
      <w:tr w14:paraId="7D61DA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71B15C86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Fig.4K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104B1FB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Welch ANOVA with Dunnett's T3 multiple comparisons test</w:t>
            </w:r>
          </w:p>
          <w:p w14:paraId="3D4F7AB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05D3DF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W (2.0, 12.80) = 15.30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; 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=0.0004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434ECF1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+50 mV: Ctrl(-MTSET/-DTT)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+MTSET/-DTT,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=0.0071; Ctrl(-MTSET/-DTT)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+MTSET/+DTT,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=0.9941; +MTSET/-DTT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+MTSET/+DTT,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=0.0086</w:t>
            </w:r>
          </w:p>
        </w:tc>
      </w:tr>
      <w:tr w14:paraId="7A47C6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restart"/>
            <w:shd w:val="clear" w:color="auto" w:fill="auto"/>
            <w:vAlign w:val="center"/>
          </w:tcPr>
          <w:p w14:paraId="5FDD0E1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SFig.3C</w:t>
            </w:r>
          </w:p>
        </w:tc>
        <w:tc>
          <w:tcPr>
            <w:tcW w:w="2387" w:type="dxa"/>
            <w:vMerge w:val="restart"/>
            <w:shd w:val="clear" w:color="auto" w:fill="auto"/>
            <w:vAlign w:val="center"/>
          </w:tcPr>
          <w:p w14:paraId="5DAE145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5B77EAA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0.1875;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=0.8306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724C2D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1: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0.8187;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&gt;0.9999</w:t>
            </w:r>
          </w:p>
        </w:tc>
      </w:tr>
      <w:tr w14:paraId="6E7011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EBEA46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351F15B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CD3254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5.600;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=0.0129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F3CC90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2: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0.4568;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=0.0077</w:t>
            </w:r>
          </w:p>
        </w:tc>
      </w:tr>
      <w:tr w14:paraId="484261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353AC41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825DD4A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E877FC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3.308;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=0.0598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D6A443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3: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0.1004;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=0.0521</w:t>
            </w:r>
          </w:p>
        </w:tc>
      </w:tr>
      <w:tr w14:paraId="270A6A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406A200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214603C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2C2E2B5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6.882;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=0.0060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1DF939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4: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0.0352;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=0.0039</w:t>
            </w:r>
          </w:p>
        </w:tc>
      </w:tr>
      <w:tr w14:paraId="27A4DE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3C8F10E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067CEB8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250FE26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11.95;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=0.0005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43C394B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5: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0.0193;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=0.0003</w:t>
            </w:r>
          </w:p>
        </w:tc>
      </w:tr>
      <w:tr w14:paraId="281F38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B7E5F76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B841561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423AF96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6.650;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=0.0069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6B60E16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6: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0.0438;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=0.0042</w:t>
            </w:r>
          </w:p>
        </w:tc>
      </w:tr>
      <w:tr w14:paraId="636D2B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3D186866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34592D8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188DF93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9.904;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=0.0013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5C7D71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7: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0.0017;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=0.0029</w:t>
            </w:r>
          </w:p>
        </w:tc>
      </w:tr>
      <w:tr w14:paraId="64B8C07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644FEC5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026127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7BD245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11.15;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76A628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8: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0.0104;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=0.0004</w:t>
            </w:r>
          </w:p>
        </w:tc>
      </w:tr>
      <w:tr w14:paraId="354829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4CFF93A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71D6992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8FABFB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14.39;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=0.0002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A589F2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9: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0.0040;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=0.0001</w:t>
            </w:r>
          </w:p>
        </w:tc>
      </w:tr>
      <w:tr w14:paraId="70B322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72F43932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SFig.3D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24C5E281">
            <w:pPr>
              <w:widowControl/>
              <w:jc w:val="center"/>
              <w:textAlignment w:val="bottom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Tukey's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2791F05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(3, 24) = 41.68,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E7CAC9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Normal,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&lt;0.0001;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0.0030;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=0.0026</w:t>
            </w:r>
          </w:p>
        </w:tc>
      </w:tr>
      <w:tr w14:paraId="261C1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restart"/>
            <w:shd w:val="clear" w:color="auto" w:fill="auto"/>
            <w:vAlign w:val="center"/>
          </w:tcPr>
          <w:p w14:paraId="47A79960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SFig.3E</w:t>
            </w:r>
          </w:p>
        </w:tc>
        <w:tc>
          <w:tcPr>
            <w:tcW w:w="2387" w:type="dxa"/>
            <w:vMerge w:val="restart"/>
            <w:shd w:val="clear" w:color="auto" w:fill="auto"/>
            <w:vAlign w:val="center"/>
          </w:tcPr>
          <w:p w14:paraId="1A77D32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5760E0E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1.313;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=0.2937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280D86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2: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0.4777;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=0.2199</w:t>
            </w:r>
          </w:p>
        </w:tc>
      </w:tr>
      <w:tr w14:paraId="33E6DD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5783152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5A23D1A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7089BB8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2.581;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=0.1034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21271A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3: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0.3478;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=0.0652</w:t>
            </w:r>
          </w:p>
        </w:tc>
      </w:tr>
      <w:tr w14:paraId="415466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2D768A5B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6C9F75F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4C94C4F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1.357;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=0.2825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CB5EAA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4: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0.7412;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=0.2039</w:t>
            </w:r>
          </w:p>
        </w:tc>
      </w:tr>
      <w:tr w14:paraId="5806AA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3FEFFFA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7928786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02FE7F7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2.516;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=0.1087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1F3E2E8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5: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0.0805; IMQ+Saline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 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=0.2109</w:t>
            </w:r>
          </w:p>
        </w:tc>
      </w:tr>
      <w:tr w14:paraId="652BFA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61BD761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0FF6772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001760E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5.793;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=0.0114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859C20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6: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0.0068;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=0.0699</w:t>
            </w:r>
          </w:p>
        </w:tc>
      </w:tr>
      <w:tr w14:paraId="56D0E1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99D827A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5D10F56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2954C90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4.336;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=0.0290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0F3F32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7: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0.0310;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=0.0444</w:t>
            </w:r>
          </w:p>
        </w:tc>
      </w:tr>
      <w:tr w14:paraId="4D653B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80DBA8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24A9B08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48F437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8.704;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=0.0023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DF5009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8: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</w:rPr>
              <w:t>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0.0093;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=0.0019</w:t>
            </w:r>
          </w:p>
        </w:tc>
      </w:tr>
      <w:tr w14:paraId="14C4BC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5A30227E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308332E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10759A7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45.78;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4703033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9: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4E1F9C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restart"/>
            <w:shd w:val="clear" w:color="auto" w:fill="auto"/>
            <w:vAlign w:val="center"/>
          </w:tcPr>
          <w:p w14:paraId="6BA3289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SFig.3F</w:t>
            </w:r>
          </w:p>
        </w:tc>
        <w:tc>
          <w:tcPr>
            <w:tcW w:w="2387" w:type="dxa"/>
            <w:vMerge w:val="restart"/>
            <w:shd w:val="clear" w:color="auto" w:fill="auto"/>
            <w:vAlign w:val="center"/>
          </w:tcPr>
          <w:p w14:paraId="23872880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3E5CD65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9.000;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=0.0020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0D77CF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2: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=0.0858;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=0.0010</w:t>
            </w:r>
          </w:p>
        </w:tc>
      </w:tr>
      <w:tr w14:paraId="5BF41E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B8C74E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771561D4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27E4FB9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1.387;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=0.2753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7ADC30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3: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=0.3350;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=0.2389</w:t>
            </w:r>
          </w:p>
        </w:tc>
      </w:tr>
      <w:tr w14:paraId="6677BC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5FB0DF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B8008D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73147C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9.270;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95B089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4: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=0.0240;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=0.0010</w:t>
            </w:r>
          </w:p>
        </w:tc>
      </w:tr>
      <w:tr w14:paraId="1BE84D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6CAC1FD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41CA862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EE7E5B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10.52;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=0.0009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E1E972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5: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=0.0032; IMQ+Saline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 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=0.0010</w:t>
            </w:r>
          </w:p>
        </w:tc>
      </w:tr>
      <w:tr w14:paraId="78EB81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60AFD1F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653AB70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169DFB8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15.44;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B18C65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6: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=0.0014;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E2A9D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6D249E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7EAD12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604660D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21.37;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4C70B01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7: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463EFD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4A46DC5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37F970AB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126361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20.18;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8C8374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8: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=0.0002;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41D84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2AC5AFBE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58A4E26E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8F3E60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35.88;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C0CD92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9: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09D8AD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restart"/>
            <w:shd w:val="clear" w:color="auto" w:fill="auto"/>
            <w:vAlign w:val="center"/>
          </w:tcPr>
          <w:p w14:paraId="009D4D4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SFig.3G</w:t>
            </w:r>
          </w:p>
        </w:tc>
        <w:tc>
          <w:tcPr>
            <w:tcW w:w="2387" w:type="dxa"/>
            <w:vMerge w:val="restart"/>
            <w:shd w:val="clear" w:color="auto" w:fill="auto"/>
            <w:vAlign w:val="center"/>
          </w:tcPr>
          <w:p w14:paraId="4D52F78B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3D04263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11.16;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444D84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2: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=0.1843;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=0.0004</w:t>
            </w:r>
          </w:p>
        </w:tc>
      </w:tr>
      <w:tr w14:paraId="5D273C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26C4818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A5F3CA8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2E53C72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6.836;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=0.0062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ECA7B4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3: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=0.6351;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=0.0045</w:t>
            </w:r>
          </w:p>
        </w:tc>
      </w:tr>
      <w:tr w14:paraId="1966F1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5CEB9E7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09E8E0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9B2884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25.93;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DCD15A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4: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=0.0039;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67E33D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6E1A9A3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16A75189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E5BBFD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11.08;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D9F9B7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5: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=0.0070;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=0.0005</w:t>
            </w:r>
          </w:p>
        </w:tc>
      </w:tr>
      <w:tr w14:paraId="7AA4FC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0C9C1635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651DBE8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0CC9700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2.774;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=0.0891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41200C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6: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=0.5959;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=0.0572</w:t>
            </w:r>
          </w:p>
        </w:tc>
      </w:tr>
      <w:tr w14:paraId="39574B4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124A43E0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027CC9E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754D042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23.25;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4583996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7: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44C1A7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2DAC412B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26FD796C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1B658E3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18.12;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E42219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8: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=0.0066;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31DFB5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Merge w:val="continue"/>
            <w:vAlign w:val="center"/>
          </w:tcPr>
          <w:p w14:paraId="43069C8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Merge w:val="continue"/>
            <w:vAlign w:val="center"/>
          </w:tcPr>
          <w:p w14:paraId="7A0F107D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3DBC6E9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(2, 18) = 25.07;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8137D5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</w:rPr>
              <w:t xml:space="preserve">Day 9: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IMQ+PAP-1,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=0.0001; IMQ+Saline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IMQ+MPiN,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</w:tr>
      <w:tr w14:paraId="2202DF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5F8E7F48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SFig.5C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45E016D8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Tukey's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0498C79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(5, 36) = 0.2704,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=0.9263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E622C2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+ 10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+ 20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=0.9986; + 10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+ 30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=0.9911; + 10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+ 40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=0.9701; + 10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+ 50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=0.9384; + 10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+ 60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=0.9225; + 20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+ 30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&gt;0.9999; + 20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+ 40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=0.9989; + 20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+ 50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=0.9948; + 20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+ 60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=0.9918; + 30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+ 40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&gt;0.9999;+ 30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+ 50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 0.9994; + 30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+ 60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=0.9988; + 40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+ 50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&gt;0.9999; + 40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+ 60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&gt;0.9999; + 50 mV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+ 60 mV,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&gt;0.9999</w:t>
            </w:r>
          </w:p>
        </w:tc>
      </w:tr>
      <w:tr w14:paraId="07AA82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7DDF7712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SFig.5D(left panel)</w:t>
            </w:r>
          </w:p>
        </w:tc>
        <w:tc>
          <w:tcPr>
            <w:tcW w:w="2387" w:type="dxa"/>
            <w:vAlign w:val="center"/>
          </w:tcPr>
          <w:p w14:paraId="700C6F19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62814DA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val="en-US" w:bidi="ar"/>
              </w:rPr>
              <w:t>t (5)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>=3.313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BF12F6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V</w:t>
            </w:r>
            <w:r>
              <w:rPr>
                <w:rFonts w:ascii="Times New Roman" w:hAnsi="Times New Roman"/>
                <w:kern w:val="0"/>
                <w:szCs w:val="21"/>
                <w:vertAlign w:val="subscript"/>
                <w:lang w:bidi="ar"/>
              </w:rPr>
              <w:t>a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 xml:space="preserve">: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5 µM MPiN,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val="en-US" w:bidi="ar"/>
              </w:rPr>
              <w:t>p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>=0.0212</w:t>
            </w:r>
          </w:p>
        </w:tc>
      </w:tr>
      <w:tr w14:paraId="42BAAD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6281910E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SFig.5D(right panel)</w:t>
            </w:r>
          </w:p>
        </w:tc>
        <w:tc>
          <w:tcPr>
            <w:tcW w:w="2387" w:type="dxa"/>
            <w:vAlign w:val="center"/>
          </w:tcPr>
          <w:p w14:paraId="29E3119F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7CB61A6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>t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val="en-US" w:bidi="ar"/>
              </w:rPr>
              <w:t xml:space="preserve"> (5)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>=1.848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39FE598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K</w:t>
            </w:r>
            <w:r>
              <w:rPr>
                <w:rFonts w:ascii="Times New Roman" w:hAnsi="Times New Roman"/>
                <w:kern w:val="0"/>
                <w:szCs w:val="21"/>
                <w:vertAlign w:val="subscript"/>
                <w:lang w:bidi="ar"/>
              </w:rPr>
              <w:t>a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 xml:space="preserve">: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5 µM MPiN,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val="en-US" w:bidi="ar"/>
              </w:rPr>
              <w:t>p</w:t>
            </w:r>
            <w:r>
              <w:rPr>
                <w:rStyle w:val="16"/>
                <w:rFonts w:hint="default" w:ascii="Times New Roman" w:hAnsi="Times New Roman" w:cs="Times New Roman"/>
                <w:color w:val="auto"/>
                <w:sz w:val="21"/>
                <w:szCs w:val="21"/>
                <w:lang w:bidi="ar"/>
              </w:rPr>
              <w:t>=0.1239</w:t>
            </w:r>
          </w:p>
        </w:tc>
      </w:tr>
      <w:tr w14:paraId="3062C0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2B84A003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387" w:type="dxa"/>
            <w:vAlign w:val="center"/>
          </w:tcPr>
          <w:p w14:paraId="70AC2C7F">
            <w:pPr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2047" w:type="dxa"/>
            <w:shd w:val="clear" w:color="auto" w:fill="auto"/>
            <w:vAlign w:val="center"/>
          </w:tcPr>
          <w:p w14:paraId="5EE8D103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</w:p>
        </w:tc>
        <w:tc>
          <w:tcPr>
            <w:tcW w:w="3008" w:type="dxa"/>
            <w:shd w:val="clear" w:color="auto" w:fill="auto"/>
            <w:vAlign w:val="center"/>
          </w:tcPr>
          <w:p w14:paraId="2E5BF45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</w:p>
        </w:tc>
      </w:tr>
      <w:tr w14:paraId="042F13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2517216C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SFig.5G(left panel)</w:t>
            </w:r>
          </w:p>
        </w:tc>
        <w:tc>
          <w:tcPr>
            <w:tcW w:w="2387" w:type="dxa"/>
            <w:vAlign w:val="center"/>
          </w:tcPr>
          <w:p w14:paraId="31CF02C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5EA690E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t (20)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=2.211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18F629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V</w:t>
            </w:r>
            <w:r>
              <w:rPr>
                <w:rFonts w:ascii="Times New Roman" w:hAnsi="Times New Roman"/>
                <w:kern w:val="0"/>
                <w:szCs w:val="21"/>
                <w:vertAlign w:val="subscript"/>
                <w:lang w:bidi="ar"/>
              </w:rPr>
              <w:t>a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</w:t>
            </w:r>
            <w:r>
              <w:rPr>
                <w:rFonts w:ascii="Times New Roman" w:hAnsi="Times New Roman"/>
                <w:kern w:val="0"/>
                <w:szCs w:val="21"/>
              </w:rPr>
              <w:t>0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µM MPiN,</w:t>
            </w:r>
          </w:p>
          <w:p w14:paraId="33B38E6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=0.0389</w:t>
            </w:r>
          </w:p>
        </w:tc>
      </w:tr>
      <w:tr w14:paraId="79018B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58B1831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SFig.5G(right panel)</w:t>
            </w:r>
          </w:p>
        </w:tc>
        <w:tc>
          <w:tcPr>
            <w:tcW w:w="2387" w:type="dxa"/>
            <w:vAlign w:val="center"/>
          </w:tcPr>
          <w:p w14:paraId="2EFCBE72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1EBD993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t (20)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=0.7034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113B41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K</w:t>
            </w:r>
            <w:r>
              <w:rPr>
                <w:rFonts w:ascii="Times New Roman" w:hAnsi="Times New Roman"/>
                <w:kern w:val="0"/>
                <w:szCs w:val="21"/>
                <w:vertAlign w:val="subscript"/>
                <w:lang w:bidi="ar"/>
              </w:rPr>
              <w:t>a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2</w:t>
            </w:r>
            <w:r>
              <w:rPr>
                <w:rFonts w:ascii="Times New Roman" w:hAnsi="Times New Roman"/>
                <w:kern w:val="0"/>
                <w:szCs w:val="21"/>
              </w:rPr>
              <w:t>0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µM MPiN,</w:t>
            </w:r>
          </w:p>
          <w:p w14:paraId="54FDC30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=0.4899</w:t>
            </w:r>
          </w:p>
        </w:tc>
      </w:tr>
      <w:tr w14:paraId="0777F0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7B7925C2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SFig.5H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7E406A0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4347730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Activation: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=0.8693; Deactivation: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=0.4247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5CF1CC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Activation: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=0.4181; Deactivation: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=0.6859</w:t>
            </w:r>
          </w:p>
        </w:tc>
      </w:tr>
      <w:tr w14:paraId="5F2B90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6EE0B8C7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SFig.6A</w:t>
            </w:r>
          </w:p>
        </w:tc>
        <w:tc>
          <w:tcPr>
            <w:tcW w:w="2387" w:type="dxa"/>
            <w:vAlign w:val="center"/>
          </w:tcPr>
          <w:p w14:paraId="2BD4F319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3B6D9975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=2.294;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=2.605;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=2.661;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(15)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=2.571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07B932D0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200 pM ShK,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=0.0367;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pM ShK,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=0.0199;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pM ShK,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=0.0178;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pM ShK,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=0.0213</w:t>
            </w:r>
          </w:p>
        </w:tc>
      </w:tr>
      <w:tr w14:paraId="7E5FF5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0F78C76C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SFig.6B</w:t>
            </w:r>
          </w:p>
        </w:tc>
        <w:tc>
          <w:tcPr>
            <w:tcW w:w="2387" w:type="dxa"/>
            <w:vAlign w:val="center"/>
          </w:tcPr>
          <w:p w14:paraId="2160950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6CABBC3F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=2.894;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=3.145;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=3.218;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=3.232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F4606A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350 nM 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=0.0097;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350 nM 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=0.0056;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350 nM PAP-1，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=0.0048;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350 nM PAP-1,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=0.0046</w:t>
            </w:r>
          </w:p>
        </w:tc>
      </w:tr>
      <w:tr w14:paraId="6DF94B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33183CE0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SFig.6C</w:t>
            </w:r>
          </w:p>
        </w:tc>
        <w:tc>
          <w:tcPr>
            <w:tcW w:w="2387" w:type="dxa"/>
            <w:vAlign w:val="center"/>
          </w:tcPr>
          <w:p w14:paraId="5FB5353C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739A497D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=2.465;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=2.832;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=3.003;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=3.052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9188E6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10 nM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=0.0273;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nM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=0.0133;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10 nM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=0.0095;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nM ADWX-1;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=0.0086</w:t>
            </w:r>
          </w:p>
        </w:tc>
      </w:tr>
      <w:tr w14:paraId="02091A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133B32BE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SFig.6D</w:t>
            </w:r>
          </w:p>
        </w:tc>
        <w:tc>
          <w:tcPr>
            <w:tcW w:w="2387" w:type="dxa"/>
            <w:vAlign w:val="center"/>
          </w:tcPr>
          <w:p w14:paraId="747644F0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23974DCE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=3.850;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=3.927;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=3.703; +60 mV;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=3.458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5BC7D85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 xml:space="preserve">vs 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200 µM Verapamil,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=0.0012;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µM Verapamil,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=0.0010;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µM Verapamil,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=0.0016;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200 µM Verapamil,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=0.0028</w:t>
            </w:r>
          </w:p>
        </w:tc>
      </w:tr>
      <w:tr w14:paraId="58BCDD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5879BF0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SFig.6E</w:t>
            </w:r>
          </w:p>
        </w:tc>
        <w:tc>
          <w:tcPr>
            <w:tcW w:w="2387" w:type="dxa"/>
            <w:vAlign w:val="center"/>
          </w:tcPr>
          <w:p w14:paraId="37906A6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0EBF7F8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=3.718;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=4.124;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=4.078;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=4.050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2728E76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25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=0.0019;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25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=0.0008;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25 mM TEA-Cl，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=0.0009;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25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=0.0009</w:t>
            </w:r>
          </w:p>
        </w:tc>
      </w:tr>
      <w:tr w14:paraId="6A861B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12C7D8EA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SFig.6F</w:t>
            </w:r>
          </w:p>
        </w:tc>
        <w:tc>
          <w:tcPr>
            <w:tcW w:w="2387" w:type="dxa"/>
            <w:vAlign w:val="center"/>
          </w:tcPr>
          <w:p w14:paraId="5FA76946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76BE3ABC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=3.092;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=3.870;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=4.115;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(14)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=4.187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1A303B0B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=0.0080;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mM TEA-Cl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, 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=0.0017;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=0.0011;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mM TEA-Cl,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=0.0009</w:t>
            </w:r>
          </w:p>
        </w:tc>
      </w:tr>
      <w:tr w14:paraId="0F43B6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vAlign w:val="center"/>
          </w:tcPr>
          <w:p w14:paraId="5EF94CB1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SFig.6I</w:t>
            </w:r>
          </w:p>
        </w:tc>
        <w:tc>
          <w:tcPr>
            <w:tcW w:w="2387" w:type="dxa"/>
            <w:vAlign w:val="center"/>
          </w:tcPr>
          <w:p w14:paraId="095743C9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13A92BA7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=3.235;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=4.262;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=2.742; +60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(18)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=3.094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38196192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=0.0046;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=0.0005;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µM MPiN,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=0.0134;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10 µM MPiN，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=0.0063</w:t>
            </w:r>
          </w:p>
        </w:tc>
      </w:tr>
      <w:tr w14:paraId="5A6333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10D2CBE6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SFig.12E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2BB6B6BD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one-way ANOVA with post-hoc Dunnett's multiple comparisons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68753C69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F (14, 66) = 34.68,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6A384F01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F306A,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=0.0699;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I402A,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=0.5930;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F403A,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=0.0103;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V409A/I410A,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V416A,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=0.6494;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A419C,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=0.8321;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G427A,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D433A,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&lt;0.0001;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A434C,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=0.9999;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F435A,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=0.9996;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G456A,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=0.9996;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S462A,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=0.8181;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A465C,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p=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0.9995; WT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L474A,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=0.3150</w:t>
            </w:r>
          </w:p>
        </w:tc>
      </w:tr>
      <w:tr w14:paraId="1B060F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80" w:type="dxa"/>
            <w:shd w:val="clear" w:color="auto" w:fill="auto"/>
            <w:vAlign w:val="center"/>
          </w:tcPr>
          <w:p w14:paraId="3F62FA76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SFig.13A</w:t>
            </w:r>
          </w:p>
        </w:tc>
        <w:tc>
          <w:tcPr>
            <w:tcW w:w="2387" w:type="dxa"/>
            <w:shd w:val="clear" w:color="auto" w:fill="auto"/>
            <w:vAlign w:val="center"/>
          </w:tcPr>
          <w:p w14:paraId="4F963BE4">
            <w:pPr>
              <w:widowControl/>
              <w:jc w:val="center"/>
              <w:textAlignment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unpaired t test</w:t>
            </w:r>
          </w:p>
        </w:tc>
        <w:tc>
          <w:tcPr>
            <w:tcW w:w="2047" w:type="dxa"/>
            <w:shd w:val="clear" w:color="auto" w:fill="auto"/>
            <w:vAlign w:val="center"/>
          </w:tcPr>
          <w:p w14:paraId="7338B7CA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>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=3.891,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=0.0013; +20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=4.028; +40 mV: 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=3.858; +60 mV：t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 xml:space="preserve"> (16)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=3.628</w:t>
            </w:r>
          </w:p>
        </w:tc>
        <w:tc>
          <w:tcPr>
            <w:tcW w:w="3008" w:type="dxa"/>
            <w:shd w:val="clear" w:color="auto" w:fill="auto"/>
            <w:vAlign w:val="center"/>
          </w:tcPr>
          <w:p w14:paraId="760DC3D4">
            <w:pPr>
              <w:widowControl/>
              <w:jc w:val="center"/>
              <w:textAlignment w:val="center"/>
              <w:rPr>
                <w:rFonts w:ascii="Times New Roman" w:hAnsi="Times New Roman"/>
                <w:kern w:val="0"/>
                <w:szCs w:val="21"/>
                <w:lang w:bidi="ar"/>
              </w:rPr>
            </w:pP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=0.0013; + 20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=0.0010; + 40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ADWX-1,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=0.0014; + 60 mV: Ctrl </w:t>
            </w:r>
            <w:r>
              <w:rPr>
                <w:rFonts w:ascii="Times New Roman" w:hAnsi="Times New Roman"/>
                <w:i/>
                <w:iCs/>
                <w:kern w:val="0"/>
                <w:szCs w:val="21"/>
                <w:lang w:bidi="ar"/>
              </w:rPr>
              <w:t>vs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 xml:space="preserve"> 1 µM ADWX-1; </w:t>
            </w:r>
            <w:r>
              <w:rPr>
                <w:rFonts w:hint="default" w:ascii="Times New Roman" w:hAnsi="Times New Roman"/>
                <w:kern w:val="0"/>
                <w:szCs w:val="21"/>
                <w:lang w:val="en-US" w:bidi="ar"/>
              </w:rPr>
              <w:t>p</w:t>
            </w:r>
            <w:r>
              <w:rPr>
                <w:rFonts w:ascii="Times New Roman" w:hAnsi="Times New Roman"/>
                <w:kern w:val="0"/>
                <w:szCs w:val="21"/>
                <w:lang w:bidi="ar"/>
              </w:rPr>
              <w:t>=0.0023</w:t>
            </w:r>
          </w:p>
        </w:tc>
      </w:tr>
    </w:tbl>
    <w:p w14:paraId="2F3678F3">
      <w:pPr>
        <w:rPr>
          <w:rFonts w:ascii="Times New Roman" w:hAnsi="Times New Roman"/>
          <w:b/>
          <w:bCs/>
          <w:highlight w:val="green"/>
        </w:rPr>
      </w:pPr>
    </w:p>
    <w:p w14:paraId="071D570E">
      <w:pPr>
        <w:spacing w:line="360" w:lineRule="auto"/>
        <w:rPr>
          <w:highlight w:val="none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4"/>
  <w:embedSystem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CD815DA"/>
    <w:rsid w:val="00080387"/>
    <w:rsid w:val="00184018"/>
    <w:rsid w:val="001A30F5"/>
    <w:rsid w:val="001E79C4"/>
    <w:rsid w:val="003A5F12"/>
    <w:rsid w:val="003B4881"/>
    <w:rsid w:val="004575E8"/>
    <w:rsid w:val="006414BD"/>
    <w:rsid w:val="00973FB8"/>
    <w:rsid w:val="00A27E59"/>
    <w:rsid w:val="00AA416F"/>
    <w:rsid w:val="00CB163B"/>
    <w:rsid w:val="00D36112"/>
    <w:rsid w:val="00DB484E"/>
    <w:rsid w:val="00DF69B1"/>
    <w:rsid w:val="00E6249E"/>
    <w:rsid w:val="00EE1D57"/>
    <w:rsid w:val="018034E7"/>
    <w:rsid w:val="02750329"/>
    <w:rsid w:val="028A615F"/>
    <w:rsid w:val="02E132C9"/>
    <w:rsid w:val="03A367D0"/>
    <w:rsid w:val="03AE0B18"/>
    <w:rsid w:val="043F4C59"/>
    <w:rsid w:val="04573D68"/>
    <w:rsid w:val="04602913"/>
    <w:rsid w:val="04BB09EC"/>
    <w:rsid w:val="04E23328"/>
    <w:rsid w:val="06316315"/>
    <w:rsid w:val="078F0CA4"/>
    <w:rsid w:val="07BA6D2A"/>
    <w:rsid w:val="081D16BA"/>
    <w:rsid w:val="086A7C9F"/>
    <w:rsid w:val="08A13C26"/>
    <w:rsid w:val="08A43DBA"/>
    <w:rsid w:val="08EC3C9C"/>
    <w:rsid w:val="0A11564D"/>
    <w:rsid w:val="0B3A4C13"/>
    <w:rsid w:val="0BD26343"/>
    <w:rsid w:val="0BF73281"/>
    <w:rsid w:val="0C0640A2"/>
    <w:rsid w:val="0CAC0DEC"/>
    <w:rsid w:val="0D193F48"/>
    <w:rsid w:val="0D1A5D55"/>
    <w:rsid w:val="0D9F26FE"/>
    <w:rsid w:val="0E5A70CA"/>
    <w:rsid w:val="0EE854AF"/>
    <w:rsid w:val="0F072E4E"/>
    <w:rsid w:val="0F7A2ADB"/>
    <w:rsid w:val="1054157E"/>
    <w:rsid w:val="10612472"/>
    <w:rsid w:val="110C351E"/>
    <w:rsid w:val="112440F4"/>
    <w:rsid w:val="11561326"/>
    <w:rsid w:val="116577BB"/>
    <w:rsid w:val="11B20C52"/>
    <w:rsid w:val="11CB1D14"/>
    <w:rsid w:val="11F052D6"/>
    <w:rsid w:val="11F11B86"/>
    <w:rsid w:val="12745F08"/>
    <w:rsid w:val="12D707E8"/>
    <w:rsid w:val="13392CAD"/>
    <w:rsid w:val="13C92726"/>
    <w:rsid w:val="14312B70"/>
    <w:rsid w:val="14FE41AE"/>
    <w:rsid w:val="15565D98"/>
    <w:rsid w:val="16853AEA"/>
    <w:rsid w:val="16F72C63"/>
    <w:rsid w:val="172A3DEB"/>
    <w:rsid w:val="17925825"/>
    <w:rsid w:val="17DD62FD"/>
    <w:rsid w:val="182E0907"/>
    <w:rsid w:val="18475974"/>
    <w:rsid w:val="184E71FB"/>
    <w:rsid w:val="18893D8F"/>
    <w:rsid w:val="18BD7EDC"/>
    <w:rsid w:val="19AB1E41"/>
    <w:rsid w:val="19CA6958"/>
    <w:rsid w:val="19CF7EC7"/>
    <w:rsid w:val="1A34170F"/>
    <w:rsid w:val="1A846F04"/>
    <w:rsid w:val="1A954C6D"/>
    <w:rsid w:val="1ADB4201"/>
    <w:rsid w:val="1AEC6857"/>
    <w:rsid w:val="1B0B13D3"/>
    <w:rsid w:val="1BD246AC"/>
    <w:rsid w:val="1BEC6F7E"/>
    <w:rsid w:val="1D1722B1"/>
    <w:rsid w:val="1DC1221D"/>
    <w:rsid w:val="1DCD7D7B"/>
    <w:rsid w:val="1F1545CE"/>
    <w:rsid w:val="1F413C9B"/>
    <w:rsid w:val="20DD111C"/>
    <w:rsid w:val="21720684"/>
    <w:rsid w:val="21863DE5"/>
    <w:rsid w:val="21B005DE"/>
    <w:rsid w:val="21F726B1"/>
    <w:rsid w:val="226134E6"/>
    <w:rsid w:val="226A1090"/>
    <w:rsid w:val="23507AF5"/>
    <w:rsid w:val="243A4D66"/>
    <w:rsid w:val="24DF0E0B"/>
    <w:rsid w:val="252517D7"/>
    <w:rsid w:val="259124D5"/>
    <w:rsid w:val="25CD5AD7"/>
    <w:rsid w:val="25F018F1"/>
    <w:rsid w:val="25F72C80"/>
    <w:rsid w:val="26712A32"/>
    <w:rsid w:val="26771E8D"/>
    <w:rsid w:val="26FE1DEC"/>
    <w:rsid w:val="270F12F9"/>
    <w:rsid w:val="273E00BA"/>
    <w:rsid w:val="27F51441"/>
    <w:rsid w:val="28702875"/>
    <w:rsid w:val="289522DC"/>
    <w:rsid w:val="28B766F6"/>
    <w:rsid w:val="28F27967"/>
    <w:rsid w:val="2C754F86"/>
    <w:rsid w:val="2CD815DA"/>
    <w:rsid w:val="2CF260ED"/>
    <w:rsid w:val="2D021E83"/>
    <w:rsid w:val="2D4F514F"/>
    <w:rsid w:val="2EB01C1E"/>
    <w:rsid w:val="2EF36565"/>
    <w:rsid w:val="2EF37D5C"/>
    <w:rsid w:val="2F0B154A"/>
    <w:rsid w:val="2F4B1946"/>
    <w:rsid w:val="2F77098D"/>
    <w:rsid w:val="2FEA689F"/>
    <w:rsid w:val="317E4255"/>
    <w:rsid w:val="321D3A6E"/>
    <w:rsid w:val="336052C0"/>
    <w:rsid w:val="33CD46F5"/>
    <w:rsid w:val="340778F4"/>
    <w:rsid w:val="34636D8D"/>
    <w:rsid w:val="34C06933"/>
    <w:rsid w:val="35AB1D2C"/>
    <w:rsid w:val="35B374AE"/>
    <w:rsid w:val="36015455"/>
    <w:rsid w:val="377624E8"/>
    <w:rsid w:val="37BC7E4B"/>
    <w:rsid w:val="38D7647B"/>
    <w:rsid w:val="38E70932"/>
    <w:rsid w:val="39697599"/>
    <w:rsid w:val="3AAF547F"/>
    <w:rsid w:val="3AB111F7"/>
    <w:rsid w:val="3B0A6C0E"/>
    <w:rsid w:val="3B1F743A"/>
    <w:rsid w:val="3BB911FF"/>
    <w:rsid w:val="3C3E4D0D"/>
    <w:rsid w:val="3C8477F8"/>
    <w:rsid w:val="3D1E60DF"/>
    <w:rsid w:val="3DDD0822"/>
    <w:rsid w:val="3DE23DBE"/>
    <w:rsid w:val="3ECD1892"/>
    <w:rsid w:val="3F06588A"/>
    <w:rsid w:val="3F4563B2"/>
    <w:rsid w:val="3F9410E8"/>
    <w:rsid w:val="3FD31C10"/>
    <w:rsid w:val="40302BBE"/>
    <w:rsid w:val="410A222B"/>
    <w:rsid w:val="410D4CAE"/>
    <w:rsid w:val="438C0A54"/>
    <w:rsid w:val="43994D0E"/>
    <w:rsid w:val="44D34460"/>
    <w:rsid w:val="46113492"/>
    <w:rsid w:val="465F41FD"/>
    <w:rsid w:val="46B135F3"/>
    <w:rsid w:val="47305B9A"/>
    <w:rsid w:val="474927B8"/>
    <w:rsid w:val="475E6263"/>
    <w:rsid w:val="47665118"/>
    <w:rsid w:val="481132D5"/>
    <w:rsid w:val="482C45B3"/>
    <w:rsid w:val="48EB1D78"/>
    <w:rsid w:val="49521DF7"/>
    <w:rsid w:val="4A317D67"/>
    <w:rsid w:val="4A6873F9"/>
    <w:rsid w:val="4C2B6930"/>
    <w:rsid w:val="4D2910C1"/>
    <w:rsid w:val="4DF25957"/>
    <w:rsid w:val="4F0C47F7"/>
    <w:rsid w:val="4F1B2C8C"/>
    <w:rsid w:val="4F590025"/>
    <w:rsid w:val="4F7D56F4"/>
    <w:rsid w:val="4FA84F80"/>
    <w:rsid w:val="5004746D"/>
    <w:rsid w:val="505D32F0"/>
    <w:rsid w:val="50811214"/>
    <w:rsid w:val="508D68DC"/>
    <w:rsid w:val="5105179B"/>
    <w:rsid w:val="51B66C9C"/>
    <w:rsid w:val="525C617F"/>
    <w:rsid w:val="52700C05"/>
    <w:rsid w:val="53206AC2"/>
    <w:rsid w:val="53C02053"/>
    <w:rsid w:val="53C25DCC"/>
    <w:rsid w:val="53C953AC"/>
    <w:rsid w:val="541645B0"/>
    <w:rsid w:val="555111B5"/>
    <w:rsid w:val="566A7067"/>
    <w:rsid w:val="57A35F14"/>
    <w:rsid w:val="584E5E80"/>
    <w:rsid w:val="591E1CF6"/>
    <w:rsid w:val="596730F4"/>
    <w:rsid w:val="59CA3C2C"/>
    <w:rsid w:val="59E90779"/>
    <w:rsid w:val="5A6E3252"/>
    <w:rsid w:val="5AF11127"/>
    <w:rsid w:val="5BFE196B"/>
    <w:rsid w:val="5DA30A1C"/>
    <w:rsid w:val="5DAB167E"/>
    <w:rsid w:val="5DFF06C7"/>
    <w:rsid w:val="5E070FAB"/>
    <w:rsid w:val="5E4F4700"/>
    <w:rsid w:val="61414EC5"/>
    <w:rsid w:val="62982F13"/>
    <w:rsid w:val="633F11E7"/>
    <w:rsid w:val="63901A42"/>
    <w:rsid w:val="64232A07"/>
    <w:rsid w:val="65363F24"/>
    <w:rsid w:val="65AD7581"/>
    <w:rsid w:val="65DE4CE7"/>
    <w:rsid w:val="65ED6CD8"/>
    <w:rsid w:val="661C75BD"/>
    <w:rsid w:val="667C62AE"/>
    <w:rsid w:val="670149A6"/>
    <w:rsid w:val="67653B80"/>
    <w:rsid w:val="677B0314"/>
    <w:rsid w:val="67A930D3"/>
    <w:rsid w:val="68914293"/>
    <w:rsid w:val="68915D86"/>
    <w:rsid w:val="698A2A90"/>
    <w:rsid w:val="6B43739A"/>
    <w:rsid w:val="6B506E3B"/>
    <w:rsid w:val="6B7C49A8"/>
    <w:rsid w:val="6B833C3B"/>
    <w:rsid w:val="6BDB75D3"/>
    <w:rsid w:val="6CA67D4B"/>
    <w:rsid w:val="6CE1410D"/>
    <w:rsid w:val="6CF43042"/>
    <w:rsid w:val="6E31797E"/>
    <w:rsid w:val="6E3A4B90"/>
    <w:rsid w:val="6E777A87"/>
    <w:rsid w:val="6EA75340"/>
    <w:rsid w:val="6EC86534"/>
    <w:rsid w:val="6F0926A9"/>
    <w:rsid w:val="6F6D7AE9"/>
    <w:rsid w:val="6FA0300D"/>
    <w:rsid w:val="70BF3967"/>
    <w:rsid w:val="70D036E5"/>
    <w:rsid w:val="71063F8A"/>
    <w:rsid w:val="71462B2C"/>
    <w:rsid w:val="722A12B4"/>
    <w:rsid w:val="72D60AF4"/>
    <w:rsid w:val="741A2C2E"/>
    <w:rsid w:val="746D7EEA"/>
    <w:rsid w:val="74C432FA"/>
    <w:rsid w:val="754B31A0"/>
    <w:rsid w:val="75AE241F"/>
    <w:rsid w:val="75EA3234"/>
    <w:rsid w:val="77171471"/>
    <w:rsid w:val="77742E17"/>
    <w:rsid w:val="77D86DF4"/>
    <w:rsid w:val="77FA34D6"/>
    <w:rsid w:val="78104AA8"/>
    <w:rsid w:val="7819395D"/>
    <w:rsid w:val="787F7631"/>
    <w:rsid w:val="794C4899"/>
    <w:rsid w:val="7B670E83"/>
    <w:rsid w:val="7B851309"/>
    <w:rsid w:val="7CA26617"/>
    <w:rsid w:val="7CA3066D"/>
    <w:rsid w:val="7CCD4D16"/>
    <w:rsid w:val="7D364FB1"/>
    <w:rsid w:val="7D4060A4"/>
    <w:rsid w:val="7DFD2F8A"/>
    <w:rsid w:val="7E192908"/>
    <w:rsid w:val="7E294A92"/>
    <w:rsid w:val="7EED169F"/>
    <w:rsid w:val="7FE72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qFormat="1" w:uiPriority="99" w:name="HTML Code"/>
    <w:lsdException w:unhideWhenUsed="0" w:uiPriority="0" w:semiHidden="0" w:name="HTML Definition"/>
    <w:lsdException w:unhideWhenUsed="0" w:uiPriority="0" w:semiHidden="0" w:name="HTML Keyboard"/>
    <w:lsdException w:qFormat="1" w:uiPriority="99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semiHidden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qFormat/>
    <w:uiPriority w:val="0"/>
    <w:rPr>
      <w:color w:val="0000FF"/>
      <w:u w:val="single"/>
    </w:rPr>
  </w:style>
  <w:style w:type="character" w:styleId="10">
    <w:name w:val="HTML Code"/>
    <w:basedOn w:val="8"/>
    <w:semiHidden/>
    <w:unhideWhenUsed/>
    <w:qFormat/>
    <w:uiPriority w:val="99"/>
    <w:rPr>
      <w:rFonts w:ascii="Courier New" w:hAnsi="Courier New"/>
      <w:sz w:val="20"/>
    </w:rPr>
  </w:style>
  <w:style w:type="character" w:customStyle="1" w:styleId="11">
    <w:name w:val="页眉 字符"/>
    <w:basedOn w:val="8"/>
    <w:link w:val="4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2">
    <w:name w:val="页脚 字符"/>
    <w:basedOn w:val="8"/>
    <w:link w:val="3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</w:rPr>
  </w:style>
  <w:style w:type="character" w:customStyle="1" w:styleId="14">
    <w:name w:val="font21"/>
    <w:basedOn w:val="8"/>
    <w:qFormat/>
    <w:uiPriority w:val="0"/>
    <w:rPr>
      <w:rFonts w:hint="default" w:ascii="Times New Roman" w:hAnsi="Times New Roman" w:cs="Times New Roman"/>
      <w:color w:val="000000"/>
      <w:sz w:val="22"/>
      <w:szCs w:val="22"/>
      <w:u w:val="none"/>
      <w:vertAlign w:val="subscript"/>
    </w:rPr>
  </w:style>
  <w:style w:type="character" w:customStyle="1" w:styleId="15">
    <w:name w:val="font31"/>
    <w:basedOn w:val="8"/>
    <w:qFormat/>
    <w:uiPriority w:val="0"/>
    <w:rPr>
      <w:rFonts w:hint="default" w:ascii="Arial" w:hAnsi="Arial" w:cs="Arial"/>
      <w:color w:val="000000"/>
      <w:sz w:val="21"/>
      <w:szCs w:val="21"/>
      <w:u w:val="none"/>
      <w:vertAlign w:val="subscript"/>
    </w:rPr>
  </w:style>
  <w:style w:type="character" w:customStyle="1" w:styleId="16">
    <w:name w:val="font01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33</Pages>
  <Words>4178</Words>
  <Characters>21350</Characters>
  <Lines>103</Lines>
  <Paragraphs>29</Paragraphs>
  <TotalTime>1</TotalTime>
  <ScaleCrop>false</ScaleCrop>
  <LinksUpToDate>false</LinksUpToDate>
  <CharactersWithSpaces>24907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2026-07-05T11:31:00Z</dcterms:created>
  <dc:creator>CHENG</dc:creator>
  <cp:lastModifiedBy>CHENG</cp:lastModifiedBy>
  <dcterms:modified xsi:type="dcterms:W3CDTF">2026-07-11T02:09:48Z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645B8403079044209C264A70C4990888_11</vt:lpwstr>
  </property>
  <property fmtid="{D5CDD505-2E9C-101B-9397-08002B2CF9AE}" pid="4" name="KSOTemplateDocerSaveRecord">
    <vt:lpwstr>eyJoZGlkIjoiY2Q1NjNjZTJkNDdlYjgxZTJiNDdhNzE4NzI3YTFhYjIiLCJ1c2VySWQiOiI0OTE0Njg3MjAifQ==</vt:lpwstr>
  </property>
</Properties>
</file>