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0503" w14:textId="77777777" w:rsidR="0025056D" w:rsidRPr="00D12EA5" w:rsidRDefault="0025056D" w:rsidP="0025056D">
      <w:pPr>
        <w:rPr>
          <w:rFonts w:ascii="Times New Roman" w:hAnsi="Times New Roman" w:cs="Times New Roman"/>
          <w:b/>
          <w:bCs/>
        </w:rPr>
      </w:pPr>
      <w:r w:rsidRPr="00D12EA5">
        <w:rPr>
          <w:rFonts w:ascii="Times New Roman" w:hAnsi="Times New Roman" w:cs="Times New Roman"/>
          <w:b/>
          <w:bCs/>
        </w:rPr>
        <w:t>Supplementary Information</w:t>
      </w:r>
    </w:p>
    <w:p w14:paraId="6FBB0BEE" w14:textId="218B62D2" w:rsidR="00D524CE" w:rsidRPr="00D12EA5" w:rsidRDefault="002F15E2" w:rsidP="00D524CE">
      <w:pPr>
        <w:rPr>
          <w:rFonts w:ascii="Times New Roman" w:hAnsi="Times New Roman" w:cs="Times New Roman"/>
          <w:b/>
          <w:bCs/>
          <w:sz w:val="24"/>
          <w:szCs w:val="24"/>
        </w:rPr>
      </w:pPr>
      <w:r w:rsidRPr="00D12EA5">
        <w:rPr>
          <w:rFonts w:ascii="Times New Roman" w:hAnsi="Times New Roman" w:cs="Times New Roman"/>
          <w:b/>
          <w:bCs/>
        </w:rPr>
        <w:t>f</w:t>
      </w:r>
      <w:r w:rsidR="0025056D" w:rsidRPr="00D12EA5">
        <w:rPr>
          <w:rFonts w:ascii="Times New Roman" w:hAnsi="Times New Roman" w:cs="Times New Roman"/>
          <w:b/>
          <w:bCs/>
        </w:rPr>
        <w:t>or</w:t>
      </w:r>
      <w:r w:rsidRPr="00D12EA5">
        <w:rPr>
          <w:rFonts w:ascii="Times New Roman" w:hAnsi="Times New Roman" w:cs="Times New Roman"/>
          <w:b/>
          <w:bCs/>
        </w:rPr>
        <w:t xml:space="preserve"> </w:t>
      </w:r>
      <w:r w:rsidR="00F30505" w:rsidRPr="00F30505">
        <w:rPr>
          <w:rFonts w:ascii="Times New Roman" w:hAnsi="Times New Roman" w:cs="Times New Roman"/>
          <w:b/>
          <w:bCs/>
          <w:sz w:val="24"/>
          <w:szCs w:val="24"/>
        </w:rPr>
        <w:t>Topology</w:t>
      </w:r>
      <w:r w:rsidR="00F30505" w:rsidRPr="00F30505">
        <w:rPr>
          <w:rFonts w:ascii="Times New Roman" w:hAnsi="Times New Roman" w:cs="Times New Roman"/>
          <w:b/>
          <w:bCs/>
          <w:sz w:val="24"/>
          <w:szCs w:val="24"/>
        </w:rPr>
        <w:noBreakHyphen/>
        <w:t>controlled frustrated solid state of ionic liquids without a detectable melting transition</w:t>
      </w:r>
    </w:p>
    <w:p w14:paraId="76178739" w14:textId="77777777" w:rsidR="00593573" w:rsidRPr="00D12EA5" w:rsidRDefault="00593573">
      <w:pPr>
        <w:rPr>
          <w:rFonts w:ascii="Times New Roman" w:hAnsi="Times New Roman" w:cs="Times New Roman"/>
        </w:rPr>
      </w:pPr>
    </w:p>
    <w:p w14:paraId="155C37C2" w14:textId="77777777" w:rsidR="0025056D" w:rsidRPr="00D12EA5" w:rsidRDefault="0025056D" w:rsidP="0025056D">
      <w:pPr>
        <w:rPr>
          <w:rFonts w:ascii="Times New Roman" w:hAnsi="Times New Roman" w:cs="Times New Roman"/>
          <w:b/>
          <w:bCs/>
        </w:rPr>
      </w:pPr>
      <w:r w:rsidRPr="00D12EA5">
        <w:rPr>
          <w:rFonts w:ascii="Times New Roman" w:hAnsi="Times New Roman" w:cs="Times New Roman"/>
          <w:b/>
          <w:bCs/>
        </w:rPr>
        <w:t>Supplementary Figures</w:t>
      </w:r>
    </w:p>
    <w:p w14:paraId="59D2CDA8" w14:textId="58460745" w:rsidR="0025056D" w:rsidRPr="00D12EA5" w:rsidRDefault="0025056D">
      <w:pPr>
        <w:rPr>
          <w:rFonts w:ascii="Times New Roman" w:hAnsi="Times New Roman" w:cs="Times New Roman"/>
        </w:rPr>
      </w:pPr>
      <w:r w:rsidRPr="00D12EA5">
        <w:rPr>
          <w:rFonts w:ascii="Times New Roman" w:hAnsi="Times New Roman" w:cs="Times New Roman"/>
          <w:noProof/>
        </w:rPr>
        <w:drawing>
          <wp:inline distT="0" distB="0" distL="0" distR="0" wp14:anchorId="246C0814" wp14:editId="7645949F">
            <wp:extent cx="5400040" cy="3287395"/>
            <wp:effectExtent l="0" t="0" r="0" b="0"/>
            <wp:docPr id="20344816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287395"/>
                    </a:xfrm>
                    <a:prstGeom prst="rect">
                      <a:avLst/>
                    </a:prstGeom>
                    <a:noFill/>
                    <a:ln>
                      <a:noFill/>
                    </a:ln>
                  </pic:spPr>
                </pic:pic>
              </a:graphicData>
            </a:graphic>
          </wp:inline>
        </w:drawing>
      </w:r>
    </w:p>
    <w:p w14:paraId="754BE05D" w14:textId="08693E18" w:rsidR="00DF1664" w:rsidRDefault="00FC616B" w:rsidP="0025056D">
      <w:pPr>
        <w:rPr>
          <w:rFonts w:ascii="Times New Roman" w:hAnsi="Times New Roman" w:cs="Times New Roman"/>
        </w:rPr>
      </w:pPr>
      <w:r w:rsidRPr="00FC616B">
        <w:rPr>
          <w:rFonts w:ascii="Times New Roman" w:hAnsi="Times New Roman" w:cs="Times New Roman"/>
          <w:b/>
          <w:bCs/>
        </w:rPr>
        <w:t>Fig</w:t>
      </w:r>
      <w:r w:rsidR="008E09DB">
        <w:rPr>
          <w:rFonts w:ascii="Times New Roman" w:hAnsi="Times New Roman" w:cs="Times New Roman" w:hint="eastAsia"/>
          <w:b/>
          <w:bCs/>
        </w:rPr>
        <w:t>ure</w:t>
      </w:r>
      <w:r w:rsidRPr="00FC616B">
        <w:rPr>
          <w:rFonts w:ascii="Times New Roman" w:hAnsi="Times New Roman" w:cs="Times New Roman"/>
          <w:b/>
          <w:bCs/>
        </w:rPr>
        <w:t xml:space="preserve"> S1 | Variable</w:t>
      </w:r>
      <w:r w:rsidRPr="00FC616B">
        <w:rPr>
          <w:rFonts w:ascii="Times New Roman" w:hAnsi="Times New Roman" w:cs="Times New Roman"/>
          <w:b/>
          <w:bCs/>
        </w:rPr>
        <w:noBreakHyphen/>
        <w:t xml:space="preserve">temperature PXRD of neat </w:t>
      </w:r>
      <w:proofErr w:type="spellStart"/>
      <w:r w:rsidRPr="00FC616B">
        <w:rPr>
          <w:rFonts w:ascii="Times New Roman" w:hAnsi="Times New Roman" w:cs="Times New Roman"/>
          <w:b/>
          <w:bCs/>
        </w:rPr>
        <w:t>pMBA</w:t>
      </w:r>
      <w:proofErr w:type="spellEnd"/>
      <w:r w:rsidRPr="00FC616B">
        <w:rPr>
          <w:rFonts w:ascii="Times New Roman" w:hAnsi="Times New Roman" w:cs="Times New Roman"/>
          <w:b/>
          <w:bCs/>
        </w:rPr>
        <w:t>.</w:t>
      </w:r>
      <w:r w:rsidRPr="00FC616B">
        <w:rPr>
          <w:rFonts w:ascii="Times New Roman" w:hAnsi="Times New Roman" w:cs="Times New Roman"/>
          <w:b/>
          <w:bCs/>
        </w:rPr>
        <w:br/>
      </w:r>
      <w:r w:rsidRPr="00FC616B">
        <w:rPr>
          <w:rFonts w:ascii="Times New Roman" w:hAnsi="Times New Roman" w:cs="Times New Roman"/>
        </w:rPr>
        <w:t>Variable</w:t>
      </w:r>
      <w:r w:rsidRPr="00FC616B">
        <w:rPr>
          <w:rFonts w:ascii="Times New Roman" w:hAnsi="Times New Roman" w:cs="Times New Roman"/>
        </w:rPr>
        <w:noBreakHyphen/>
        <w:t>temperature powder X</w:t>
      </w:r>
      <w:r w:rsidRPr="00FC616B">
        <w:rPr>
          <w:rFonts w:ascii="Times New Roman" w:hAnsi="Times New Roman" w:cs="Times New Roman"/>
        </w:rPr>
        <w:noBreakHyphen/>
        <w:t>ray diffraction (VT</w:t>
      </w:r>
      <w:r w:rsidRPr="00FC616B">
        <w:rPr>
          <w:rFonts w:ascii="Times New Roman" w:hAnsi="Times New Roman" w:cs="Times New Roman"/>
        </w:rPr>
        <w:noBreakHyphen/>
        <w:t>PXRD) patterns of neat poly(meta</w:t>
      </w:r>
      <w:r w:rsidRPr="00FC616B">
        <w:rPr>
          <w:rFonts w:ascii="Times New Roman" w:hAnsi="Times New Roman" w:cs="Times New Roman"/>
        </w:rPr>
        <w:noBreakHyphen/>
        <w:t>benzamide) (</w:t>
      </w:r>
      <w:proofErr w:type="spellStart"/>
      <w:r w:rsidRPr="00FC616B">
        <w:rPr>
          <w:rFonts w:ascii="Times New Roman" w:hAnsi="Times New Roman" w:cs="Times New Roman"/>
        </w:rPr>
        <w:t>pMBA</w:t>
      </w:r>
      <w:proofErr w:type="spellEnd"/>
      <w:r w:rsidRPr="00FC616B">
        <w:rPr>
          <w:rFonts w:ascii="Times New Roman" w:hAnsi="Times New Roman" w:cs="Times New Roman"/>
        </w:rPr>
        <w:t xml:space="preserve">) recorded over the same temperature range and under identical experimental conditions as those used for the </w:t>
      </w:r>
      <w:proofErr w:type="spellStart"/>
      <w:r w:rsidRPr="00FC616B">
        <w:rPr>
          <w:rFonts w:ascii="Times New Roman" w:hAnsi="Times New Roman" w:cs="Times New Roman"/>
        </w:rPr>
        <w:t>pMBA</w:t>
      </w:r>
      <w:proofErr w:type="spellEnd"/>
      <w:r w:rsidRPr="00FC616B">
        <w:rPr>
          <w:rFonts w:ascii="Times New Roman" w:hAnsi="Times New Roman" w:cs="Times New Roman"/>
        </w:rPr>
        <w:t xml:space="preserve">/BMIM–PF₆ composite shown in Fig. 2. Upon heating and cooling, the diffraction peaks of </w:t>
      </w:r>
      <w:proofErr w:type="spellStart"/>
      <w:r w:rsidRPr="00FC616B">
        <w:rPr>
          <w:rFonts w:ascii="Times New Roman" w:hAnsi="Times New Roman" w:cs="Times New Roman"/>
        </w:rPr>
        <w:t>pMBA</w:t>
      </w:r>
      <w:proofErr w:type="spellEnd"/>
      <w:r w:rsidRPr="00FC616B">
        <w:rPr>
          <w:rFonts w:ascii="Times New Roman" w:hAnsi="Times New Roman" w:cs="Times New Roman"/>
        </w:rPr>
        <w:t xml:space="preserve"> exhibit only smooth and continuous thermal shifts, with no appearance of additional Bragg reflections or irreversible peak broadening. These data confirm that the reversible peak evolution observed in Fig. 2 originates from the confined BMIM–PF₆ lattice and not from thermally induced structural transitions within the </w:t>
      </w:r>
      <w:proofErr w:type="spellStart"/>
      <w:r w:rsidRPr="00FC616B">
        <w:rPr>
          <w:rFonts w:ascii="Times New Roman" w:hAnsi="Times New Roman" w:cs="Times New Roman"/>
        </w:rPr>
        <w:t>pMBA</w:t>
      </w:r>
      <w:proofErr w:type="spellEnd"/>
      <w:r w:rsidRPr="00FC616B">
        <w:rPr>
          <w:rFonts w:ascii="Times New Roman" w:hAnsi="Times New Roman" w:cs="Times New Roman"/>
        </w:rPr>
        <w:t xml:space="preserve"> matrix.</w:t>
      </w:r>
    </w:p>
    <w:p w14:paraId="103DF281" w14:textId="7C6F336D" w:rsidR="00DF1664" w:rsidRPr="00405A5F" w:rsidRDefault="00E25658" w:rsidP="00DF166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B38648" wp14:editId="43B8F15D">
            <wp:extent cx="4320000" cy="2272148"/>
            <wp:effectExtent l="0" t="0" r="0" b="0"/>
            <wp:docPr id="1051264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0000" cy="2272148"/>
                    </a:xfrm>
                    <a:prstGeom prst="rect">
                      <a:avLst/>
                    </a:prstGeom>
                    <a:noFill/>
                  </pic:spPr>
                </pic:pic>
              </a:graphicData>
            </a:graphic>
          </wp:inline>
        </w:drawing>
      </w:r>
    </w:p>
    <w:p w14:paraId="06CEB9C2" w14:textId="77777777" w:rsidR="00E25658" w:rsidRDefault="00E25658" w:rsidP="00FC616B">
      <w:pPr>
        <w:widowControl/>
        <w:rPr>
          <w:rFonts w:ascii="Times New Roman" w:hAnsi="Times New Roman" w:cs="Times New Roman"/>
          <w:b/>
          <w:bCs/>
          <w:sz w:val="20"/>
          <w:szCs w:val="20"/>
        </w:rPr>
      </w:pPr>
    </w:p>
    <w:p w14:paraId="45D79771" w14:textId="66FDC218" w:rsidR="00FC616B" w:rsidRPr="00FC616B" w:rsidRDefault="00FC616B" w:rsidP="00FC616B">
      <w:pPr>
        <w:widowControl/>
        <w:rPr>
          <w:rFonts w:ascii="Times New Roman" w:hAnsi="Times New Roman" w:cs="Times New Roman"/>
          <w:b/>
          <w:bCs/>
          <w:sz w:val="20"/>
          <w:szCs w:val="20"/>
        </w:rPr>
      </w:pPr>
      <w:r w:rsidRPr="00FC616B">
        <w:rPr>
          <w:rFonts w:ascii="Times New Roman" w:hAnsi="Times New Roman" w:cs="Times New Roman"/>
          <w:b/>
          <w:bCs/>
          <w:sz w:val="20"/>
          <w:szCs w:val="20"/>
        </w:rPr>
        <w:t>Fig</w:t>
      </w:r>
      <w:r w:rsidR="008E09DB">
        <w:rPr>
          <w:rFonts w:ascii="Times New Roman" w:hAnsi="Times New Roman" w:cs="Times New Roman" w:hint="eastAsia"/>
          <w:b/>
          <w:bCs/>
          <w:sz w:val="20"/>
          <w:szCs w:val="20"/>
        </w:rPr>
        <w:t>ure</w:t>
      </w:r>
      <w:r w:rsidRPr="00FC616B">
        <w:rPr>
          <w:rFonts w:ascii="Times New Roman" w:hAnsi="Times New Roman" w:cs="Times New Roman"/>
          <w:b/>
          <w:bCs/>
          <w:sz w:val="20"/>
          <w:szCs w:val="20"/>
        </w:rPr>
        <w:t xml:space="preserve"> S2 | Thermogravimetric analysis (TGA) of </w:t>
      </w:r>
      <w:proofErr w:type="spellStart"/>
      <w:r w:rsidRPr="00FC616B">
        <w:rPr>
          <w:rFonts w:ascii="Times New Roman" w:hAnsi="Times New Roman" w:cs="Times New Roman"/>
          <w:b/>
          <w:bCs/>
          <w:sz w:val="20"/>
          <w:szCs w:val="20"/>
        </w:rPr>
        <w:t>pMBA</w:t>
      </w:r>
      <w:proofErr w:type="spellEnd"/>
      <w:r w:rsidRPr="00FC616B">
        <w:rPr>
          <w:rFonts w:ascii="Times New Roman" w:hAnsi="Times New Roman" w:cs="Times New Roman"/>
          <w:b/>
          <w:bCs/>
          <w:sz w:val="20"/>
          <w:szCs w:val="20"/>
        </w:rPr>
        <w:t>/BMIM–PF₆ composites and control samples.</w:t>
      </w:r>
      <w:r w:rsidRPr="00FC616B">
        <w:rPr>
          <w:rFonts w:ascii="Times New Roman" w:hAnsi="Times New Roman" w:cs="Times New Roman"/>
          <w:b/>
          <w:bCs/>
          <w:sz w:val="20"/>
          <w:szCs w:val="20"/>
        </w:rPr>
        <w:br/>
      </w:r>
      <w:r w:rsidRPr="00FC616B">
        <w:rPr>
          <w:rFonts w:ascii="Times New Roman" w:hAnsi="Times New Roman" w:cs="Times New Roman"/>
          <w:sz w:val="20"/>
          <w:szCs w:val="20"/>
        </w:rPr>
        <w:t xml:space="preserve">a–c, TGA curves of </w:t>
      </w:r>
      <w:proofErr w:type="spellStart"/>
      <w:r w:rsidRPr="00FC616B">
        <w:rPr>
          <w:rFonts w:ascii="Times New Roman" w:hAnsi="Times New Roman" w:cs="Times New Roman"/>
          <w:sz w:val="20"/>
          <w:szCs w:val="20"/>
        </w:rPr>
        <w:t>pMBA</w:t>
      </w:r>
      <w:proofErr w:type="spellEnd"/>
      <w:r w:rsidRPr="00FC616B">
        <w:rPr>
          <w:rFonts w:ascii="Times New Roman" w:hAnsi="Times New Roman" w:cs="Times New Roman"/>
          <w:sz w:val="20"/>
          <w:szCs w:val="20"/>
        </w:rPr>
        <w:t xml:space="preserve">/BMIM–PF₆ composites compared with neat </w:t>
      </w:r>
      <w:proofErr w:type="spellStart"/>
      <w:r w:rsidRPr="00FC616B">
        <w:rPr>
          <w:rFonts w:ascii="Times New Roman" w:hAnsi="Times New Roman" w:cs="Times New Roman"/>
          <w:sz w:val="20"/>
          <w:szCs w:val="20"/>
        </w:rPr>
        <w:t>pMBA</w:t>
      </w:r>
      <w:proofErr w:type="spellEnd"/>
      <w:r w:rsidRPr="00FC616B">
        <w:rPr>
          <w:rFonts w:ascii="Times New Roman" w:hAnsi="Times New Roman" w:cs="Times New Roman"/>
          <w:sz w:val="20"/>
          <w:szCs w:val="20"/>
        </w:rPr>
        <w:t xml:space="preserve"> and bulk BMIM–PF₆. The composites show a gradual, intermediate mass</w:t>
      </w:r>
      <w:r w:rsidRPr="00FC616B">
        <w:rPr>
          <w:rFonts w:ascii="Times New Roman" w:hAnsi="Times New Roman" w:cs="Times New Roman"/>
          <w:sz w:val="20"/>
          <w:szCs w:val="20"/>
        </w:rPr>
        <w:noBreakHyphen/>
        <w:t xml:space="preserve">loss </w:t>
      </w:r>
      <w:proofErr w:type="spellStart"/>
      <w:r w:rsidRPr="00FC616B">
        <w:rPr>
          <w:rFonts w:ascii="Times New Roman" w:hAnsi="Times New Roman" w:cs="Times New Roman"/>
          <w:sz w:val="20"/>
          <w:szCs w:val="20"/>
        </w:rPr>
        <w:t>behaviour</w:t>
      </w:r>
      <w:proofErr w:type="spellEnd"/>
      <w:r w:rsidRPr="00FC616B">
        <w:rPr>
          <w:rFonts w:ascii="Times New Roman" w:hAnsi="Times New Roman" w:cs="Times New Roman"/>
          <w:sz w:val="20"/>
          <w:szCs w:val="20"/>
        </w:rPr>
        <w:t xml:space="preserve"> with a single onset that is distinct from both neat </w:t>
      </w:r>
      <w:proofErr w:type="spellStart"/>
      <w:r w:rsidRPr="00FC616B">
        <w:rPr>
          <w:rFonts w:ascii="Times New Roman" w:hAnsi="Times New Roman" w:cs="Times New Roman"/>
          <w:sz w:val="20"/>
          <w:szCs w:val="20"/>
        </w:rPr>
        <w:t>pMBA</w:t>
      </w:r>
      <w:proofErr w:type="spellEnd"/>
      <w:r w:rsidRPr="00FC616B">
        <w:rPr>
          <w:rFonts w:ascii="Times New Roman" w:hAnsi="Times New Roman" w:cs="Times New Roman"/>
          <w:sz w:val="20"/>
          <w:szCs w:val="20"/>
        </w:rPr>
        <w:t xml:space="preserve"> and bulk BMIM–PF₆, consistent with a confined ionic phase rather than a simple superposition of the two components. From the relative mass loss attributable to BMIM–PF₆, the ionic</w:t>
      </w:r>
      <w:r w:rsidRPr="00FC616B">
        <w:rPr>
          <w:rFonts w:ascii="Times New Roman" w:hAnsi="Times New Roman" w:cs="Times New Roman"/>
          <w:sz w:val="20"/>
          <w:szCs w:val="20"/>
        </w:rPr>
        <w:noBreakHyphen/>
        <w:t xml:space="preserve">liquid content in the </w:t>
      </w:r>
      <w:proofErr w:type="spellStart"/>
      <w:r w:rsidRPr="00FC616B">
        <w:rPr>
          <w:rFonts w:ascii="Times New Roman" w:hAnsi="Times New Roman" w:cs="Times New Roman"/>
          <w:sz w:val="20"/>
          <w:szCs w:val="20"/>
        </w:rPr>
        <w:t>pMBA</w:t>
      </w:r>
      <w:proofErr w:type="spellEnd"/>
      <w:r w:rsidRPr="00FC616B">
        <w:rPr>
          <w:rFonts w:ascii="Times New Roman" w:hAnsi="Times New Roman" w:cs="Times New Roman"/>
          <w:sz w:val="20"/>
          <w:szCs w:val="20"/>
        </w:rPr>
        <w:t xml:space="preserve"> composites is estimated to be on the order of 10 </w:t>
      </w:r>
      <w:proofErr w:type="spellStart"/>
      <w:r w:rsidRPr="00FC616B">
        <w:rPr>
          <w:rFonts w:ascii="Times New Roman" w:hAnsi="Times New Roman" w:cs="Times New Roman"/>
          <w:sz w:val="20"/>
          <w:szCs w:val="20"/>
        </w:rPr>
        <w:t>wt</w:t>
      </w:r>
      <w:proofErr w:type="spellEnd"/>
      <w:r w:rsidRPr="00FC616B">
        <w:rPr>
          <w:rFonts w:ascii="Times New Roman" w:hAnsi="Times New Roman" w:cs="Times New Roman"/>
          <w:sz w:val="20"/>
          <w:szCs w:val="20"/>
        </w:rPr>
        <w:t> %.</w:t>
      </w:r>
      <w:r w:rsidRPr="00FC616B">
        <w:rPr>
          <w:rFonts w:ascii="Times New Roman" w:hAnsi="Times New Roman" w:cs="Times New Roman"/>
          <w:sz w:val="20"/>
          <w:szCs w:val="20"/>
        </w:rPr>
        <w:br/>
        <w:t xml:space="preserve">d, TGA curve of a simple physical mixture of preformed </w:t>
      </w:r>
      <w:proofErr w:type="spellStart"/>
      <w:r w:rsidRPr="00FC616B">
        <w:rPr>
          <w:rFonts w:ascii="Times New Roman" w:hAnsi="Times New Roman" w:cs="Times New Roman"/>
          <w:sz w:val="20"/>
          <w:szCs w:val="20"/>
        </w:rPr>
        <w:t>pMBA</w:t>
      </w:r>
      <w:proofErr w:type="spellEnd"/>
      <w:r w:rsidRPr="00FC616B">
        <w:rPr>
          <w:rFonts w:ascii="Times New Roman" w:hAnsi="Times New Roman" w:cs="Times New Roman"/>
          <w:sz w:val="20"/>
          <w:szCs w:val="20"/>
        </w:rPr>
        <w:t xml:space="preserve"> and bulk BMIM–PF₆ at the same ionic</w:t>
      </w:r>
      <w:r w:rsidRPr="00FC616B">
        <w:rPr>
          <w:rFonts w:ascii="Times New Roman" w:hAnsi="Times New Roman" w:cs="Times New Roman"/>
          <w:sz w:val="20"/>
          <w:szCs w:val="20"/>
        </w:rPr>
        <w:noBreakHyphen/>
        <w:t>liquid loading as the PCP</w:t>
      </w:r>
      <w:r w:rsidRPr="00FC616B">
        <w:rPr>
          <w:rFonts w:ascii="Times New Roman" w:hAnsi="Times New Roman" w:cs="Times New Roman"/>
          <w:sz w:val="20"/>
          <w:szCs w:val="20"/>
        </w:rPr>
        <w:noBreakHyphen/>
        <w:t>derived composites. Two distinct decomposition onsets corresponding to the individual components are observed, in contrast to the single, intermediate onset of the PCP</w:t>
      </w:r>
      <w:r w:rsidRPr="00FC616B">
        <w:rPr>
          <w:rFonts w:ascii="Times New Roman" w:hAnsi="Times New Roman" w:cs="Times New Roman"/>
          <w:sz w:val="20"/>
          <w:szCs w:val="20"/>
        </w:rPr>
        <w:noBreakHyphen/>
        <w:t>derived composites. These results indicate that confinement</w:t>
      </w:r>
      <w:r w:rsidRPr="00FC616B">
        <w:rPr>
          <w:rFonts w:ascii="Times New Roman" w:hAnsi="Times New Roman" w:cs="Times New Roman"/>
          <w:sz w:val="20"/>
          <w:szCs w:val="20"/>
        </w:rPr>
        <w:noBreakHyphen/>
        <w:t xml:space="preserve">induced crystallization of the ionic liquid within the polymer matrix produces decomposition </w:t>
      </w:r>
      <w:proofErr w:type="spellStart"/>
      <w:r w:rsidRPr="00FC616B">
        <w:rPr>
          <w:rFonts w:ascii="Times New Roman" w:hAnsi="Times New Roman" w:cs="Times New Roman"/>
          <w:sz w:val="20"/>
          <w:szCs w:val="20"/>
        </w:rPr>
        <w:t>behaviour</w:t>
      </w:r>
      <w:proofErr w:type="spellEnd"/>
      <w:r w:rsidRPr="00FC616B">
        <w:rPr>
          <w:rFonts w:ascii="Times New Roman" w:hAnsi="Times New Roman" w:cs="Times New Roman"/>
          <w:sz w:val="20"/>
          <w:szCs w:val="20"/>
        </w:rPr>
        <w:t xml:space="preserve"> that is no longer a simple sum of the pure components. </w:t>
      </w:r>
    </w:p>
    <w:p w14:paraId="2EA5230A" w14:textId="43F0F3E2" w:rsidR="00DF1664" w:rsidRDefault="00DF1664">
      <w:pPr>
        <w:widowControl/>
        <w:jc w:val="left"/>
        <w:rPr>
          <w:rFonts w:ascii="Times New Roman" w:hAnsi="Times New Roman" w:cs="Times New Roman"/>
        </w:rPr>
      </w:pPr>
      <w:r>
        <w:rPr>
          <w:rFonts w:ascii="Times New Roman" w:hAnsi="Times New Roman" w:cs="Times New Roman"/>
        </w:rPr>
        <w:br w:type="page"/>
      </w:r>
    </w:p>
    <w:p w14:paraId="4FC52FD0" w14:textId="0AC3AC08" w:rsidR="005C0F64" w:rsidRPr="00405A5F" w:rsidRDefault="005A0F0E" w:rsidP="005A0F0E">
      <w:pPr>
        <w:jc w:val="center"/>
        <w:rPr>
          <w:rFonts w:ascii="Times New Roman" w:hAnsi="Times New Roman" w:cs="Times New Roman"/>
          <w:sz w:val="24"/>
          <w:szCs w:val="24"/>
        </w:rPr>
      </w:pPr>
      <w:r w:rsidRPr="005A0F0E">
        <w:rPr>
          <w:rFonts w:ascii="Times New Roman" w:hAnsi="Times New Roman" w:cs="Times New Roman"/>
          <w:noProof/>
          <w:sz w:val="24"/>
          <w:szCs w:val="24"/>
        </w:rPr>
        <w:lastRenderedPageBreak/>
        <w:drawing>
          <wp:inline distT="0" distB="0" distL="0" distR="0" wp14:anchorId="66C6F333" wp14:editId="5F4C3CC1">
            <wp:extent cx="3705742" cy="5601482"/>
            <wp:effectExtent l="0" t="0" r="9525" b="0"/>
            <wp:docPr id="182061610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16109" name="図 1" descr="グラフィカル ユーザー インターフェイス, アプリケーション&#10;&#10;AI 生成コンテンツは誤りを含む可能性があります。"/>
                    <pic:cNvPicPr/>
                  </pic:nvPicPr>
                  <pic:blipFill>
                    <a:blip r:embed="rId8"/>
                    <a:stretch>
                      <a:fillRect/>
                    </a:stretch>
                  </pic:blipFill>
                  <pic:spPr>
                    <a:xfrm>
                      <a:off x="0" y="0"/>
                      <a:ext cx="3705742" cy="5601482"/>
                    </a:xfrm>
                    <a:prstGeom prst="rect">
                      <a:avLst/>
                    </a:prstGeom>
                  </pic:spPr>
                </pic:pic>
              </a:graphicData>
            </a:graphic>
          </wp:inline>
        </w:drawing>
      </w:r>
    </w:p>
    <w:p w14:paraId="5AC82D9B" w14:textId="3F66F07A" w:rsidR="005C0F64" w:rsidRPr="003356A2" w:rsidRDefault="006E232F" w:rsidP="005C0F64">
      <w:pPr>
        <w:rPr>
          <w:rFonts w:ascii="Times New Roman" w:hAnsi="Times New Roman" w:cs="Times New Roman"/>
          <w:sz w:val="20"/>
          <w:szCs w:val="20"/>
        </w:rPr>
      </w:pPr>
      <w:r w:rsidRPr="00FC616B">
        <w:rPr>
          <w:rFonts w:ascii="Times New Roman" w:hAnsi="Times New Roman" w:cs="Times New Roman"/>
          <w:b/>
          <w:bCs/>
        </w:rPr>
        <w:t>Fig</w:t>
      </w:r>
      <w:r w:rsidR="008E09DB">
        <w:rPr>
          <w:rFonts w:ascii="Times New Roman" w:hAnsi="Times New Roman" w:cs="Times New Roman" w:hint="eastAsia"/>
          <w:b/>
          <w:bCs/>
        </w:rPr>
        <w:t>ure</w:t>
      </w:r>
      <w:r w:rsidRPr="00FC616B">
        <w:rPr>
          <w:rFonts w:ascii="Times New Roman" w:hAnsi="Times New Roman" w:cs="Times New Roman"/>
          <w:b/>
          <w:bCs/>
        </w:rPr>
        <w:t xml:space="preserve"> S</w:t>
      </w:r>
      <w:r>
        <w:rPr>
          <w:rFonts w:ascii="Times New Roman" w:hAnsi="Times New Roman" w:cs="Times New Roman" w:hint="eastAsia"/>
          <w:b/>
          <w:bCs/>
        </w:rPr>
        <w:t>3</w:t>
      </w:r>
      <w:r w:rsidR="007B1BB9">
        <w:rPr>
          <w:rFonts w:ascii="Times New Roman" w:hAnsi="Times New Roman" w:cs="Times New Roman" w:hint="eastAsia"/>
          <w:b/>
          <w:bCs/>
          <w:sz w:val="20"/>
          <w:szCs w:val="20"/>
        </w:rPr>
        <w:t xml:space="preserve"> </w:t>
      </w:r>
      <w:r w:rsidR="005C0F64" w:rsidRPr="00405A5F">
        <w:rPr>
          <w:rFonts w:ascii="Times New Roman" w:hAnsi="Times New Roman" w:cs="Times New Roman"/>
          <w:b/>
          <w:bCs/>
          <w:sz w:val="20"/>
          <w:szCs w:val="20"/>
        </w:rPr>
        <w:t>| Infrared spectra of confined ionic species before and after thermal cycling.</w:t>
      </w:r>
      <w:r w:rsidR="005C0F64" w:rsidRPr="00405A5F">
        <w:rPr>
          <w:rFonts w:ascii="Times New Roman" w:hAnsi="Times New Roman" w:cs="Times New Roman"/>
          <w:sz w:val="20"/>
          <w:szCs w:val="20"/>
        </w:rPr>
        <w:br/>
      </w:r>
      <w:r w:rsidR="00FC616B" w:rsidRPr="00FC616B">
        <w:rPr>
          <w:rFonts w:ascii="Times New Roman" w:hAnsi="Times New Roman" w:cs="Times New Roman"/>
          <w:sz w:val="20"/>
          <w:szCs w:val="20"/>
        </w:rPr>
        <w:t xml:space="preserve">IR spectra of </w:t>
      </w:r>
      <w:proofErr w:type="spellStart"/>
      <w:r w:rsidR="00FC616B" w:rsidRPr="00FC616B">
        <w:rPr>
          <w:rFonts w:ascii="Times New Roman" w:hAnsi="Times New Roman" w:cs="Times New Roman"/>
          <w:sz w:val="20"/>
          <w:szCs w:val="20"/>
        </w:rPr>
        <w:t>pMBA</w:t>
      </w:r>
      <w:proofErr w:type="spellEnd"/>
      <w:r w:rsidR="00FC616B" w:rsidRPr="00FC616B">
        <w:rPr>
          <w:rFonts w:ascii="Times New Roman" w:hAnsi="Times New Roman" w:cs="Times New Roman"/>
          <w:sz w:val="20"/>
          <w:szCs w:val="20"/>
        </w:rPr>
        <w:t xml:space="preserve">/BMIM–PF₆ composites without thermal history and after annealing to 300 °C at 10 °C min⁻¹ followed by cooling to room temperature. The characteristic vibrational bands of the imidazolium cation and PF₆⁻ anion remain unchanged upon thermal cycling, indicating the absence of thermal or chemical degradation of the ionic liquid. In contrast, the amide bands of </w:t>
      </w:r>
      <w:proofErr w:type="spellStart"/>
      <w:r w:rsidR="00FC616B" w:rsidRPr="00FC616B">
        <w:rPr>
          <w:rFonts w:ascii="Times New Roman" w:hAnsi="Times New Roman" w:cs="Times New Roman"/>
          <w:sz w:val="20"/>
          <w:szCs w:val="20"/>
        </w:rPr>
        <w:t>pMBA</w:t>
      </w:r>
      <w:proofErr w:type="spellEnd"/>
      <w:r w:rsidR="00FC616B" w:rsidRPr="00FC616B">
        <w:rPr>
          <w:rFonts w:ascii="Times New Roman" w:hAnsi="Times New Roman" w:cs="Times New Roman"/>
          <w:sz w:val="20"/>
          <w:szCs w:val="20"/>
        </w:rPr>
        <w:t xml:space="preserve"> show small, systematic frequency shifts relative to neat </w:t>
      </w:r>
      <w:proofErr w:type="spellStart"/>
      <w:r w:rsidR="00FC616B" w:rsidRPr="00FC616B">
        <w:rPr>
          <w:rFonts w:ascii="Times New Roman" w:hAnsi="Times New Roman" w:cs="Times New Roman"/>
          <w:sz w:val="20"/>
          <w:szCs w:val="20"/>
        </w:rPr>
        <w:t>pMBA</w:t>
      </w:r>
      <w:proofErr w:type="spellEnd"/>
      <w:r w:rsidR="00FC616B" w:rsidRPr="00FC616B">
        <w:rPr>
          <w:rFonts w:ascii="Times New Roman" w:hAnsi="Times New Roman" w:cs="Times New Roman"/>
          <w:sz w:val="20"/>
          <w:szCs w:val="20"/>
        </w:rPr>
        <w:t>, reflecting specific polymer–ion interactions under confinement.</w:t>
      </w:r>
      <w:r w:rsidR="003356A2">
        <w:rPr>
          <w:rFonts w:ascii="Times New Roman" w:hAnsi="Times New Roman" w:cs="Times New Roman" w:hint="eastAsia"/>
          <w:sz w:val="20"/>
          <w:szCs w:val="20"/>
        </w:rPr>
        <w:t xml:space="preserve"> </w:t>
      </w:r>
      <w:r w:rsidR="003356A2" w:rsidRPr="003356A2">
        <w:rPr>
          <w:rFonts w:ascii="Times New Roman" w:hAnsi="Times New Roman" w:cs="Times New Roman"/>
          <w:sz w:val="20"/>
          <w:szCs w:val="20"/>
        </w:rPr>
        <w:t>In addition, a sharpening of the N–H stretching band was observed in the composite, although the origin of this feature remains unclear.</w:t>
      </w:r>
    </w:p>
    <w:p w14:paraId="0DC906E3" w14:textId="77777777" w:rsidR="00DF1664" w:rsidRPr="005C0F64" w:rsidRDefault="00DF1664" w:rsidP="0025056D">
      <w:pPr>
        <w:rPr>
          <w:rFonts w:ascii="Times New Roman" w:hAnsi="Times New Roman" w:cs="Times New Roman"/>
        </w:rPr>
      </w:pPr>
    </w:p>
    <w:p w14:paraId="3E33D7F6" w14:textId="4FA64BBB" w:rsidR="0025056D" w:rsidRPr="00D12EA5" w:rsidRDefault="0025056D">
      <w:pPr>
        <w:widowControl/>
        <w:jc w:val="left"/>
        <w:rPr>
          <w:rFonts w:ascii="Times New Roman" w:hAnsi="Times New Roman" w:cs="Times New Roman"/>
        </w:rPr>
      </w:pPr>
    </w:p>
    <w:p w14:paraId="3E15FBA6" w14:textId="7F288E3F" w:rsidR="0025056D" w:rsidRPr="00D12EA5" w:rsidRDefault="001C638D" w:rsidP="0025056D">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739A7720" wp14:editId="3FDFC298">
            <wp:extent cx="3960000" cy="4886379"/>
            <wp:effectExtent l="0" t="0" r="2540" b="0"/>
            <wp:docPr id="1181689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0000" cy="4886379"/>
                    </a:xfrm>
                    <a:prstGeom prst="rect">
                      <a:avLst/>
                    </a:prstGeom>
                    <a:noFill/>
                  </pic:spPr>
                </pic:pic>
              </a:graphicData>
            </a:graphic>
          </wp:inline>
        </w:drawing>
      </w:r>
    </w:p>
    <w:p w14:paraId="79A1958B" w14:textId="33D9E246" w:rsidR="00D12EA5" w:rsidRPr="00D12EA5" w:rsidRDefault="00FC616B" w:rsidP="0025056D">
      <w:pPr>
        <w:rPr>
          <w:rFonts w:ascii="Times New Roman" w:hAnsi="Times New Roman" w:cs="Times New Roman"/>
        </w:rPr>
      </w:pPr>
      <w:r w:rsidRPr="00FC616B">
        <w:rPr>
          <w:rFonts w:ascii="Times New Roman" w:hAnsi="Times New Roman" w:cs="Times New Roman"/>
          <w:b/>
          <w:bCs/>
        </w:rPr>
        <w:t>Fig</w:t>
      </w:r>
      <w:r w:rsidR="008E09DB">
        <w:rPr>
          <w:rFonts w:ascii="Times New Roman" w:hAnsi="Times New Roman" w:cs="Times New Roman" w:hint="eastAsia"/>
          <w:b/>
          <w:bCs/>
        </w:rPr>
        <w:t>ure</w:t>
      </w:r>
      <w:r w:rsidRPr="00FC616B">
        <w:rPr>
          <w:rFonts w:ascii="Times New Roman" w:hAnsi="Times New Roman" w:cs="Times New Roman"/>
          <w:b/>
          <w:bCs/>
        </w:rPr>
        <w:t xml:space="preserve"> S4 | X</w:t>
      </w:r>
      <w:r w:rsidRPr="00FC616B">
        <w:rPr>
          <w:rFonts w:ascii="Times New Roman" w:hAnsi="Times New Roman" w:cs="Times New Roman"/>
          <w:b/>
          <w:bCs/>
        </w:rPr>
        <w:noBreakHyphen/>
        <w:t>ray fluorescence confirmation of ionic</w:t>
      </w:r>
      <w:r w:rsidRPr="00FC616B">
        <w:rPr>
          <w:rFonts w:ascii="Times New Roman" w:hAnsi="Times New Roman" w:cs="Times New Roman"/>
          <w:b/>
          <w:bCs/>
        </w:rPr>
        <w:noBreakHyphen/>
        <w:t>liquid retention.</w:t>
      </w:r>
      <w:r w:rsidRPr="00FC616B">
        <w:rPr>
          <w:rFonts w:ascii="Times New Roman" w:hAnsi="Times New Roman" w:cs="Times New Roman"/>
          <w:b/>
          <w:bCs/>
        </w:rPr>
        <w:br/>
      </w:r>
      <w:r w:rsidRPr="00FC616B">
        <w:rPr>
          <w:rFonts w:ascii="Times New Roman" w:hAnsi="Times New Roman" w:cs="Times New Roman"/>
        </w:rPr>
        <w:t>X</w:t>
      </w:r>
      <w:r w:rsidRPr="00FC616B">
        <w:rPr>
          <w:rFonts w:ascii="Times New Roman" w:hAnsi="Times New Roman" w:cs="Times New Roman"/>
        </w:rPr>
        <w:noBreakHyphen/>
        <w:t xml:space="preserve">ray fluorescence (XRF) spectrum of the </w:t>
      </w:r>
      <w:proofErr w:type="spellStart"/>
      <w:r w:rsidRPr="00FC616B">
        <w:rPr>
          <w:rFonts w:ascii="Times New Roman" w:hAnsi="Times New Roman" w:cs="Times New Roman"/>
        </w:rPr>
        <w:t>pMBA</w:t>
      </w:r>
      <w:proofErr w:type="spellEnd"/>
      <w:r w:rsidRPr="00FC616B">
        <w:rPr>
          <w:rFonts w:ascii="Times New Roman" w:hAnsi="Times New Roman" w:cs="Times New Roman"/>
        </w:rPr>
        <w:t>/BMIM–PF₆ composite showing the characteristic phosphorus (P) signal associated with the PF₆⁻ anion. The XRF measurement was performed by collecting fluorescence signals with energies higher than that of Na, ensuring reliable detection of heavier elements. The P signal is retained after thermal treatment up to 300 °C, indicating the presence and chemical stability of BMIM–PF₆ within the polymer matrix under thermal cycling conditions. Additional signals corresponding to Si and Al are also observed; these are attributed to minor contamination arising from corrosion of the glass reaction vessel by hydrofluoric acid generated during synthesis, rather than from the composite itself. This elemental analysis independently supports the infrared spectroscopy results and excludes depletion or decomposition of the ionic liquid as the origin of the suppressed thermal transitions observed in DSC.</w:t>
      </w:r>
    </w:p>
    <w:p w14:paraId="56C27890" w14:textId="77777777" w:rsidR="00D12EA5" w:rsidRDefault="00D12EA5">
      <w:pPr>
        <w:widowControl/>
        <w:jc w:val="left"/>
        <w:rPr>
          <w:rFonts w:ascii="Times New Roman" w:hAnsi="Times New Roman" w:cs="Times New Roman"/>
        </w:rPr>
      </w:pPr>
      <w:r>
        <w:rPr>
          <w:rFonts w:ascii="Times New Roman" w:hAnsi="Times New Roman" w:cs="Times New Roman"/>
        </w:rPr>
        <w:br w:type="page"/>
      </w:r>
    </w:p>
    <w:p w14:paraId="2B96E670" w14:textId="6C649660" w:rsidR="0025056D" w:rsidRPr="00D12EA5" w:rsidRDefault="0025056D">
      <w:pPr>
        <w:widowControl/>
        <w:jc w:val="left"/>
        <w:rPr>
          <w:rFonts w:ascii="Times New Roman" w:hAnsi="Times New Roman" w:cs="Times New Roman"/>
        </w:rPr>
      </w:pPr>
    </w:p>
    <w:p w14:paraId="743329EB" w14:textId="57B61A95" w:rsidR="00F45EF4" w:rsidRPr="00D12EA5" w:rsidRDefault="00F45EF4" w:rsidP="00F45EF4">
      <w:pPr>
        <w:jc w:val="center"/>
        <w:rPr>
          <w:rFonts w:ascii="Times New Roman" w:hAnsi="Times New Roman" w:cs="Times New Roman"/>
          <w:b/>
          <w:bCs/>
        </w:rPr>
      </w:pPr>
      <w:r w:rsidRPr="00D12EA5">
        <w:rPr>
          <w:rFonts w:ascii="Times New Roman" w:hAnsi="Times New Roman" w:cs="Times New Roman"/>
          <w:noProof/>
        </w:rPr>
        <w:drawing>
          <wp:inline distT="0" distB="0" distL="0" distR="0" wp14:anchorId="48FCF7C6" wp14:editId="665053A9">
            <wp:extent cx="3886200" cy="2917392"/>
            <wp:effectExtent l="0" t="0" r="0" b="0"/>
            <wp:docPr id="142023592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5704" cy="2924526"/>
                    </a:xfrm>
                    <a:prstGeom prst="rect">
                      <a:avLst/>
                    </a:prstGeom>
                    <a:noFill/>
                    <a:ln>
                      <a:noFill/>
                    </a:ln>
                  </pic:spPr>
                </pic:pic>
              </a:graphicData>
            </a:graphic>
          </wp:inline>
        </w:drawing>
      </w:r>
    </w:p>
    <w:p w14:paraId="0CB8B8AA" w14:textId="77777777" w:rsidR="005B3CB9" w:rsidRPr="005B3CB9" w:rsidRDefault="00FC616B" w:rsidP="005B3CB9">
      <w:pPr>
        <w:widowControl/>
        <w:rPr>
          <w:rFonts w:ascii="Times New Roman" w:hAnsi="Times New Roman" w:cs="Times New Roman"/>
        </w:rPr>
      </w:pPr>
      <w:r w:rsidRPr="00FC616B">
        <w:rPr>
          <w:rFonts w:ascii="Times New Roman" w:hAnsi="Times New Roman" w:cs="Times New Roman"/>
          <w:b/>
          <w:bCs/>
        </w:rPr>
        <w:t>Fig</w:t>
      </w:r>
      <w:r w:rsidR="008E09DB">
        <w:rPr>
          <w:rFonts w:ascii="Times New Roman" w:hAnsi="Times New Roman" w:cs="Times New Roman" w:hint="eastAsia"/>
          <w:b/>
          <w:bCs/>
        </w:rPr>
        <w:t>ure</w:t>
      </w:r>
      <w:r w:rsidRPr="00FC616B">
        <w:rPr>
          <w:rFonts w:ascii="Times New Roman" w:hAnsi="Times New Roman" w:cs="Times New Roman"/>
          <w:b/>
          <w:bCs/>
        </w:rPr>
        <w:t xml:space="preserve"> S5 | Para</w:t>
      </w:r>
      <w:r w:rsidRPr="00FC616B">
        <w:rPr>
          <w:rFonts w:ascii="Times New Roman" w:hAnsi="Times New Roman" w:cs="Times New Roman"/>
          <w:b/>
          <w:bCs/>
        </w:rPr>
        <w:noBreakHyphen/>
        <w:t>linked aramid control experiment.</w:t>
      </w:r>
      <w:r w:rsidRPr="00FC616B">
        <w:rPr>
          <w:rFonts w:ascii="Times New Roman" w:hAnsi="Times New Roman" w:cs="Times New Roman"/>
          <w:b/>
          <w:bCs/>
        </w:rPr>
        <w:br/>
      </w:r>
      <w:r w:rsidRPr="00FC616B">
        <w:rPr>
          <w:rFonts w:ascii="Times New Roman" w:hAnsi="Times New Roman" w:cs="Times New Roman"/>
        </w:rPr>
        <w:t>Room</w:t>
      </w:r>
      <w:r w:rsidRPr="00FC616B">
        <w:rPr>
          <w:rFonts w:ascii="Times New Roman" w:hAnsi="Times New Roman" w:cs="Times New Roman"/>
        </w:rPr>
        <w:noBreakHyphen/>
        <w:t>temperature powder X</w:t>
      </w:r>
      <w:r w:rsidRPr="00FC616B">
        <w:rPr>
          <w:rFonts w:ascii="Times New Roman" w:hAnsi="Times New Roman" w:cs="Times New Roman"/>
        </w:rPr>
        <w:noBreakHyphen/>
        <w:t>ray diffraction pattern of poly(para</w:t>
      </w:r>
      <w:r w:rsidRPr="00FC616B">
        <w:rPr>
          <w:rFonts w:ascii="Times New Roman" w:hAnsi="Times New Roman" w:cs="Times New Roman"/>
        </w:rPr>
        <w:noBreakHyphen/>
        <w:t>benzamide) (</w:t>
      </w:r>
      <w:proofErr w:type="spellStart"/>
      <w:r w:rsidRPr="00FC616B">
        <w:rPr>
          <w:rFonts w:ascii="Times New Roman" w:hAnsi="Times New Roman" w:cs="Times New Roman"/>
        </w:rPr>
        <w:t>pPBA</w:t>
      </w:r>
      <w:proofErr w:type="spellEnd"/>
      <w:r w:rsidRPr="00FC616B">
        <w:rPr>
          <w:rFonts w:ascii="Times New Roman" w:hAnsi="Times New Roman" w:cs="Times New Roman"/>
        </w:rPr>
        <w:t xml:space="preserve">) synthesized using BMIM–PF₆ as the polymerization medium under conditions otherwise identical to those applied for the </w:t>
      </w:r>
      <w:proofErr w:type="spellStart"/>
      <w:r w:rsidRPr="00FC616B">
        <w:rPr>
          <w:rFonts w:ascii="Times New Roman" w:hAnsi="Times New Roman" w:cs="Times New Roman"/>
        </w:rPr>
        <w:t>pMBA</w:t>
      </w:r>
      <w:proofErr w:type="spellEnd"/>
      <w:r w:rsidRPr="00FC616B">
        <w:rPr>
          <w:rFonts w:ascii="Times New Roman" w:hAnsi="Times New Roman" w:cs="Times New Roman"/>
        </w:rPr>
        <w:t xml:space="preserve"> system. Only diffraction peaks attributable to crystalline </w:t>
      </w:r>
      <w:proofErr w:type="spellStart"/>
      <w:r w:rsidRPr="00FC616B">
        <w:rPr>
          <w:rFonts w:ascii="Times New Roman" w:hAnsi="Times New Roman" w:cs="Times New Roman"/>
        </w:rPr>
        <w:t>pPBA</w:t>
      </w:r>
      <w:proofErr w:type="spellEnd"/>
      <w:r w:rsidRPr="00FC616B">
        <w:rPr>
          <w:rFonts w:ascii="Times New Roman" w:hAnsi="Times New Roman" w:cs="Times New Roman"/>
        </w:rPr>
        <w:t xml:space="preserve"> are observed, with no Bragg reflections corresponding to crystalline BMIM–PF₆. In contrast to the meta</w:t>
      </w:r>
      <w:r w:rsidRPr="00FC616B">
        <w:rPr>
          <w:rFonts w:ascii="Times New Roman" w:hAnsi="Times New Roman" w:cs="Times New Roman"/>
        </w:rPr>
        <w:noBreakHyphen/>
        <w:t xml:space="preserve">linked </w:t>
      </w:r>
      <w:proofErr w:type="spellStart"/>
      <w:r w:rsidRPr="00FC616B">
        <w:rPr>
          <w:rFonts w:ascii="Times New Roman" w:hAnsi="Times New Roman" w:cs="Times New Roman"/>
        </w:rPr>
        <w:t>pMBA</w:t>
      </w:r>
      <w:proofErr w:type="spellEnd"/>
      <w:r w:rsidRPr="00FC616B">
        <w:rPr>
          <w:rFonts w:ascii="Times New Roman" w:hAnsi="Times New Roman" w:cs="Times New Roman"/>
        </w:rPr>
        <w:t xml:space="preserve"> matrix, the para</w:t>
      </w:r>
      <w:r w:rsidRPr="00FC616B">
        <w:rPr>
          <w:rFonts w:ascii="Times New Roman" w:hAnsi="Times New Roman" w:cs="Times New Roman"/>
        </w:rPr>
        <w:noBreakHyphen/>
        <w:t>linked aramid does not stabilize a crystalline ionic</w:t>
      </w:r>
      <w:r w:rsidRPr="00FC616B">
        <w:rPr>
          <w:rFonts w:ascii="Times New Roman" w:hAnsi="Times New Roman" w:cs="Times New Roman"/>
        </w:rPr>
        <w:noBreakHyphen/>
        <w:t xml:space="preserve">liquid phase, </w:t>
      </w:r>
      <w:r w:rsidR="005B3CB9" w:rsidRPr="005B3CB9">
        <w:rPr>
          <w:rFonts w:ascii="Times New Roman" w:hAnsi="Times New Roman" w:cs="Times New Roman"/>
        </w:rPr>
        <w:t>indicating that polymer topology plays a critical role in stabilizing the ordered confined ionic phase.</w:t>
      </w:r>
    </w:p>
    <w:p w14:paraId="754D45D4" w14:textId="2590FD5E" w:rsidR="00181FA5" w:rsidRPr="00D12EA5" w:rsidRDefault="00181FA5" w:rsidP="00FC616B">
      <w:pPr>
        <w:widowControl/>
        <w:rPr>
          <w:rFonts w:ascii="Times New Roman" w:hAnsi="Times New Roman" w:cs="Times New Roman"/>
        </w:rPr>
      </w:pPr>
      <w:r w:rsidRPr="00D12EA5">
        <w:rPr>
          <w:rFonts w:ascii="Times New Roman" w:hAnsi="Times New Roman" w:cs="Times New Roman"/>
        </w:rPr>
        <w:br w:type="page"/>
      </w:r>
    </w:p>
    <w:p w14:paraId="1BAC7722" w14:textId="2E0522C3" w:rsidR="00D524CE" w:rsidRPr="00D12EA5" w:rsidRDefault="00D524CE" w:rsidP="00D524CE">
      <w:pPr>
        <w:rPr>
          <w:rFonts w:ascii="Times New Roman" w:hAnsi="Times New Roman" w:cs="Times New Roman"/>
          <w:b/>
          <w:bCs/>
        </w:rPr>
      </w:pPr>
      <w:r w:rsidRPr="00D12EA5">
        <w:rPr>
          <w:rFonts w:ascii="Times New Roman" w:hAnsi="Times New Roman" w:cs="Times New Roman"/>
          <w:b/>
          <w:bCs/>
        </w:rPr>
        <w:lastRenderedPageBreak/>
        <w:t>Supplementary Table</w:t>
      </w:r>
    </w:p>
    <w:p w14:paraId="58822C11" w14:textId="77777777" w:rsidR="00D524CE" w:rsidRPr="00D12EA5" w:rsidRDefault="00D524CE">
      <w:pPr>
        <w:rPr>
          <w:rFonts w:ascii="Times New Roman" w:hAnsi="Times New Roman" w:cs="Times New Roman"/>
          <w:b/>
          <w:bCs/>
        </w:rPr>
      </w:pPr>
    </w:p>
    <w:p w14:paraId="615B02D4" w14:textId="3E82B7C2" w:rsidR="0025056D" w:rsidRPr="005B3CB9" w:rsidRDefault="00181FA5">
      <w:pPr>
        <w:rPr>
          <w:rFonts w:ascii="Times New Roman" w:hAnsi="Times New Roman" w:cs="Times New Roman" w:hint="eastAsia"/>
          <w:b/>
          <w:bCs/>
        </w:rPr>
      </w:pPr>
      <w:r w:rsidRPr="00D12EA5">
        <w:rPr>
          <w:rFonts w:ascii="Times New Roman" w:hAnsi="Times New Roman" w:cs="Times New Roman"/>
          <w:b/>
          <w:bCs/>
        </w:rPr>
        <w:t xml:space="preserve">Table S1. </w:t>
      </w:r>
      <w:r w:rsidR="005B3CB9" w:rsidRPr="005B3CB9">
        <w:rPr>
          <w:rFonts w:ascii="Times New Roman" w:hAnsi="Times New Roman" w:cs="Times New Roman"/>
          <w:b/>
          <w:bCs/>
        </w:rPr>
        <w:t>Comparison of observed diffraction peak positions for bulk and confined BMIM–PF6 phases</w:t>
      </w:r>
    </w:p>
    <w:p w14:paraId="0792D825" w14:textId="095E4EEB" w:rsidR="00181FA5" w:rsidRPr="00D12EA5" w:rsidRDefault="00181FA5">
      <w:pPr>
        <w:rPr>
          <w:rFonts w:ascii="Times New Roman" w:hAnsi="Times New Roman" w:cs="Times New Roman"/>
        </w:rPr>
      </w:pPr>
      <w:r w:rsidRPr="00D12EA5">
        <w:rPr>
          <w:rFonts w:ascii="Times New Roman" w:hAnsi="Times New Roman" w:cs="Times New Roman"/>
          <w:noProof/>
        </w:rPr>
        <w:drawing>
          <wp:inline distT="0" distB="0" distL="0" distR="0" wp14:anchorId="17952DB8" wp14:editId="18286D78">
            <wp:extent cx="5400040" cy="1306195"/>
            <wp:effectExtent l="0" t="0" r="0" b="8255"/>
            <wp:docPr id="190437155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1306195"/>
                    </a:xfrm>
                    <a:prstGeom prst="rect">
                      <a:avLst/>
                    </a:prstGeom>
                    <a:noFill/>
                    <a:ln>
                      <a:noFill/>
                    </a:ln>
                  </pic:spPr>
                </pic:pic>
              </a:graphicData>
            </a:graphic>
          </wp:inline>
        </w:drawing>
      </w:r>
    </w:p>
    <w:sectPr w:rsidR="00181FA5" w:rsidRPr="00D12EA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5C97" w14:textId="77777777" w:rsidR="00ED0EC3" w:rsidRDefault="00ED0EC3" w:rsidP="004130E6">
      <w:r>
        <w:separator/>
      </w:r>
    </w:p>
  </w:endnote>
  <w:endnote w:type="continuationSeparator" w:id="0">
    <w:p w14:paraId="44DD2319" w14:textId="77777777" w:rsidR="00ED0EC3" w:rsidRDefault="00ED0EC3" w:rsidP="00413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CCE1C" w14:textId="77777777" w:rsidR="00ED0EC3" w:rsidRDefault="00ED0EC3" w:rsidP="004130E6">
      <w:r>
        <w:separator/>
      </w:r>
    </w:p>
  </w:footnote>
  <w:footnote w:type="continuationSeparator" w:id="0">
    <w:p w14:paraId="325946CC" w14:textId="77777777" w:rsidR="00ED0EC3" w:rsidRDefault="00ED0EC3" w:rsidP="004130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6D"/>
    <w:rsid w:val="000472EB"/>
    <w:rsid w:val="000761CE"/>
    <w:rsid w:val="000C73D6"/>
    <w:rsid w:val="000D7BA8"/>
    <w:rsid w:val="00107166"/>
    <w:rsid w:val="00110C4F"/>
    <w:rsid w:val="001123D8"/>
    <w:rsid w:val="00142485"/>
    <w:rsid w:val="001704F2"/>
    <w:rsid w:val="00181FA5"/>
    <w:rsid w:val="001B54A7"/>
    <w:rsid w:val="001C638D"/>
    <w:rsid w:val="001C66E0"/>
    <w:rsid w:val="0025056D"/>
    <w:rsid w:val="00255952"/>
    <w:rsid w:val="00274D5C"/>
    <w:rsid w:val="002C6172"/>
    <w:rsid w:val="002E677E"/>
    <w:rsid w:val="002F15E2"/>
    <w:rsid w:val="00304E1D"/>
    <w:rsid w:val="003272A0"/>
    <w:rsid w:val="003356A2"/>
    <w:rsid w:val="003805E0"/>
    <w:rsid w:val="003921BE"/>
    <w:rsid w:val="00393A1B"/>
    <w:rsid w:val="003F125E"/>
    <w:rsid w:val="004130E6"/>
    <w:rsid w:val="0049030D"/>
    <w:rsid w:val="00516858"/>
    <w:rsid w:val="00541E4B"/>
    <w:rsid w:val="00562B50"/>
    <w:rsid w:val="00593573"/>
    <w:rsid w:val="005A0F0E"/>
    <w:rsid w:val="005B3CB9"/>
    <w:rsid w:val="005C0F64"/>
    <w:rsid w:val="005F42DF"/>
    <w:rsid w:val="006B2F3B"/>
    <w:rsid w:val="006E232F"/>
    <w:rsid w:val="007375BB"/>
    <w:rsid w:val="00781B20"/>
    <w:rsid w:val="007B1BB9"/>
    <w:rsid w:val="007B3F2B"/>
    <w:rsid w:val="007D27C0"/>
    <w:rsid w:val="00856310"/>
    <w:rsid w:val="0087680D"/>
    <w:rsid w:val="00892556"/>
    <w:rsid w:val="008954E7"/>
    <w:rsid w:val="008E09DB"/>
    <w:rsid w:val="008E586E"/>
    <w:rsid w:val="0095678C"/>
    <w:rsid w:val="00A028F1"/>
    <w:rsid w:val="00A748D6"/>
    <w:rsid w:val="00A95E47"/>
    <w:rsid w:val="00AA7BB1"/>
    <w:rsid w:val="00AB0C2A"/>
    <w:rsid w:val="00B12BAC"/>
    <w:rsid w:val="00C31330"/>
    <w:rsid w:val="00D12EA5"/>
    <w:rsid w:val="00D524CE"/>
    <w:rsid w:val="00D747D4"/>
    <w:rsid w:val="00DB0679"/>
    <w:rsid w:val="00DD1383"/>
    <w:rsid w:val="00DD5DC1"/>
    <w:rsid w:val="00DF1664"/>
    <w:rsid w:val="00E1519D"/>
    <w:rsid w:val="00E25658"/>
    <w:rsid w:val="00E316AD"/>
    <w:rsid w:val="00E85EE9"/>
    <w:rsid w:val="00EA5B42"/>
    <w:rsid w:val="00EC1C25"/>
    <w:rsid w:val="00ED0EC3"/>
    <w:rsid w:val="00F30505"/>
    <w:rsid w:val="00F45990"/>
    <w:rsid w:val="00F45EF4"/>
    <w:rsid w:val="00F549E9"/>
    <w:rsid w:val="00F84D94"/>
    <w:rsid w:val="00FC616B"/>
    <w:rsid w:val="00FF2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0AB917"/>
  <w15:chartTrackingRefBased/>
  <w15:docId w15:val="{909CF385-6552-44E9-8C36-4756C20A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5056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056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056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5056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056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056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056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056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056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05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05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056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505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05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05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05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05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05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056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05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056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05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056D"/>
    <w:pPr>
      <w:spacing w:before="160" w:after="160"/>
      <w:jc w:val="center"/>
    </w:pPr>
    <w:rPr>
      <w:i/>
      <w:iCs/>
      <w:color w:val="404040" w:themeColor="text1" w:themeTint="BF"/>
    </w:rPr>
  </w:style>
  <w:style w:type="character" w:customStyle="1" w:styleId="a8">
    <w:name w:val="引用文 (文字)"/>
    <w:basedOn w:val="a0"/>
    <w:link w:val="a7"/>
    <w:uiPriority w:val="29"/>
    <w:rsid w:val="0025056D"/>
    <w:rPr>
      <w:i/>
      <w:iCs/>
      <w:color w:val="404040" w:themeColor="text1" w:themeTint="BF"/>
    </w:rPr>
  </w:style>
  <w:style w:type="paragraph" w:styleId="a9">
    <w:name w:val="List Paragraph"/>
    <w:basedOn w:val="a"/>
    <w:uiPriority w:val="34"/>
    <w:qFormat/>
    <w:rsid w:val="0025056D"/>
    <w:pPr>
      <w:ind w:left="720"/>
      <w:contextualSpacing/>
    </w:pPr>
  </w:style>
  <w:style w:type="character" w:styleId="21">
    <w:name w:val="Intense Emphasis"/>
    <w:basedOn w:val="a0"/>
    <w:uiPriority w:val="21"/>
    <w:qFormat/>
    <w:rsid w:val="0025056D"/>
    <w:rPr>
      <w:i/>
      <w:iCs/>
      <w:color w:val="0F4761" w:themeColor="accent1" w:themeShade="BF"/>
    </w:rPr>
  </w:style>
  <w:style w:type="paragraph" w:styleId="22">
    <w:name w:val="Intense Quote"/>
    <w:basedOn w:val="a"/>
    <w:next w:val="a"/>
    <w:link w:val="23"/>
    <w:uiPriority w:val="30"/>
    <w:qFormat/>
    <w:rsid w:val="00250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5056D"/>
    <w:rPr>
      <w:i/>
      <w:iCs/>
      <w:color w:val="0F4761" w:themeColor="accent1" w:themeShade="BF"/>
    </w:rPr>
  </w:style>
  <w:style w:type="character" w:styleId="24">
    <w:name w:val="Intense Reference"/>
    <w:basedOn w:val="a0"/>
    <w:uiPriority w:val="32"/>
    <w:qFormat/>
    <w:rsid w:val="0025056D"/>
    <w:rPr>
      <w:b/>
      <w:bCs/>
      <w:smallCaps/>
      <w:color w:val="0F4761" w:themeColor="accent1" w:themeShade="BF"/>
      <w:spacing w:val="5"/>
    </w:rPr>
  </w:style>
  <w:style w:type="paragraph" w:styleId="aa">
    <w:name w:val="header"/>
    <w:basedOn w:val="a"/>
    <w:link w:val="ab"/>
    <w:uiPriority w:val="99"/>
    <w:unhideWhenUsed/>
    <w:rsid w:val="004130E6"/>
    <w:pPr>
      <w:tabs>
        <w:tab w:val="center" w:pos="4252"/>
        <w:tab w:val="right" w:pos="8504"/>
      </w:tabs>
      <w:snapToGrid w:val="0"/>
    </w:pPr>
  </w:style>
  <w:style w:type="character" w:customStyle="1" w:styleId="ab">
    <w:name w:val="ヘッダー (文字)"/>
    <w:basedOn w:val="a0"/>
    <w:link w:val="aa"/>
    <w:uiPriority w:val="99"/>
    <w:rsid w:val="004130E6"/>
  </w:style>
  <w:style w:type="paragraph" w:styleId="ac">
    <w:name w:val="footer"/>
    <w:basedOn w:val="a"/>
    <w:link w:val="ad"/>
    <w:uiPriority w:val="99"/>
    <w:unhideWhenUsed/>
    <w:rsid w:val="004130E6"/>
    <w:pPr>
      <w:tabs>
        <w:tab w:val="center" w:pos="4252"/>
        <w:tab w:val="right" w:pos="8504"/>
      </w:tabs>
      <w:snapToGrid w:val="0"/>
    </w:pPr>
  </w:style>
  <w:style w:type="character" w:customStyle="1" w:styleId="ad">
    <w:name w:val="フッター (文字)"/>
    <w:basedOn w:val="a0"/>
    <w:link w:val="ac"/>
    <w:uiPriority w:val="99"/>
    <w:rsid w:val="004130E6"/>
  </w:style>
  <w:style w:type="character" w:styleId="ae">
    <w:name w:val="Hyperlink"/>
    <w:basedOn w:val="a0"/>
    <w:uiPriority w:val="99"/>
    <w:unhideWhenUsed/>
    <w:rsid w:val="00FC616B"/>
    <w:rPr>
      <w:color w:val="467886" w:themeColor="hyperlink"/>
      <w:u w:val="single"/>
    </w:rPr>
  </w:style>
  <w:style w:type="character" w:styleId="af">
    <w:name w:val="Unresolved Mention"/>
    <w:basedOn w:val="a0"/>
    <w:uiPriority w:val="99"/>
    <w:semiHidden/>
    <w:unhideWhenUsed/>
    <w:rsid w:val="00FC6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1224">
      <w:bodyDiv w:val="1"/>
      <w:marLeft w:val="0"/>
      <w:marRight w:val="0"/>
      <w:marTop w:val="0"/>
      <w:marBottom w:val="0"/>
      <w:divBdr>
        <w:top w:val="none" w:sz="0" w:space="0" w:color="auto"/>
        <w:left w:val="none" w:sz="0" w:space="0" w:color="auto"/>
        <w:bottom w:val="none" w:sz="0" w:space="0" w:color="auto"/>
        <w:right w:val="none" w:sz="0" w:space="0" w:color="auto"/>
      </w:divBdr>
      <w:divsChild>
        <w:div w:id="649018913">
          <w:marLeft w:val="0"/>
          <w:marRight w:val="0"/>
          <w:marTop w:val="0"/>
          <w:marBottom w:val="0"/>
          <w:divBdr>
            <w:top w:val="none" w:sz="0" w:space="0" w:color="auto"/>
            <w:left w:val="none" w:sz="0" w:space="0" w:color="auto"/>
            <w:bottom w:val="none" w:sz="0" w:space="0" w:color="auto"/>
            <w:right w:val="none" w:sz="0" w:space="0" w:color="auto"/>
          </w:divBdr>
        </w:div>
      </w:divsChild>
    </w:div>
    <w:div w:id="14188102">
      <w:bodyDiv w:val="1"/>
      <w:marLeft w:val="0"/>
      <w:marRight w:val="0"/>
      <w:marTop w:val="0"/>
      <w:marBottom w:val="0"/>
      <w:divBdr>
        <w:top w:val="none" w:sz="0" w:space="0" w:color="auto"/>
        <w:left w:val="none" w:sz="0" w:space="0" w:color="auto"/>
        <w:bottom w:val="none" w:sz="0" w:space="0" w:color="auto"/>
        <w:right w:val="none" w:sz="0" w:space="0" w:color="auto"/>
      </w:divBdr>
      <w:divsChild>
        <w:div w:id="1687630077">
          <w:marLeft w:val="0"/>
          <w:marRight w:val="0"/>
          <w:marTop w:val="0"/>
          <w:marBottom w:val="0"/>
          <w:divBdr>
            <w:top w:val="none" w:sz="0" w:space="0" w:color="auto"/>
            <w:left w:val="none" w:sz="0" w:space="0" w:color="auto"/>
            <w:bottom w:val="none" w:sz="0" w:space="0" w:color="auto"/>
            <w:right w:val="none" w:sz="0" w:space="0" w:color="auto"/>
          </w:divBdr>
        </w:div>
      </w:divsChild>
    </w:div>
    <w:div w:id="277953826">
      <w:bodyDiv w:val="1"/>
      <w:marLeft w:val="0"/>
      <w:marRight w:val="0"/>
      <w:marTop w:val="0"/>
      <w:marBottom w:val="0"/>
      <w:divBdr>
        <w:top w:val="none" w:sz="0" w:space="0" w:color="auto"/>
        <w:left w:val="none" w:sz="0" w:space="0" w:color="auto"/>
        <w:bottom w:val="none" w:sz="0" w:space="0" w:color="auto"/>
        <w:right w:val="none" w:sz="0" w:space="0" w:color="auto"/>
      </w:divBdr>
      <w:divsChild>
        <w:div w:id="527135539">
          <w:marLeft w:val="0"/>
          <w:marRight w:val="0"/>
          <w:marTop w:val="0"/>
          <w:marBottom w:val="0"/>
          <w:divBdr>
            <w:top w:val="none" w:sz="0" w:space="0" w:color="auto"/>
            <w:left w:val="none" w:sz="0" w:space="0" w:color="auto"/>
            <w:bottom w:val="none" w:sz="0" w:space="0" w:color="auto"/>
            <w:right w:val="none" w:sz="0" w:space="0" w:color="auto"/>
          </w:divBdr>
        </w:div>
      </w:divsChild>
    </w:div>
    <w:div w:id="376390524">
      <w:bodyDiv w:val="1"/>
      <w:marLeft w:val="0"/>
      <w:marRight w:val="0"/>
      <w:marTop w:val="0"/>
      <w:marBottom w:val="0"/>
      <w:divBdr>
        <w:top w:val="none" w:sz="0" w:space="0" w:color="auto"/>
        <w:left w:val="none" w:sz="0" w:space="0" w:color="auto"/>
        <w:bottom w:val="none" w:sz="0" w:space="0" w:color="auto"/>
        <w:right w:val="none" w:sz="0" w:space="0" w:color="auto"/>
      </w:divBdr>
      <w:divsChild>
        <w:div w:id="608246300">
          <w:marLeft w:val="0"/>
          <w:marRight w:val="0"/>
          <w:marTop w:val="0"/>
          <w:marBottom w:val="0"/>
          <w:divBdr>
            <w:top w:val="none" w:sz="0" w:space="0" w:color="auto"/>
            <w:left w:val="none" w:sz="0" w:space="0" w:color="auto"/>
            <w:bottom w:val="none" w:sz="0" w:space="0" w:color="auto"/>
            <w:right w:val="none" w:sz="0" w:space="0" w:color="auto"/>
          </w:divBdr>
        </w:div>
        <w:div w:id="672997118">
          <w:marLeft w:val="0"/>
          <w:marRight w:val="0"/>
          <w:marTop w:val="0"/>
          <w:marBottom w:val="0"/>
          <w:divBdr>
            <w:top w:val="none" w:sz="0" w:space="0" w:color="auto"/>
            <w:left w:val="none" w:sz="0" w:space="0" w:color="auto"/>
            <w:bottom w:val="none" w:sz="0" w:space="0" w:color="auto"/>
            <w:right w:val="none" w:sz="0" w:space="0" w:color="auto"/>
          </w:divBdr>
        </w:div>
      </w:divsChild>
    </w:div>
    <w:div w:id="403644577">
      <w:bodyDiv w:val="1"/>
      <w:marLeft w:val="0"/>
      <w:marRight w:val="0"/>
      <w:marTop w:val="0"/>
      <w:marBottom w:val="0"/>
      <w:divBdr>
        <w:top w:val="none" w:sz="0" w:space="0" w:color="auto"/>
        <w:left w:val="none" w:sz="0" w:space="0" w:color="auto"/>
        <w:bottom w:val="none" w:sz="0" w:space="0" w:color="auto"/>
        <w:right w:val="none" w:sz="0" w:space="0" w:color="auto"/>
      </w:divBdr>
      <w:divsChild>
        <w:div w:id="485165401">
          <w:marLeft w:val="0"/>
          <w:marRight w:val="0"/>
          <w:marTop w:val="0"/>
          <w:marBottom w:val="0"/>
          <w:divBdr>
            <w:top w:val="none" w:sz="0" w:space="0" w:color="auto"/>
            <w:left w:val="none" w:sz="0" w:space="0" w:color="auto"/>
            <w:bottom w:val="none" w:sz="0" w:space="0" w:color="auto"/>
            <w:right w:val="none" w:sz="0" w:space="0" w:color="auto"/>
          </w:divBdr>
        </w:div>
      </w:divsChild>
    </w:div>
    <w:div w:id="489490822">
      <w:bodyDiv w:val="1"/>
      <w:marLeft w:val="0"/>
      <w:marRight w:val="0"/>
      <w:marTop w:val="0"/>
      <w:marBottom w:val="0"/>
      <w:divBdr>
        <w:top w:val="none" w:sz="0" w:space="0" w:color="auto"/>
        <w:left w:val="none" w:sz="0" w:space="0" w:color="auto"/>
        <w:bottom w:val="none" w:sz="0" w:space="0" w:color="auto"/>
        <w:right w:val="none" w:sz="0" w:space="0" w:color="auto"/>
      </w:divBdr>
      <w:divsChild>
        <w:div w:id="1148279555">
          <w:marLeft w:val="0"/>
          <w:marRight w:val="0"/>
          <w:marTop w:val="0"/>
          <w:marBottom w:val="0"/>
          <w:divBdr>
            <w:top w:val="none" w:sz="0" w:space="0" w:color="auto"/>
            <w:left w:val="none" w:sz="0" w:space="0" w:color="auto"/>
            <w:bottom w:val="none" w:sz="0" w:space="0" w:color="auto"/>
            <w:right w:val="none" w:sz="0" w:space="0" w:color="auto"/>
          </w:divBdr>
        </w:div>
      </w:divsChild>
    </w:div>
    <w:div w:id="592130038">
      <w:bodyDiv w:val="1"/>
      <w:marLeft w:val="0"/>
      <w:marRight w:val="0"/>
      <w:marTop w:val="0"/>
      <w:marBottom w:val="0"/>
      <w:divBdr>
        <w:top w:val="none" w:sz="0" w:space="0" w:color="auto"/>
        <w:left w:val="none" w:sz="0" w:space="0" w:color="auto"/>
        <w:bottom w:val="none" w:sz="0" w:space="0" w:color="auto"/>
        <w:right w:val="none" w:sz="0" w:space="0" w:color="auto"/>
      </w:divBdr>
    </w:div>
    <w:div w:id="619528623">
      <w:bodyDiv w:val="1"/>
      <w:marLeft w:val="0"/>
      <w:marRight w:val="0"/>
      <w:marTop w:val="0"/>
      <w:marBottom w:val="0"/>
      <w:divBdr>
        <w:top w:val="none" w:sz="0" w:space="0" w:color="auto"/>
        <w:left w:val="none" w:sz="0" w:space="0" w:color="auto"/>
        <w:bottom w:val="none" w:sz="0" w:space="0" w:color="auto"/>
        <w:right w:val="none" w:sz="0" w:space="0" w:color="auto"/>
      </w:divBdr>
    </w:div>
    <w:div w:id="718239186">
      <w:bodyDiv w:val="1"/>
      <w:marLeft w:val="0"/>
      <w:marRight w:val="0"/>
      <w:marTop w:val="0"/>
      <w:marBottom w:val="0"/>
      <w:divBdr>
        <w:top w:val="none" w:sz="0" w:space="0" w:color="auto"/>
        <w:left w:val="none" w:sz="0" w:space="0" w:color="auto"/>
        <w:bottom w:val="none" w:sz="0" w:space="0" w:color="auto"/>
        <w:right w:val="none" w:sz="0" w:space="0" w:color="auto"/>
      </w:divBdr>
      <w:divsChild>
        <w:div w:id="1325670201">
          <w:marLeft w:val="0"/>
          <w:marRight w:val="0"/>
          <w:marTop w:val="0"/>
          <w:marBottom w:val="0"/>
          <w:divBdr>
            <w:top w:val="none" w:sz="0" w:space="0" w:color="auto"/>
            <w:left w:val="none" w:sz="0" w:space="0" w:color="auto"/>
            <w:bottom w:val="none" w:sz="0" w:space="0" w:color="auto"/>
            <w:right w:val="none" w:sz="0" w:space="0" w:color="auto"/>
          </w:divBdr>
        </w:div>
        <w:div w:id="1613786067">
          <w:marLeft w:val="0"/>
          <w:marRight w:val="0"/>
          <w:marTop w:val="0"/>
          <w:marBottom w:val="0"/>
          <w:divBdr>
            <w:top w:val="none" w:sz="0" w:space="0" w:color="auto"/>
            <w:left w:val="none" w:sz="0" w:space="0" w:color="auto"/>
            <w:bottom w:val="none" w:sz="0" w:space="0" w:color="auto"/>
            <w:right w:val="none" w:sz="0" w:space="0" w:color="auto"/>
          </w:divBdr>
        </w:div>
      </w:divsChild>
    </w:div>
    <w:div w:id="773284047">
      <w:bodyDiv w:val="1"/>
      <w:marLeft w:val="0"/>
      <w:marRight w:val="0"/>
      <w:marTop w:val="0"/>
      <w:marBottom w:val="0"/>
      <w:divBdr>
        <w:top w:val="none" w:sz="0" w:space="0" w:color="auto"/>
        <w:left w:val="none" w:sz="0" w:space="0" w:color="auto"/>
        <w:bottom w:val="none" w:sz="0" w:space="0" w:color="auto"/>
        <w:right w:val="none" w:sz="0" w:space="0" w:color="auto"/>
      </w:divBdr>
    </w:div>
    <w:div w:id="815877486">
      <w:bodyDiv w:val="1"/>
      <w:marLeft w:val="0"/>
      <w:marRight w:val="0"/>
      <w:marTop w:val="0"/>
      <w:marBottom w:val="0"/>
      <w:divBdr>
        <w:top w:val="none" w:sz="0" w:space="0" w:color="auto"/>
        <w:left w:val="none" w:sz="0" w:space="0" w:color="auto"/>
        <w:bottom w:val="none" w:sz="0" w:space="0" w:color="auto"/>
        <w:right w:val="none" w:sz="0" w:space="0" w:color="auto"/>
      </w:divBdr>
    </w:div>
    <w:div w:id="822548961">
      <w:bodyDiv w:val="1"/>
      <w:marLeft w:val="0"/>
      <w:marRight w:val="0"/>
      <w:marTop w:val="0"/>
      <w:marBottom w:val="0"/>
      <w:divBdr>
        <w:top w:val="none" w:sz="0" w:space="0" w:color="auto"/>
        <w:left w:val="none" w:sz="0" w:space="0" w:color="auto"/>
        <w:bottom w:val="none" w:sz="0" w:space="0" w:color="auto"/>
        <w:right w:val="none" w:sz="0" w:space="0" w:color="auto"/>
      </w:divBdr>
      <w:divsChild>
        <w:div w:id="763647607">
          <w:marLeft w:val="0"/>
          <w:marRight w:val="0"/>
          <w:marTop w:val="0"/>
          <w:marBottom w:val="0"/>
          <w:divBdr>
            <w:top w:val="none" w:sz="0" w:space="0" w:color="auto"/>
            <w:left w:val="none" w:sz="0" w:space="0" w:color="auto"/>
            <w:bottom w:val="none" w:sz="0" w:space="0" w:color="auto"/>
            <w:right w:val="none" w:sz="0" w:space="0" w:color="auto"/>
          </w:divBdr>
        </w:div>
      </w:divsChild>
    </w:div>
    <w:div w:id="837890882">
      <w:bodyDiv w:val="1"/>
      <w:marLeft w:val="0"/>
      <w:marRight w:val="0"/>
      <w:marTop w:val="0"/>
      <w:marBottom w:val="0"/>
      <w:divBdr>
        <w:top w:val="none" w:sz="0" w:space="0" w:color="auto"/>
        <w:left w:val="none" w:sz="0" w:space="0" w:color="auto"/>
        <w:bottom w:val="none" w:sz="0" w:space="0" w:color="auto"/>
        <w:right w:val="none" w:sz="0" w:space="0" w:color="auto"/>
      </w:divBdr>
      <w:divsChild>
        <w:div w:id="1288466898">
          <w:marLeft w:val="0"/>
          <w:marRight w:val="0"/>
          <w:marTop w:val="0"/>
          <w:marBottom w:val="0"/>
          <w:divBdr>
            <w:top w:val="none" w:sz="0" w:space="0" w:color="auto"/>
            <w:left w:val="none" w:sz="0" w:space="0" w:color="auto"/>
            <w:bottom w:val="none" w:sz="0" w:space="0" w:color="auto"/>
            <w:right w:val="none" w:sz="0" w:space="0" w:color="auto"/>
          </w:divBdr>
        </w:div>
        <w:div w:id="675302747">
          <w:marLeft w:val="0"/>
          <w:marRight w:val="0"/>
          <w:marTop w:val="0"/>
          <w:marBottom w:val="0"/>
          <w:divBdr>
            <w:top w:val="none" w:sz="0" w:space="0" w:color="auto"/>
            <w:left w:val="none" w:sz="0" w:space="0" w:color="auto"/>
            <w:bottom w:val="none" w:sz="0" w:space="0" w:color="auto"/>
            <w:right w:val="none" w:sz="0" w:space="0" w:color="auto"/>
          </w:divBdr>
        </w:div>
      </w:divsChild>
    </w:div>
    <w:div w:id="948269871">
      <w:bodyDiv w:val="1"/>
      <w:marLeft w:val="0"/>
      <w:marRight w:val="0"/>
      <w:marTop w:val="0"/>
      <w:marBottom w:val="0"/>
      <w:divBdr>
        <w:top w:val="none" w:sz="0" w:space="0" w:color="auto"/>
        <w:left w:val="none" w:sz="0" w:space="0" w:color="auto"/>
        <w:bottom w:val="none" w:sz="0" w:space="0" w:color="auto"/>
        <w:right w:val="none" w:sz="0" w:space="0" w:color="auto"/>
      </w:divBdr>
      <w:divsChild>
        <w:div w:id="374236639">
          <w:marLeft w:val="0"/>
          <w:marRight w:val="0"/>
          <w:marTop w:val="0"/>
          <w:marBottom w:val="0"/>
          <w:divBdr>
            <w:top w:val="none" w:sz="0" w:space="0" w:color="auto"/>
            <w:left w:val="none" w:sz="0" w:space="0" w:color="auto"/>
            <w:bottom w:val="none" w:sz="0" w:space="0" w:color="auto"/>
            <w:right w:val="none" w:sz="0" w:space="0" w:color="auto"/>
          </w:divBdr>
        </w:div>
      </w:divsChild>
    </w:div>
    <w:div w:id="1099256893">
      <w:bodyDiv w:val="1"/>
      <w:marLeft w:val="0"/>
      <w:marRight w:val="0"/>
      <w:marTop w:val="0"/>
      <w:marBottom w:val="0"/>
      <w:divBdr>
        <w:top w:val="none" w:sz="0" w:space="0" w:color="auto"/>
        <w:left w:val="none" w:sz="0" w:space="0" w:color="auto"/>
        <w:bottom w:val="none" w:sz="0" w:space="0" w:color="auto"/>
        <w:right w:val="none" w:sz="0" w:space="0" w:color="auto"/>
      </w:divBdr>
    </w:div>
    <w:div w:id="1151675890">
      <w:bodyDiv w:val="1"/>
      <w:marLeft w:val="0"/>
      <w:marRight w:val="0"/>
      <w:marTop w:val="0"/>
      <w:marBottom w:val="0"/>
      <w:divBdr>
        <w:top w:val="none" w:sz="0" w:space="0" w:color="auto"/>
        <w:left w:val="none" w:sz="0" w:space="0" w:color="auto"/>
        <w:bottom w:val="none" w:sz="0" w:space="0" w:color="auto"/>
        <w:right w:val="none" w:sz="0" w:space="0" w:color="auto"/>
      </w:divBdr>
      <w:divsChild>
        <w:div w:id="103018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0189525">
      <w:bodyDiv w:val="1"/>
      <w:marLeft w:val="0"/>
      <w:marRight w:val="0"/>
      <w:marTop w:val="0"/>
      <w:marBottom w:val="0"/>
      <w:divBdr>
        <w:top w:val="none" w:sz="0" w:space="0" w:color="auto"/>
        <w:left w:val="none" w:sz="0" w:space="0" w:color="auto"/>
        <w:bottom w:val="none" w:sz="0" w:space="0" w:color="auto"/>
        <w:right w:val="none" w:sz="0" w:space="0" w:color="auto"/>
      </w:divBdr>
    </w:div>
    <w:div w:id="1309897020">
      <w:bodyDiv w:val="1"/>
      <w:marLeft w:val="0"/>
      <w:marRight w:val="0"/>
      <w:marTop w:val="0"/>
      <w:marBottom w:val="0"/>
      <w:divBdr>
        <w:top w:val="none" w:sz="0" w:space="0" w:color="auto"/>
        <w:left w:val="none" w:sz="0" w:space="0" w:color="auto"/>
        <w:bottom w:val="none" w:sz="0" w:space="0" w:color="auto"/>
        <w:right w:val="none" w:sz="0" w:space="0" w:color="auto"/>
      </w:divBdr>
      <w:divsChild>
        <w:div w:id="283773297">
          <w:marLeft w:val="0"/>
          <w:marRight w:val="0"/>
          <w:marTop w:val="0"/>
          <w:marBottom w:val="0"/>
          <w:divBdr>
            <w:top w:val="none" w:sz="0" w:space="0" w:color="auto"/>
            <w:left w:val="none" w:sz="0" w:space="0" w:color="auto"/>
            <w:bottom w:val="none" w:sz="0" w:space="0" w:color="auto"/>
            <w:right w:val="none" w:sz="0" w:space="0" w:color="auto"/>
          </w:divBdr>
        </w:div>
      </w:divsChild>
    </w:div>
    <w:div w:id="1328244012">
      <w:bodyDiv w:val="1"/>
      <w:marLeft w:val="0"/>
      <w:marRight w:val="0"/>
      <w:marTop w:val="0"/>
      <w:marBottom w:val="0"/>
      <w:divBdr>
        <w:top w:val="none" w:sz="0" w:space="0" w:color="auto"/>
        <w:left w:val="none" w:sz="0" w:space="0" w:color="auto"/>
        <w:bottom w:val="none" w:sz="0" w:space="0" w:color="auto"/>
        <w:right w:val="none" w:sz="0" w:space="0" w:color="auto"/>
      </w:divBdr>
    </w:div>
    <w:div w:id="1426270120">
      <w:bodyDiv w:val="1"/>
      <w:marLeft w:val="0"/>
      <w:marRight w:val="0"/>
      <w:marTop w:val="0"/>
      <w:marBottom w:val="0"/>
      <w:divBdr>
        <w:top w:val="none" w:sz="0" w:space="0" w:color="auto"/>
        <w:left w:val="none" w:sz="0" w:space="0" w:color="auto"/>
        <w:bottom w:val="none" w:sz="0" w:space="0" w:color="auto"/>
        <w:right w:val="none" w:sz="0" w:space="0" w:color="auto"/>
      </w:divBdr>
      <w:divsChild>
        <w:div w:id="1398820138">
          <w:marLeft w:val="0"/>
          <w:marRight w:val="0"/>
          <w:marTop w:val="0"/>
          <w:marBottom w:val="0"/>
          <w:divBdr>
            <w:top w:val="none" w:sz="0" w:space="0" w:color="auto"/>
            <w:left w:val="none" w:sz="0" w:space="0" w:color="auto"/>
            <w:bottom w:val="none" w:sz="0" w:space="0" w:color="auto"/>
            <w:right w:val="none" w:sz="0" w:space="0" w:color="auto"/>
          </w:divBdr>
        </w:div>
      </w:divsChild>
    </w:div>
    <w:div w:id="1494370869">
      <w:bodyDiv w:val="1"/>
      <w:marLeft w:val="0"/>
      <w:marRight w:val="0"/>
      <w:marTop w:val="0"/>
      <w:marBottom w:val="0"/>
      <w:divBdr>
        <w:top w:val="none" w:sz="0" w:space="0" w:color="auto"/>
        <w:left w:val="none" w:sz="0" w:space="0" w:color="auto"/>
        <w:bottom w:val="none" w:sz="0" w:space="0" w:color="auto"/>
        <w:right w:val="none" w:sz="0" w:space="0" w:color="auto"/>
      </w:divBdr>
      <w:divsChild>
        <w:div w:id="1383208226">
          <w:marLeft w:val="0"/>
          <w:marRight w:val="0"/>
          <w:marTop w:val="0"/>
          <w:marBottom w:val="0"/>
          <w:divBdr>
            <w:top w:val="none" w:sz="0" w:space="0" w:color="auto"/>
            <w:left w:val="none" w:sz="0" w:space="0" w:color="auto"/>
            <w:bottom w:val="none" w:sz="0" w:space="0" w:color="auto"/>
            <w:right w:val="none" w:sz="0" w:space="0" w:color="auto"/>
          </w:divBdr>
        </w:div>
      </w:divsChild>
    </w:div>
    <w:div w:id="1521040525">
      <w:bodyDiv w:val="1"/>
      <w:marLeft w:val="0"/>
      <w:marRight w:val="0"/>
      <w:marTop w:val="0"/>
      <w:marBottom w:val="0"/>
      <w:divBdr>
        <w:top w:val="none" w:sz="0" w:space="0" w:color="auto"/>
        <w:left w:val="none" w:sz="0" w:space="0" w:color="auto"/>
        <w:bottom w:val="none" w:sz="0" w:space="0" w:color="auto"/>
        <w:right w:val="none" w:sz="0" w:space="0" w:color="auto"/>
      </w:divBdr>
      <w:divsChild>
        <w:div w:id="1871255541">
          <w:marLeft w:val="0"/>
          <w:marRight w:val="0"/>
          <w:marTop w:val="0"/>
          <w:marBottom w:val="0"/>
          <w:divBdr>
            <w:top w:val="none" w:sz="0" w:space="0" w:color="auto"/>
            <w:left w:val="none" w:sz="0" w:space="0" w:color="auto"/>
            <w:bottom w:val="none" w:sz="0" w:space="0" w:color="auto"/>
            <w:right w:val="none" w:sz="0" w:space="0" w:color="auto"/>
          </w:divBdr>
        </w:div>
        <w:div w:id="423769794">
          <w:marLeft w:val="0"/>
          <w:marRight w:val="0"/>
          <w:marTop w:val="0"/>
          <w:marBottom w:val="0"/>
          <w:divBdr>
            <w:top w:val="none" w:sz="0" w:space="0" w:color="auto"/>
            <w:left w:val="none" w:sz="0" w:space="0" w:color="auto"/>
            <w:bottom w:val="none" w:sz="0" w:space="0" w:color="auto"/>
            <w:right w:val="none" w:sz="0" w:space="0" w:color="auto"/>
          </w:divBdr>
        </w:div>
      </w:divsChild>
    </w:div>
    <w:div w:id="1572810265">
      <w:bodyDiv w:val="1"/>
      <w:marLeft w:val="0"/>
      <w:marRight w:val="0"/>
      <w:marTop w:val="0"/>
      <w:marBottom w:val="0"/>
      <w:divBdr>
        <w:top w:val="none" w:sz="0" w:space="0" w:color="auto"/>
        <w:left w:val="none" w:sz="0" w:space="0" w:color="auto"/>
        <w:bottom w:val="none" w:sz="0" w:space="0" w:color="auto"/>
        <w:right w:val="none" w:sz="0" w:space="0" w:color="auto"/>
      </w:divBdr>
    </w:div>
    <w:div w:id="1574701663">
      <w:bodyDiv w:val="1"/>
      <w:marLeft w:val="0"/>
      <w:marRight w:val="0"/>
      <w:marTop w:val="0"/>
      <w:marBottom w:val="0"/>
      <w:divBdr>
        <w:top w:val="none" w:sz="0" w:space="0" w:color="auto"/>
        <w:left w:val="none" w:sz="0" w:space="0" w:color="auto"/>
        <w:bottom w:val="none" w:sz="0" w:space="0" w:color="auto"/>
        <w:right w:val="none" w:sz="0" w:space="0" w:color="auto"/>
      </w:divBdr>
      <w:divsChild>
        <w:div w:id="1148740604">
          <w:marLeft w:val="0"/>
          <w:marRight w:val="0"/>
          <w:marTop w:val="0"/>
          <w:marBottom w:val="0"/>
          <w:divBdr>
            <w:top w:val="none" w:sz="0" w:space="0" w:color="auto"/>
            <w:left w:val="none" w:sz="0" w:space="0" w:color="auto"/>
            <w:bottom w:val="none" w:sz="0" w:space="0" w:color="auto"/>
            <w:right w:val="none" w:sz="0" w:space="0" w:color="auto"/>
          </w:divBdr>
        </w:div>
      </w:divsChild>
    </w:div>
    <w:div w:id="1650286303">
      <w:bodyDiv w:val="1"/>
      <w:marLeft w:val="0"/>
      <w:marRight w:val="0"/>
      <w:marTop w:val="0"/>
      <w:marBottom w:val="0"/>
      <w:divBdr>
        <w:top w:val="none" w:sz="0" w:space="0" w:color="auto"/>
        <w:left w:val="none" w:sz="0" w:space="0" w:color="auto"/>
        <w:bottom w:val="none" w:sz="0" w:space="0" w:color="auto"/>
        <w:right w:val="none" w:sz="0" w:space="0" w:color="auto"/>
      </w:divBdr>
      <w:divsChild>
        <w:div w:id="555748335">
          <w:marLeft w:val="0"/>
          <w:marRight w:val="0"/>
          <w:marTop w:val="0"/>
          <w:marBottom w:val="0"/>
          <w:divBdr>
            <w:top w:val="none" w:sz="0" w:space="0" w:color="auto"/>
            <w:left w:val="none" w:sz="0" w:space="0" w:color="auto"/>
            <w:bottom w:val="none" w:sz="0" w:space="0" w:color="auto"/>
            <w:right w:val="none" w:sz="0" w:space="0" w:color="auto"/>
          </w:divBdr>
        </w:div>
      </w:divsChild>
    </w:div>
    <w:div w:id="1678077926">
      <w:bodyDiv w:val="1"/>
      <w:marLeft w:val="0"/>
      <w:marRight w:val="0"/>
      <w:marTop w:val="0"/>
      <w:marBottom w:val="0"/>
      <w:divBdr>
        <w:top w:val="none" w:sz="0" w:space="0" w:color="auto"/>
        <w:left w:val="none" w:sz="0" w:space="0" w:color="auto"/>
        <w:bottom w:val="none" w:sz="0" w:space="0" w:color="auto"/>
        <w:right w:val="none" w:sz="0" w:space="0" w:color="auto"/>
      </w:divBdr>
    </w:div>
    <w:div w:id="1800298417">
      <w:bodyDiv w:val="1"/>
      <w:marLeft w:val="0"/>
      <w:marRight w:val="0"/>
      <w:marTop w:val="0"/>
      <w:marBottom w:val="0"/>
      <w:divBdr>
        <w:top w:val="none" w:sz="0" w:space="0" w:color="auto"/>
        <w:left w:val="none" w:sz="0" w:space="0" w:color="auto"/>
        <w:bottom w:val="none" w:sz="0" w:space="0" w:color="auto"/>
        <w:right w:val="none" w:sz="0" w:space="0" w:color="auto"/>
      </w:divBdr>
      <w:divsChild>
        <w:div w:id="368534277">
          <w:marLeft w:val="0"/>
          <w:marRight w:val="0"/>
          <w:marTop w:val="0"/>
          <w:marBottom w:val="0"/>
          <w:divBdr>
            <w:top w:val="none" w:sz="0" w:space="0" w:color="auto"/>
            <w:left w:val="none" w:sz="0" w:space="0" w:color="auto"/>
            <w:bottom w:val="none" w:sz="0" w:space="0" w:color="auto"/>
            <w:right w:val="none" w:sz="0" w:space="0" w:color="auto"/>
          </w:divBdr>
        </w:div>
      </w:divsChild>
    </w:div>
    <w:div w:id="1812136024">
      <w:bodyDiv w:val="1"/>
      <w:marLeft w:val="0"/>
      <w:marRight w:val="0"/>
      <w:marTop w:val="0"/>
      <w:marBottom w:val="0"/>
      <w:divBdr>
        <w:top w:val="none" w:sz="0" w:space="0" w:color="auto"/>
        <w:left w:val="none" w:sz="0" w:space="0" w:color="auto"/>
        <w:bottom w:val="none" w:sz="0" w:space="0" w:color="auto"/>
        <w:right w:val="none" w:sz="0" w:space="0" w:color="auto"/>
      </w:divBdr>
      <w:divsChild>
        <w:div w:id="540702678">
          <w:marLeft w:val="0"/>
          <w:marRight w:val="0"/>
          <w:marTop w:val="0"/>
          <w:marBottom w:val="0"/>
          <w:divBdr>
            <w:top w:val="none" w:sz="0" w:space="0" w:color="auto"/>
            <w:left w:val="none" w:sz="0" w:space="0" w:color="auto"/>
            <w:bottom w:val="none" w:sz="0" w:space="0" w:color="auto"/>
            <w:right w:val="none" w:sz="0" w:space="0" w:color="auto"/>
          </w:divBdr>
        </w:div>
      </w:divsChild>
    </w:div>
    <w:div w:id="1897207087">
      <w:bodyDiv w:val="1"/>
      <w:marLeft w:val="0"/>
      <w:marRight w:val="0"/>
      <w:marTop w:val="0"/>
      <w:marBottom w:val="0"/>
      <w:divBdr>
        <w:top w:val="none" w:sz="0" w:space="0" w:color="auto"/>
        <w:left w:val="none" w:sz="0" w:space="0" w:color="auto"/>
        <w:bottom w:val="none" w:sz="0" w:space="0" w:color="auto"/>
        <w:right w:val="none" w:sz="0" w:space="0" w:color="auto"/>
      </w:divBdr>
      <w:divsChild>
        <w:div w:id="1057125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9706762">
      <w:bodyDiv w:val="1"/>
      <w:marLeft w:val="0"/>
      <w:marRight w:val="0"/>
      <w:marTop w:val="0"/>
      <w:marBottom w:val="0"/>
      <w:divBdr>
        <w:top w:val="none" w:sz="0" w:space="0" w:color="auto"/>
        <w:left w:val="none" w:sz="0" w:space="0" w:color="auto"/>
        <w:bottom w:val="none" w:sz="0" w:space="0" w:color="auto"/>
        <w:right w:val="none" w:sz="0" w:space="0" w:color="auto"/>
      </w:divBdr>
    </w:div>
    <w:div w:id="2008169731">
      <w:bodyDiv w:val="1"/>
      <w:marLeft w:val="0"/>
      <w:marRight w:val="0"/>
      <w:marTop w:val="0"/>
      <w:marBottom w:val="0"/>
      <w:divBdr>
        <w:top w:val="none" w:sz="0" w:space="0" w:color="auto"/>
        <w:left w:val="none" w:sz="0" w:space="0" w:color="auto"/>
        <w:bottom w:val="none" w:sz="0" w:space="0" w:color="auto"/>
        <w:right w:val="none" w:sz="0" w:space="0" w:color="auto"/>
      </w:divBdr>
      <w:divsChild>
        <w:div w:id="1564945007">
          <w:marLeft w:val="0"/>
          <w:marRight w:val="0"/>
          <w:marTop w:val="0"/>
          <w:marBottom w:val="0"/>
          <w:divBdr>
            <w:top w:val="none" w:sz="0" w:space="0" w:color="auto"/>
            <w:left w:val="none" w:sz="0" w:space="0" w:color="auto"/>
            <w:bottom w:val="none" w:sz="0" w:space="0" w:color="auto"/>
            <w:right w:val="none" w:sz="0" w:space="0" w:color="auto"/>
          </w:divBdr>
        </w:div>
      </w:divsChild>
    </w:div>
    <w:div w:id="2030258452">
      <w:bodyDiv w:val="1"/>
      <w:marLeft w:val="0"/>
      <w:marRight w:val="0"/>
      <w:marTop w:val="0"/>
      <w:marBottom w:val="0"/>
      <w:divBdr>
        <w:top w:val="none" w:sz="0" w:space="0" w:color="auto"/>
        <w:left w:val="none" w:sz="0" w:space="0" w:color="auto"/>
        <w:bottom w:val="none" w:sz="0" w:space="0" w:color="auto"/>
        <w:right w:val="none" w:sz="0" w:space="0" w:color="auto"/>
      </w:divBdr>
      <w:divsChild>
        <w:div w:id="1052190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660</Words>
  <Characters>3767</Characters>
  <Application>Microsoft Office Word</Application>
  <DocSecurity>0</DocSecurity>
  <Lines>31</Lines>
  <Paragraphs>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OK岡本 敏(Satoshi Okamoto)_SCC</dc:creator>
  <cp:keywords/>
  <dc:description/>
  <cp:lastModifiedBy>OK岡本 敏(Satoshi Okamoto)_SCC</cp:lastModifiedBy>
  <cp:revision>24</cp:revision>
  <dcterms:created xsi:type="dcterms:W3CDTF">2026-06-20T17:24:00Z</dcterms:created>
  <dcterms:modified xsi:type="dcterms:W3CDTF">2026-07-10T05:34:00Z</dcterms:modified>
</cp:coreProperties>
</file>