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1D59" w14:textId="77777777" w:rsidR="00E73E19" w:rsidRPr="00381C7B" w:rsidRDefault="00E73E19" w:rsidP="00E73E1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81C7B">
        <w:rPr>
          <w:rFonts w:asciiTheme="majorBidi" w:hAnsiTheme="majorBidi" w:cstheme="majorBidi"/>
          <w:b/>
          <w:bCs/>
          <w:sz w:val="24"/>
          <w:szCs w:val="24"/>
        </w:rPr>
        <w:t>Table 3. Bacterial adhesion and three-way ANOVA for the tested materials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1109"/>
        <w:gridCol w:w="1885"/>
        <w:gridCol w:w="1477"/>
        <w:gridCol w:w="813"/>
        <w:gridCol w:w="1003"/>
        <w:gridCol w:w="670"/>
        <w:gridCol w:w="823"/>
      </w:tblGrid>
      <w:tr w:rsidR="00E73E19" w:rsidRPr="00381C7B" w14:paraId="762377E2" w14:textId="77777777" w:rsidTr="00885DD0">
        <w:tc>
          <w:tcPr>
            <w:tcW w:w="0" w:type="auto"/>
            <w:hideMark/>
          </w:tcPr>
          <w:p w14:paraId="3AA6DB90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0" w:type="auto"/>
            <w:hideMark/>
          </w:tcPr>
          <w:p w14:paraId="2E420372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0" w:type="auto"/>
            <w:hideMark/>
          </w:tcPr>
          <w:p w14:paraId="358B07F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Aging condition</w:t>
            </w:r>
          </w:p>
        </w:tc>
        <w:tc>
          <w:tcPr>
            <w:tcW w:w="0" w:type="auto"/>
            <w:hideMark/>
          </w:tcPr>
          <w:p w14:paraId="31BDDA5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log₁₀ CFU/mm² mean ± SD</w:t>
            </w:r>
          </w:p>
        </w:tc>
        <w:tc>
          <w:tcPr>
            <w:tcW w:w="0" w:type="auto"/>
            <w:hideMark/>
          </w:tcPr>
          <w:p w14:paraId="5B6CF66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7E35578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0" w:type="auto"/>
            <w:hideMark/>
          </w:tcPr>
          <w:p w14:paraId="5F6BEA4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IQR</w:t>
            </w:r>
          </w:p>
        </w:tc>
        <w:tc>
          <w:tcPr>
            <w:tcW w:w="0" w:type="auto"/>
            <w:hideMark/>
          </w:tcPr>
          <w:p w14:paraId="4A067E2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Min–max</w:t>
            </w:r>
          </w:p>
        </w:tc>
      </w:tr>
      <w:tr w:rsidR="00E73E19" w:rsidRPr="00381C7B" w14:paraId="08CD8067" w14:textId="77777777" w:rsidTr="00885DD0">
        <w:tc>
          <w:tcPr>
            <w:tcW w:w="0" w:type="auto"/>
            <w:hideMark/>
          </w:tcPr>
          <w:p w14:paraId="49BB1CC0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2A4AD12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1345E7F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7BE07D5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3.15 ± 0.20</w:t>
            </w:r>
          </w:p>
        </w:tc>
        <w:tc>
          <w:tcPr>
            <w:tcW w:w="0" w:type="auto"/>
            <w:hideMark/>
          </w:tcPr>
          <w:p w14:paraId="6E355C8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3.01–3.29</w:t>
            </w:r>
          </w:p>
        </w:tc>
        <w:tc>
          <w:tcPr>
            <w:tcW w:w="0" w:type="auto"/>
            <w:hideMark/>
          </w:tcPr>
          <w:p w14:paraId="102C876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3.15</w:t>
            </w:r>
          </w:p>
        </w:tc>
        <w:tc>
          <w:tcPr>
            <w:tcW w:w="0" w:type="auto"/>
            <w:hideMark/>
          </w:tcPr>
          <w:p w14:paraId="17546AB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0" w:type="auto"/>
            <w:hideMark/>
          </w:tcPr>
          <w:p w14:paraId="1C8DD91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2.75–3.55</w:t>
            </w:r>
          </w:p>
        </w:tc>
      </w:tr>
      <w:tr w:rsidR="00E73E19" w:rsidRPr="00381C7B" w14:paraId="3A9825DC" w14:textId="77777777" w:rsidTr="00885DD0">
        <w:tc>
          <w:tcPr>
            <w:tcW w:w="0" w:type="auto"/>
            <w:hideMark/>
          </w:tcPr>
          <w:p w14:paraId="4EC3A25E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4238DDC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1AA09E7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1EEB20A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3.45 ± 0.22</w:t>
            </w:r>
          </w:p>
        </w:tc>
        <w:tc>
          <w:tcPr>
            <w:tcW w:w="0" w:type="auto"/>
            <w:hideMark/>
          </w:tcPr>
          <w:p w14:paraId="3D508B1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3.30–3.60</w:t>
            </w:r>
          </w:p>
        </w:tc>
        <w:tc>
          <w:tcPr>
            <w:tcW w:w="0" w:type="auto"/>
            <w:hideMark/>
          </w:tcPr>
          <w:p w14:paraId="55F41AA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3.45</w:t>
            </w:r>
          </w:p>
        </w:tc>
        <w:tc>
          <w:tcPr>
            <w:tcW w:w="0" w:type="auto"/>
            <w:hideMark/>
          </w:tcPr>
          <w:p w14:paraId="10AFBF8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0" w:type="auto"/>
            <w:hideMark/>
          </w:tcPr>
          <w:p w14:paraId="41537AB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3.01–3.89</w:t>
            </w:r>
          </w:p>
        </w:tc>
      </w:tr>
      <w:tr w:rsidR="00E73E19" w:rsidRPr="00381C7B" w14:paraId="66A3B312" w14:textId="77777777" w:rsidTr="00885DD0">
        <w:tc>
          <w:tcPr>
            <w:tcW w:w="0" w:type="auto"/>
            <w:hideMark/>
          </w:tcPr>
          <w:p w14:paraId="79F13F29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37110AB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23D5146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DB24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407B976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3.65 ± 0.24</w:t>
            </w:r>
          </w:p>
        </w:tc>
        <w:tc>
          <w:tcPr>
            <w:tcW w:w="0" w:type="auto"/>
            <w:hideMark/>
          </w:tcPr>
          <w:p w14:paraId="606CB6F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3.48–3.82</w:t>
            </w:r>
          </w:p>
        </w:tc>
        <w:tc>
          <w:tcPr>
            <w:tcW w:w="0" w:type="auto"/>
            <w:hideMark/>
          </w:tcPr>
          <w:p w14:paraId="45B40C6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3.65</w:t>
            </w:r>
          </w:p>
        </w:tc>
        <w:tc>
          <w:tcPr>
            <w:tcW w:w="0" w:type="auto"/>
            <w:hideMark/>
          </w:tcPr>
          <w:p w14:paraId="274DA49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0" w:type="auto"/>
            <w:hideMark/>
          </w:tcPr>
          <w:p w14:paraId="68B0EDE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3.17–4.13</w:t>
            </w:r>
          </w:p>
        </w:tc>
      </w:tr>
      <w:tr w:rsidR="00E73E19" w:rsidRPr="00381C7B" w14:paraId="13A1DC83" w14:textId="77777777" w:rsidTr="00885DD0">
        <w:tc>
          <w:tcPr>
            <w:tcW w:w="0" w:type="auto"/>
            <w:hideMark/>
          </w:tcPr>
          <w:p w14:paraId="3119B8EB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42D7E11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6EE41C4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401CDA1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3.35 ± 0.22</w:t>
            </w:r>
          </w:p>
        </w:tc>
        <w:tc>
          <w:tcPr>
            <w:tcW w:w="0" w:type="auto"/>
            <w:hideMark/>
          </w:tcPr>
          <w:p w14:paraId="2DE723D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3.20–3.50</w:t>
            </w:r>
          </w:p>
        </w:tc>
        <w:tc>
          <w:tcPr>
            <w:tcW w:w="0" w:type="auto"/>
            <w:hideMark/>
          </w:tcPr>
          <w:p w14:paraId="175671C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3.35</w:t>
            </w:r>
          </w:p>
        </w:tc>
        <w:tc>
          <w:tcPr>
            <w:tcW w:w="0" w:type="auto"/>
            <w:hideMark/>
          </w:tcPr>
          <w:p w14:paraId="6A58B3F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0" w:type="auto"/>
            <w:hideMark/>
          </w:tcPr>
          <w:p w14:paraId="67FDEE0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2.91–3.79</w:t>
            </w:r>
          </w:p>
        </w:tc>
      </w:tr>
      <w:tr w:rsidR="00E73E19" w:rsidRPr="00381C7B" w14:paraId="2CAE3539" w14:textId="77777777" w:rsidTr="00885DD0">
        <w:tc>
          <w:tcPr>
            <w:tcW w:w="0" w:type="auto"/>
            <w:hideMark/>
          </w:tcPr>
          <w:p w14:paraId="43955020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522FC0D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0D06544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46DAC1B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3.70 ± 0.24</w:t>
            </w:r>
          </w:p>
        </w:tc>
        <w:tc>
          <w:tcPr>
            <w:tcW w:w="0" w:type="auto"/>
            <w:hideMark/>
          </w:tcPr>
          <w:p w14:paraId="51455DB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3.53–3.87</w:t>
            </w:r>
          </w:p>
        </w:tc>
        <w:tc>
          <w:tcPr>
            <w:tcW w:w="0" w:type="auto"/>
            <w:hideMark/>
          </w:tcPr>
          <w:p w14:paraId="6D2A35E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3.70</w:t>
            </w:r>
          </w:p>
        </w:tc>
        <w:tc>
          <w:tcPr>
            <w:tcW w:w="0" w:type="auto"/>
            <w:hideMark/>
          </w:tcPr>
          <w:p w14:paraId="076411F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0" w:type="auto"/>
            <w:hideMark/>
          </w:tcPr>
          <w:p w14:paraId="2511887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3.22–4.18</w:t>
            </w:r>
          </w:p>
        </w:tc>
      </w:tr>
      <w:tr w:rsidR="00E73E19" w:rsidRPr="00381C7B" w14:paraId="0ED052CC" w14:textId="77777777" w:rsidTr="00885DD0">
        <w:tc>
          <w:tcPr>
            <w:tcW w:w="0" w:type="auto"/>
            <w:hideMark/>
          </w:tcPr>
          <w:p w14:paraId="323C9151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589FA07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7EDB355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DB24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3A99409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3.95 ± 0.25</w:t>
            </w:r>
          </w:p>
        </w:tc>
        <w:tc>
          <w:tcPr>
            <w:tcW w:w="0" w:type="auto"/>
            <w:hideMark/>
          </w:tcPr>
          <w:p w14:paraId="244FA48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3.78–4.12</w:t>
            </w:r>
          </w:p>
        </w:tc>
        <w:tc>
          <w:tcPr>
            <w:tcW w:w="0" w:type="auto"/>
            <w:hideMark/>
          </w:tcPr>
          <w:p w14:paraId="1E67369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3.95</w:t>
            </w:r>
          </w:p>
        </w:tc>
        <w:tc>
          <w:tcPr>
            <w:tcW w:w="0" w:type="auto"/>
            <w:hideMark/>
          </w:tcPr>
          <w:p w14:paraId="78A71CF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0" w:type="auto"/>
            <w:hideMark/>
          </w:tcPr>
          <w:p w14:paraId="3E10350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3.45–4.45</w:t>
            </w:r>
          </w:p>
        </w:tc>
      </w:tr>
      <w:tr w:rsidR="00E73E19" w:rsidRPr="00381C7B" w14:paraId="13762692" w14:textId="77777777" w:rsidTr="00885DD0">
        <w:tc>
          <w:tcPr>
            <w:tcW w:w="0" w:type="auto"/>
            <w:hideMark/>
          </w:tcPr>
          <w:p w14:paraId="6905277C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05C8B5E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7FF77AC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542DAA3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3.55 ± 0.25</w:t>
            </w:r>
          </w:p>
        </w:tc>
        <w:tc>
          <w:tcPr>
            <w:tcW w:w="0" w:type="auto"/>
            <w:hideMark/>
          </w:tcPr>
          <w:p w14:paraId="76E7C0F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3.38–3.72</w:t>
            </w:r>
          </w:p>
        </w:tc>
        <w:tc>
          <w:tcPr>
            <w:tcW w:w="0" w:type="auto"/>
            <w:hideMark/>
          </w:tcPr>
          <w:p w14:paraId="33E1C9E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3.55</w:t>
            </w:r>
          </w:p>
        </w:tc>
        <w:tc>
          <w:tcPr>
            <w:tcW w:w="0" w:type="auto"/>
            <w:hideMark/>
          </w:tcPr>
          <w:p w14:paraId="780B493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0" w:type="auto"/>
            <w:hideMark/>
          </w:tcPr>
          <w:p w14:paraId="6404491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3.05–4.05</w:t>
            </w:r>
          </w:p>
        </w:tc>
      </w:tr>
      <w:tr w:rsidR="00E73E19" w:rsidRPr="00381C7B" w14:paraId="4162E74D" w14:textId="77777777" w:rsidTr="00885DD0">
        <w:tc>
          <w:tcPr>
            <w:tcW w:w="0" w:type="auto"/>
            <w:hideMark/>
          </w:tcPr>
          <w:p w14:paraId="36B26FA1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76713CF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713DBD6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68971BA9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3.95 ± 0.26</w:t>
            </w:r>
          </w:p>
        </w:tc>
        <w:tc>
          <w:tcPr>
            <w:tcW w:w="0" w:type="auto"/>
            <w:hideMark/>
          </w:tcPr>
          <w:p w14:paraId="080D121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3.77–4.13</w:t>
            </w:r>
          </w:p>
        </w:tc>
        <w:tc>
          <w:tcPr>
            <w:tcW w:w="0" w:type="auto"/>
            <w:hideMark/>
          </w:tcPr>
          <w:p w14:paraId="787CB5B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3.95</w:t>
            </w:r>
          </w:p>
        </w:tc>
        <w:tc>
          <w:tcPr>
            <w:tcW w:w="0" w:type="auto"/>
            <w:hideMark/>
          </w:tcPr>
          <w:p w14:paraId="6353AC0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0.35</w:t>
            </w:r>
          </w:p>
        </w:tc>
        <w:tc>
          <w:tcPr>
            <w:tcW w:w="0" w:type="auto"/>
            <w:hideMark/>
          </w:tcPr>
          <w:p w14:paraId="1BFC840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3.43–4.47</w:t>
            </w:r>
          </w:p>
        </w:tc>
      </w:tr>
      <w:tr w:rsidR="00E73E19" w:rsidRPr="00381C7B" w14:paraId="6E0C1CFA" w14:textId="77777777" w:rsidTr="00885DD0">
        <w:tc>
          <w:tcPr>
            <w:tcW w:w="0" w:type="auto"/>
            <w:hideMark/>
          </w:tcPr>
          <w:p w14:paraId="0A504320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mutans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x</w:t>
            </w:r>
            <w:proofErr w:type="spellEnd"/>
          </w:p>
        </w:tc>
        <w:tc>
          <w:tcPr>
            <w:tcW w:w="0" w:type="auto"/>
            <w:hideMark/>
          </w:tcPr>
          <w:p w14:paraId="442BE769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6359773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DB24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7A40660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4.20 ± 0.28</w:t>
            </w:r>
          </w:p>
        </w:tc>
        <w:tc>
          <w:tcPr>
            <w:tcW w:w="0" w:type="auto"/>
            <w:hideMark/>
          </w:tcPr>
          <w:p w14:paraId="139718F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4.01–4.39</w:t>
            </w:r>
          </w:p>
        </w:tc>
        <w:tc>
          <w:tcPr>
            <w:tcW w:w="0" w:type="auto"/>
            <w:hideMark/>
          </w:tcPr>
          <w:p w14:paraId="26A4E63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4.20</w:t>
            </w:r>
          </w:p>
        </w:tc>
        <w:tc>
          <w:tcPr>
            <w:tcW w:w="0" w:type="auto"/>
            <w:hideMark/>
          </w:tcPr>
          <w:p w14:paraId="1F21825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0" w:type="auto"/>
            <w:hideMark/>
          </w:tcPr>
          <w:p w14:paraId="6391DE5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3.64–4.76</w:t>
            </w:r>
          </w:p>
        </w:tc>
      </w:tr>
      <w:tr w:rsidR="00E73E19" w:rsidRPr="00381C7B" w14:paraId="420259DD" w14:textId="77777777" w:rsidTr="00885DD0">
        <w:tc>
          <w:tcPr>
            <w:tcW w:w="0" w:type="auto"/>
            <w:hideMark/>
          </w:tcPr>
          <w:p w14:paraId="61C08D71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32FF142C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7EB5B9F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1CAB4A3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2.95 ± 0.18</w:t>
            </w:r>
          </w:p>
        </w:tc>
        <w:tc>
          <w:tcPr>
            <w:tcW w:w="0" w:type="auto"/>
            <w:hideMark/>
          </w:tcPr>
          <w:p w14:paraId="724AD69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2.83–3.07</w:t>
            </w:r>
          </w:p>
        </w:tc>
        <w:tc>
          <w:tcPr>
            <w:tcW w:w="0" w:type="auto"/>
            <w:hideMark/>
          </w:tcPr>
          <w:p w14:paraId="3C17BBB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2.95</w:t>
            </w:r>
          </w:p>
        </w:tc>
        <w:tc>
          <w:tcPr>
            <w:tcW w:w="0" w:type="auto"/>
            <w:hideMark/>
          </w:tcPr>
          <w:p w14:paraId="758A542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0.24</w:t>
            </w:r>
          </w:p>
        </w:tc>
        <w:tc>
          <w:tcPr>
            <w:tcW w:w="0" w:type="auto"/>
            <w:hideMark/>
          </w:tcPr>
          <w:p w14:paraId="56CAED6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2.59–3.31</w:t>
            </w:r>
          </w:p>
        </w:tc>
      </w:tr>
      <w:tr w:rsidR="00E73E19" w:rsidRPr="00381C7B" w14:paraId="3AE0C9D0" w14:textId="77777777" w:rsidTr="00885DD0">
        <w:tc>
          <w:tcPr>
            <w:tcW w:w="0" w:type="auto"/>
            <w:hideMark/>
          </w:tcPr>
          <w:p w14:paraId="6F3E5E21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46AE18F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1FFFA042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2CB3BB2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3.25 ± 0.20</w:t>
            </w:r>
          </w:p>
        </w:tc>
        <w:tc>
          <w:tcPr>
            <w:tcW w:w="0" w:type="auto"/>
            <w:hideMark/>
          </w:tcPr>
          <w:p w14:paraId="061E887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3.11–3.39</w:t>
            </w:r>
          </w:p>
        </w:tc>
        <w:tc>
          <w:tcPr>
            <w:tcW w:w="0" w:type="auto"/>
            <w:hideMark/>
          </w:tcPr>
          <w:p w14:paraId="5C667F9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  <w:tc>
          <w:tcPr>
            <w:tcW w:w="0" w:type="auto"/>
            <w:hideMark/>
          </w:tcPr>
          <w:p w14:paraId="6339CAC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0" w:type="auto"/>
            <w:hideMark/>
          </w:tcPr>
          <w:p w14:paraId="3B25F97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2.85–3.65</w:t>
            </w:r>
          </w:p>
        </w:tc>
      </w:tr>
      <w:tr w:rsidR="00E73E19" w:rsidRPr="00381C7B" w14:paraId="76736D12" w14:textId="77777777" w:rsidTr="00885DD0">
        <w:tc>
          <w:tcPr>
            <w:tcW w:w="0" w:type="auto"/>
            <w:hideMark/>
          </w:tcPr>
          <w:p w14:paraId="5CAAFA24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264B1F2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hideMark/>
          </w:tcPr>
          <w:p w14:paraId="2AF70079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DB24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60D9EB9C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3.45 ± 0.22</w:t>
            </w:r>
          </w:p>
        </w:tc>
        <w:tc>
          <w:tcPr>
            <w:tcW w:w="0" w:type="auto"/>
            <w:hideMark/>
          </w:tcPr>
          <w:p w14:paraId="2330AEB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3.30–3.60</w:t>
            </w:r>
          </w:p>
        </w:tc>
        <w:tc>
          <w:tcPr>
            <w:tcW w:w="0" w:type="auto"/>
            <w:hideMark/>
          </w:tcPr>
          <w:p w14:paraId="1DAB83A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3.45</w:t>
            </w:r>
          </w:p>
        </w:tc>
        <w:tc>
          <w:tcPr>
            <w:tcW w:w="0" w:type="auto"/>
            <w:hideMark/>
          </w:tcPr>
          <w:p w14:paraId="57E6DAC9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0" w:type="auto"/>
            <w:hideMark/>
          </w:tcPr>
          <w:p w14:paraId="4E643C8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3.01–3.89</w:t>
            </w:r>
          </w:p>
        </w:tc>
      </w:tr>
      <w:tr w:rsidR="00E73E19" w:rsidRPr="00381C7B" w14:paraId="440E44D0" w14:textId="77777777" w:rsidTr="00885DD0">
        <w:tc>
          <w:tcPr>
            <w:tcW w:w="0" w:type="auto"/>
            <w:hideMark/>
          </w:tcPr>
          <w:p w14:paraId="452C3DCE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4D4BE1D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73233B42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29A54A7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3.15 ± 0.20</w:t>
            </w:r>
          </w:p>
        </w:tc>
        <w:tc>
          <w:tcPr>
            <w:tcW w:w="0" w:type="auto"/>
            <w:hideMark/>
          </w:tcPr>
          <w:p w14:paraId="45276C7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3.01–3.29</w:t>
            </w:r>
          </w:p>
        </w:tc>
        <w:tc>
          <w:tcPr>
            <w:tcW w:w="0" w:type="auto"/>
            <w:hideMark/>
          </w:tcPr>
          <w:p w14:paraId="1478B68C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3.15</w:t>
            </w:r>
          </w:p>
        </w:tc>
        <w:tc>
          <w:tcPr>
            <w:tcW w:w="0" w:type="auto"/>
            <w:hideMark/>
          </w:tcPr>
          <w:p w14:paraId="75FFDDD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0.27</w:t>
            </w:r>
          </w:p>
        </w:tc>
        <w:tc>
          <w:tcPr>
            <w:tcW w:w="0" w:type="auto"/>
            <w:hideMark/>
          </w:tcPr>
          <w:p w14:paraId="73EF72A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2.75–3.55</w:t>
            </w:r>
          </w:p>
        </w:tc>
      </w:tr>
      <w:tr w:rsidR="00E73E19" w:rsidRPr="00381C7B" w14:paraId="55B1A683" w14:textId="77777777" w:rsidTr="00885DD0">
        <w:tc>
          <w:tcPr>
            <w:tcW w:w="0" w:type="auto"/>
            <w:hideMark/>
          </w:tcPr>
          <w:p w14:paraId="7272B8CD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3628772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496EDAC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3CCB90B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3.48 ± 0.22</w:t>
            </w:r>
          </w:p>
        </w:tc>
        <w:tc>
          <w:tcPr>
            <w:tcW w:w="0" w:type="auto"/>
            <w:hideMark/>
          </w:tcPr>
          <w:p w14:paraId="687C359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3.33–3.63</w:t>
            </w:r>
          </w:p>
        </w:tc>
        <w:tc>
          <w:tcPr>
            <w:tcW w:w="0" w:type="auto"/>
            <w:hideMark/>
          </w:tcPr>
          <w:p w14:paraId="0021C685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3.48</w:t>
            </w:r>
          </w:p>
        </w:tc>
        <w:tc>
          <w:tcPr>
            <w:tcW w:w="0" w:type="auto"/>
            <w:hideMark/>
          </w:tcPr>
          <w:p w14:paraId="2AC980C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0" w:type="auto"/>
            <w:hideMark/>
          </w:tcPr>
          <w:p w14:paraId="0F5F4A4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3.04–3.92</w:t>
            </w:r>
          </w:p>
        </w:tc>
      </w:tr>
      <w:tr w:rsidR="00E73E19" w:rsidRPr="00381C7B" w14:paraId="4031D084" w14:textId="77777777" w:rsidTr="00885DD0">
        <w:tc>
          <w:tcPr>
            <w:tcW w:w="0" w:type="auto"/>
            <w:hideMark/>
          </w:tcPr>
          <w:p w14:paraId="1B4DE12F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15C489A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SR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hideMark/>
          </w:tcPr>
          <w:p w14:paraId="2FE10995" w14:textId="77777777" w:rsidR="00E73E19" w:rsidRPr="00DB24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 w:rsidRPr="00DB24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67396B0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3.70 ± 0.24</w:t>
            </w:r>
          </w:p>
        </w:tc>
        <w:tc>
          <w:tcPr>
            <w:tcW w:w="0" w:type="auto"/>
            <w:hideMark/>
          </w:tcPr>
          <w:p w14:paraId="20CBB37A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3.53–3.87</w:t>
            </w:r>
          </w:p>
        </w:tc>
        <w:tc>
          <w:tcPr>
            <w:tcW w:w="0" w:type="auto"/>
            <w:hideMark/>
          </w:tcPr>
          <w:p w14:paraId="41B1112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3.70</w:t>
            </w:r>
          </w:p>
        </w:tc>
        <w:tc>
          <w:tcPr>
            <w:tcW w:w="0" w:type="auto"/>
            <w:hideMark/>
          </w:tcPr>
          <w:p w14:paraId="40ED04F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0" w:type="auto"/>
            <w:hideMark/>
          </w:tcPr>
          <w:p w14:paraId="5FE3C60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3.22–4.18</w:t>
            </w:r>
          </w:p>
        </w:tc>
      </w:tr>
      <w:tr w:rsidR="00E73E19" w:rsidRPr="00381C7B" w14:paraId="17ECF449" w14:textId="77777777" w:rsidTr="00885DD0">
        <w:tc>
          <w:tcPr>
            <w:tcW w:w="0" w:type="auto"/>
            <w:hideMark/>
          </w:tcPr>
          <w:p w14:paraId="52193217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2BA389E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3BEE2BD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3B140D6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3.35 ± 0.22</w:t>
            </w:r>
          </w:p>
        </w:tc>
        <w:tc>
          <w:tcPr>
            <w:tcW w:w="0" w:type="auto"/>
            <w:hideMark/>
          </w:tcPr>
          <w:p w14:paraId="0B51FFE8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3.20–3.50</w:t>
            </w:r>
          </w:p>
        </w:tc>
        <w:tc>
          <w:tcPr>
            <w:tcW w:w="0" w:type="auto"/>
            <w:hideMark/>
          </w:tcPr>
          <w:p w14:paraId="63D32D9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3.35</w:t>
            </w:r>
          </w:p>
        </w:tc>
        <w:tc>
          <w:tcPr>
            <w:tcW w:w="0" w:type="auto"/>
            <w:hideMark/>
          </w:tcPr>
          <w:p w14:paraId="3787D5B0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0" w:type="auto"/>
            <w:hideMark/>
          </w:tcPr>
          <w:p w14:paraId="711D9BB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2.91–3.79</w:t>
            </w:r>
          </w:p>
        </w:tc>
      </w:tr>
      <w:tr w:rsidR="00E73E19" w:rsidRPr="00381C7B" w14:paraId="0EFC96A6" w14:textId="77777777" w:rsidTr="00885DD0">
        <w:tc>
          <w:tcPr>
            <w:tcW w:w="0" w:type="auto"/>
            <w:hideMark/>
          </w:tcPr>
          <w:p w14:paraId="78645EC5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3D94ABFE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0B971601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Thermocycling</w:t>
            </w:r>
            <w:r w:rsidRPr="00DB24F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3E33D8F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3.70 ± 0.24</w:t>
            </w:r>
          </w:p>
        </w:tc>
        <w:tc>
          <w:tcPr>
            <w:tcW w:w="0" w:type="auto"/>
            <w:hideMark/>
          </w:tcPr>
          <w:p w14:paraId="661742D6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3.53–3.87</w:t>
            </w:r>
          </w:p>
        </w:tc>
        <w:tc>
          <w:tcPr>
            <w:tcW w:w="0" w:type="auto"/>
            <w:hideMark/>
          </w:tcPr>
          <w:p w14:paraId="256BF40B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3.70</w:t>
            </w:r>
          </w:p>
        </w:tc>
        <w:tc>
          <w:tcPr>
            <w:tcW w:w="0" w:type="auto"/>
            <w:hideMark/>
          </w:tcPr>
          <w:p w14:paraId="397E1DD7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0" w:type="auto"/>
            <w:hideMark/>
          </w:tcPr>
          <w:p w14:paraId="364BA4C3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3.22–4.18</w:t>
            </w:r>
          </w:p>
        </w:tc>
      </w:tr>
      <w:tr w:rsidR="00E73E19" w:rsidRPr="00381C7B" w14:paraId="72B019E6" w14:textId="77777777" w:rsidTr="00885DD0">
        <w:tc>
          <w:tcPr>
            <w:tcW w:w="0" w:type="auto"/>
            <w:hideMark/>
          </w:tcPr>
          <w:p w14:paraId="0B2C0E90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5AF8">
              <w:rPr>
                <w:rFonts w:asciiTheme="majorBidi" w:hAnsiTheme="majorBidi" w:cstheme="majorBidi"/>
                <w:sz w:val="24"/>
                <w:szCs w:val="24"/>
              </w:rPr>
              <w:t xml:space="preserve">S. </w:t>
            </w:r>
            <w:proofErr w:type="spellStart"/>
            <w:r w:rsidRPr="00F95AF8">
              <w:rPr>
                <w:rFonts w:asciiTheme="majorBidi" w:hAnsiTheme="majorBidi" w:cstheme="majorBidi"/>
                <w:sz w:val="24"/>
                <w:szCs w:val="24"/>
              </w:rPr>
              <w:t>sanguinis</w:t>
            </w:r>
            <w:r w:rsidRPr="00F95AF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y</w:t>
            </w:r>
            <w:proofErr w:type="spellEnd"/>
          </w:p>
        </w:tc>
        <w:tc>
          <w:tcPr>
            <w:tcW w:w="0" w:type="auto"/>
            <w:hideMark/>
          </w:tcPr>
          <w:p w14:paraId="34375CE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V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0" w:type="auto"/>
            <w:hideMark/>
          </w:tcPr>
          <w:p w14:paraId="4AF3619B" w14:textId="77777777" w:rsidR="00E73E19" w:rsidRPr="00F95AF8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 xml:space="preserve">Thermocycling + </w:t>
            </w:r>
            <w:proofErr w:type="spellStart"/>
            <w:r w:rsidRPr="00381C7B">
              <w:rPr>
                <w:rFonts w:asciiTheme="majorBidi" w:hAnsiTheme="majorBidi" w:cstheme="majorBidi"/>
                <w:sz w:val="24"/>
                <w:szCs w:val="24"/>
              </w:rPr>
              <w:t>coffee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75F45BC9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3.95 ± 0.26</w:t>
            </w:r>
          </w:p>
        </w:tc>
        <w:tc>
          <w:tcPr>
            <w:tcW w:w="0" w:type="auto"/>
            <w:hideMark/>
          </w:tcPr>
          <w:p w14:paraId="3A721E1D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3.77–4.13</w:t>
            </w:r>
          </w:p>
        </w:tc>
        <w:tc>
          <w:tcPr>
            <w:tcW w:w="0" w:type="auto"/>
            <w:hideMark/>
          </w:tcPr>
          <w:p w14:paraId="46FA0E2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3.95</w:t>
            </w:r>
          </w:p>
        </w:tc>
        <w:tc>
          <w:tcPr>
            <w:tcW w:w="0" w:type="auto"/>
            <w:hideMark/>
          </w:tcPr>
          <w:p w14:paraId="01FEFE24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0.35</w:t>
            </w:r>
          </w:p>
        </w:tc>
        <w:tc>
          <w:tcPr>
            <w:tcW w:w="0" w:type="auto"/>
            <w:hideMark/>
          </w:tcPr>
          <w:p w14:paraId="2E684F1F" w14:textId="77777777" w:rsidR="00E73E19" w:rsidRPr="00381C7B" w:rsidRDefault="00E73E19" w:rsidP="00885DD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81C7B">
              <w:rPr>
                <w:rFonts w:asciiTheme="majorBidi" w:hAnsiTheme="majorBidi" w:cstheme="majorBidi"/>
                <w:sz w:val="24"/>
                <w:szCs w:val="24"/>
              </w:rPr>
              <w:t>3.43–4.47</w:t>
            </w:r>
          </w:p>
        </w:tc>
      </w:tr>
    </w:tbl>
    <w:p w14:paraId="68DE81E4" w14:textId="77777777" w:rsidR="00E73E19" w:rsidRPr="00381C7B" w:rsidRDefault="00E73E19" w:rsidP="00E73E1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B24F8">
        <w:rPr>
          <w:rFonts w:asciiTheme="majorBidi" w:hAnsiTheme="majorBidi" w:cstheme="majorBidi"/>
          <w:sz w:val="24"/>
          <w:szCs w:val="24"/>
        </w:rPr>
        <w:t>Different uppercase letters indicate significant main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B24F8">
        <w:rPr>
          <w:rFonts w:asciiTheme="majorBidi" w:hAnsiTheme="majorBidi" w:cstheme="majorBidi"/>
          <w:sz w:val="24"/>
          <w:szCs w:val="24"/>
        </w:rPr>
        <w:t>effect differences among materials. Different lowercase letters indicate significant main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B24F8">
        <w:rPr>
          <w:rFonts w:asciiTheme="majorBidi" w:hAnsiTheme="majorBidi" w:cstheme="majorBidi"/>
          <w:sz w:val="24"/>
          <w:szCs w:val="24"/>
        </w:rPr>
        <w:t>effect differences among aging conditions. Different superscript letters x and y indicate a significant main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B24F8">
        <w:rPr>
          <w:rFonts w:asciiTheme="majorBidi" w:hAnsiTheme="majorBidi" w:cstheme="majorBidi"/>
          <w:sz w:val="24"/>
          <w:szCs w:val="24"/>
        </w:rPr>
        <w:t>effect difference between bacterial species.</w:t>
      </w:r>
    </w:p>
    <w:p w14:paraId="3B29F30D" w14:textId="77777777" w:rsidR="00E73E19" w:rsidRDefault="00E73E19" w:rsidP="00E73E19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4F1BC6C" w14:textId="77777777" w:rsidR="00603B02" w:rsidRPr="00E73E19" w:rsidRDefault="00603B02" w:rsidP="00E73E19"/>
    <w:sectPr w:rsidR="00603B02" w:rsidRPr="00E73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0"/>
    <w:rsid w:val="003777E5"/>
    <w:rsid w:val="00603B02"/>
    <w:rsid w:val="006C7AEF"/>
    <w:rsid w:val="00B62456"/>
    <w:rsid w:val="00B81A53"/>
    <w:rsid w:val="00C84A51"/>
    <w:rsid w:val="00CC35D5"/>
    <w:rsid w:val="00D55D00"/>
    <w:rsid w:val="00E73E19"/>
    <w:rsid w:val="00FA030E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5E52"/>
  <w15:chartTrackingRefBased/>
  <w15:docId w15:val="{DD7EB31F-4D70-4CD9-8EB7-B1A89A75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E19"/>
  </w:style>
  <w:style w:type="paragraph" w:styleId="Heading1">
    <w:name w:val="heading 1"/>
    <w:basedOn w:val="Normal"/>
    <w:next w:val="Normal"/>
    <w:link w:val="Heading1Char"/>
    <w:uiPriority w:val="9"/>
    <w:qFormat/>
    <w:rsid w:val="00D55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mahinour ahmed yousry</dc:creator>
  <cp:keywords/>
  <dc:description/>
  <cp:lastModifiedBy>mahinour ahmed yousry</cp:lastModifiedBy>
  <cp:revision>2</cp:revision>
  <dcterms:created xsi:type="dcterms:W3CDTF">2026-07-10T22:58:00Z</dcterms:created>
  <dcterms:modified xsi:type="dcterms:W3CDTF">2026-07-10T22:58:00Z</dcterms:modified>
</cp:coreProperties>
</file>