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B028A7" w14:textId="33678EC5" w:rsidR="00302833" w:rsidRDefault="00000000">
      <w:pPr>
        <w:spacing w:after="60"/>
        <w:jc w:val="center"/>
      </w:pPr>
      <w:r>
        <w:rPr>
          <w:b/>
          <w:bCs/>
          <w:color w:val="1F3864"/>
        </w:rPr>
        <w:t>Appendix A: Identification Diagnostics</w:t>
      </w:r>
    </w:p>
    <w:p w14:paraId="2A1465A9" w14:textId="77777777" w:rsidR="00302833" w:rsidRDefault="00000000">
      <w:pPr>
        <w:spacing w:after="60"/>
        <w:jc w:val="center"/>
      </w:pPr>
      <w:r>
        <w:rPr>
          <w:i/>
          <w:iCs/>
        </w:rPr>
        <w:t>Assessing Causal Identification Assumptions in the NAM-PD Panel Model</w:t>
      </w:r>
    </w:p>
    <w:p w14:paraId="580AEE82" w14:textId="77777777" w:rsidR="00302833" w:rsidRDefault="00000000" w:rsidP="008F739A">
      <w:pPr>
        <w:spacing w:before="240" w:after="100"/>
      </w:pPr>
      <w:r>
        <w:rPr>
          <w:b/>
          <w:bCs/>
        </w:rPr>
        <w:t>A.1  Nickell Bias</w:t>
      </w:r>
    </w:p>
    <w:p w14:paraId="366CD6AE" w14:textId="77777777" w:rsidR="00302833" w:rsidRDefault="00000000">
      <w:pPr>
        <w:spacing w:after="160"/>
      </w:pPr>
      <w:r>
        <w:t xml:space="preserve">Dynamic panel models that include both country fixed effects and a lagged dependent variable produce biased autoregressive coefficients of order </w:t>
      </w:r>
      <w:r>
        <w:rPr>
          <w:i/>
          <w:iCs/>
        </w:rPr>
        <w:t>O</w:t>
      </w:r>
      <w:r>
        <w:t>(1/</w:t>
      </w:r>
      <w:r>
        <w:rPr>
          <w:i/>
          <w:iCs/>
        </w:rPr>
        <w:t>T</w:t>
      </w:r>
      <w:r>
        <w:t xml:space="preserve">) (Nickell, 1981). With a mean panel length of </w:t>
      </w:r>
      <w:r>
        <w:rPr>
          <w:i/>
          <w:iCs/>
        </w:rPr>
        <w:t>T̄</w:t>
      </w:r>
      <w:r>
        <w:t xml:space="preserve"> = 30.9 years (minimum 15 years; maximum 31 years), the implied bias is 1/</w:t>
      </w:r>
      <w:r>
        <w:rPr>
          <w:i/>
          <w:iCs/>
        </w:rPr>
        <w:t>T̄</w:t>
      </w:r>
      <w:r>
        <w:t xml:space="preserve"> ≈ 0.032 — approximately 3.2 percentage points of downward pressure on the AR coefficient. This is below the threshold that would motivate Arellano-Bond GMM correction; at </w:t>
      </w:r>
      <w:r>
        <w:rPr>
          <w:i/>
          <w:iCs/>
        </w:rPr>
        <w:t>N</w:t>
      </w:r>
      <w:r>
        <w:t xml:space="preserve"> = 176, Arellano-Bond would itself introduce weak-instrument concerns. The Nickell bias is therefore acknowledged but treated as a minor second-order issue in this panel.</w:t>
      </w:r>
    </w:p>
    <w:p w14:paraId="0874A8CE" w14:textId="77777777" w:rsidR="00302833" w:rsidRDefault="00000000" w:rsidP="008F739A">
      <w:pPr>
        <w:spacing w:before="240" w:after="100"/>
      </w:pPr>
      <w:r>
        <w:rPr>
          <w:b/>
          <w:bCs/>
        </w:rPr>
        <w:t>A.2  Between-vs-Within Variance Decomposition</w:t>
      </w:r>
    </w:p>
    <w:p w14:paraId="7E7CA745" w14:textId="77777777" w:rsidR="00302833" w:rsidRDefault="00000000">
      <w:pPr>
        <w:spacing w:after="120"/>
      </w:pPr>
      <w:r>
        <w:t xml:space="preserve">Fixed effects and first-difference estimators recover causal effects only from </w:t>
      </w:r>
      <w:r>
        <w:rPr>
          <w:b/>
          <w:bCs/>
        </w:rPr>
        <w:t>within-country</w:t>
      </w:r>
      <w:r>
        <w:t xml:space="preserve"> temporal variation. The ratio of between-country to within-country standard deviation (B/W) signals how much identifying variation survives after country demeaning. Table A1 reports this decomposition for all six predictors.</w:t>
      </w:r>
    </w:p>
    <w:p w14:paraId="0F2A0A5D" w14:textId="77777777" w:rsidR="00302833" w:rsidRDefault="00000000">
      <w:pPr>
        <w:spacing w:after="80"/>
      </w:pPr>
      <w:r>
        <w:rPr>
          <w:b/>
          <w:bCs/>
        </w:rPr>
        <w:t xml:space="preserve">Table A1. </w:t>
      </w:r>
      <w:r>
        <w:t>Between-vs-within variance decomposition (N = 176 countries, 1995–2025).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469"/>
        <w:gridCol w:w="1349"/>
        <w:gridCol w:w="1368"/>
        <w:gridCol w:w="1338"/>
        <w:gridCol w:w="1260"/>
        <w:gridCol w:w="1576"/>
      </w:tblGrid>
      <w:tr w:rsidR="00302833" w:rsidRPr="008F739A" w14:paraId="64475BEA" w14:textId="77777777" w:rsidTr="008F739A">
        <w:tc>
          <w:tcPr>
            <w:tcW w:w="2600" w:type="dxa"/>
          </w:tcPr>
          <w:p w14:paraId="5ADC54D8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Variable</w:t>
            </w:r>
          </w:p>
        </w:tc>
        <w:tc>
          <w:tcPr>
            <w:tcW w:w="1440" w:type="dxa"/>
          </w:tcPr>
          <w:p w14:paraId="51AFD21C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Overall σ</w:t>
            </w:r>
          </w:p>
        </w:tc>
        <w:tc>
          <w:tcPr>
            <w:tcW w:w="1440" w:type="dxa"/>
          </w:tcPr>
          <w:p w14:paraId="611C6EBC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Between σ</w:t>
            </w:r>
          </w:p>
        </w:tc>
        <w:tc>
          <w:tcPr>
            <w:tcW w:w="1440" w:type="dxa"/>
          </w:tcPr>
          <w:p w14:paraId="1AD11816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Within σ</w:t>
            </w:r>
          </w:p>
        </w:tc>
        <w:tc>
          <w:tcPr>
            <w:tcW w:w="1400" w:type="dxa"/>
          </w:tcPr>
          <w:p w14:paraId="6295CC25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B/W ratio</w:t>
            </w:r>
          </w:p>
        </w:tc>
        <w:tc>
          <w:tcPr>
            <w:tcW w:w="1040" w:type="dxa"/>
          </w:tcPr>
          <w:p w14:paraId="27C5A493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FE identification</w:t>
            </w:r>
          </w:p>
        </w:tc>
      </w:tr>
      <w:tr w:rsidR="00302833" w:rsidRPr="008F739A" w14:paraId="13489D7C" w14:textId="77777777" w:rsidTr="008F739A">
        <w:tc>
          <w:tcPr>
            <w:tcW w:w="2600" w:type="dxa"/>
          </w:tcPr>
          <w:p w14:paraId="209E08E9" w14:textId="77777777" w:rsidR="00302833" w:rsidRPr="008F739A" w:rsidRDefault="00000000">
            <w:r w:rsidRPr="008F739A">
              <w:rPr>
                <w:b/>
                <w:bCs/>
              </w:rPr>
              <w:t>DESTA depth (mar_typedepth)</w:t>
            </w:r>
          </w:p>
        </w:tc>
        <w:tc>
          <w:tcPr>
            <w:tcW w:w="1440" w:type="dxa"/>
          </w:tcPr>
          <w:p w14:paraId="69C89182" w14:textId="77777777" w:rsidR="00302833" w:rsidRPr="008F739A" w:rsidRDefault="00000000">
            <w:r w:rsidRPr="008F739A">
              <w:t>1.737</w:t>
            </w:r>
          </w:p>
        </w:tc>
        <w:tc>
          <w:tcPr>
            <w:tcW w:w="1440" w:type="dxa"/>
          </w:tcPr>
          <w:p w14:paraId="4E831147" w14:textId="77777777" w:rsidR="00302833" w:rsidRPr="008F739A" w:rsidRDefault="00000000">
            <w:r w:rsidRPr="008F739A">
              <w:t>1.291</w:t>
            </w:r>
          </w:p>
        </w:tc>
        <w:tc>
          <w:tcPr>
            <w:tcW w:w="1440" w:type="dxa"/>
          </w:tcPr>
          <w:p w14:paraId="153A9D99" w14:textId="77777777" w:rsidR="00302833" w:rsidRPr="008F739A" w:rsidRDefault="00000000">
            <w:r w:rsidRPr="008F739A">
              <w:t>1.178</w:t>
            </w:r>
          </w:p>
        </w:tc>
        <w:tc>
          <w:tcPr>
            <w:tcW w:w="1400" w:type="dxa"/>
          </w:tcPr>
          <w:p w14:paraId="04BCB108" w14:textId="77777777" w:rsidR="00302833" w:rsidRPr="008F739A" w:rsidRDefault="00000000">
            <w:r w:rsidRPr="008F739A">
              <w:t>1.10</w:t>
            </w:r>
          </w:p>
        </w:tc>
        <w:tc>
          <w:tcPr>
            <w:tcW w:w="1040" w:type="dxa"/>
          </w:tcPr>
          <w:p w14:paraId="55E02718" w14:textId="77777777" w:rsidR="00302833" w:rsidRPr="008F739A" w:rsidRDefault="00000000">
            <w:r w:rsidRPr="008F739A">
              <w:t>Good</w:t>
            </w:r>
          </w:p>
        </w:tc>
      </w:tr>
      <w:tr w:rsidR="00302833" w:rsidRPr="008F739A" w14:paraId="11532140" w14:textId="77777777" w:rsidTr="008F739A">
        <w:tc>
          <w:tcPr>
            <w:tcW w:w="2600" w:type="dxa"/>
          </w:tcPr>
          <w:p w14:paraId="63CE68C0" w14:textId="77777777" w:rsidR="00302833" w:rsidRPr="008F739A" w:rsidRDefault="00000000">
            <w:r w:rsidRPr="008F739A">
              <w:rPr>
                <w:b/>
                <w:bCs/>
              </w:rPr>
              <w:t>FDI (signed log1p)</w:t>
            </w:r>
          </w:p>
        </w:tc>
        <w:tc>
          <w:tcPr>
            <w:tcW w:w="1440" w:type="dxa"/>
          </w:tcPr>
          <w:p w14:paraId="00956B44" w14:textId="77777777" w:rsidR="00302833" w:rsidRPr="008F739A" w:rsidRDefault="00000000">
            <w:r w:rsidRPr="008F739A">
              <w:t>1.054</w:t>
            </w:r>
          </w:p>
        </w:tc>
        <w:tc>
          <w:tcPr>
            <w:tcW w:w="1440" w:type="dxa"/>
          </w:tcPr>
          <w:p w14:paraId="7F40B730" w14:textId="77777777" w:rsidR="00302833" w:rsidRPr="008F739A" w:rsidRDefault="00000000">
            <w:r w:rsidRPr="008F739A">
              <w:t>0.604</w:t>
            </w:r>
          </w:p>
        </w:tc>
        <w:tc>
          <w:tcPr>
            <w:tcW w:w="1440" w:type="dxa"/>
          </w:tcPr>
          <w:p w14:paraId="70C0A213" w14:textId="77777777" w:rsidR="00302833" w:rsidRPr="008F739A" w:rsidRDefault="00000000">
            <w:r w:rsidRPr="008F739A">
              <w:t>0.873</w:t>
            </w:r>
          </w:p>
        </w:tc>
        <w:tc>
          <w:tcPr>
            <w:tcW w:w="1400" w:type="dxa"/>
          </w:tcPr>
          <w:p w14:paraId="29169F07" w14:textId="77777777" w:rsidR="00302833" w:rsidRPr="008F739A" w:rsidRDefault="00000000">
            <w:r w:rsidRPr="008F739A">
              <w:t>0.69</w:t>
            </w:r>
          </w:p>
        </w:tc>
        <w:tc>
          <w:tcPr>
            <w:tcW w:w="1040" w:type="dxa"/>
          </w:tcPr>
          <w:p w14:paraId="63DF8736" w14:textId="77777777" w:rsidR="00302833" w:rsidRPr="008F739A" w:rsidRDefault="00000000">
            <w:r w:rsidRPr="008F739A">
              <w:t>Good</w:t>
            </w:r>
          </w:p>
        </w:tc>
      </w:tr>
      <w:tr w:rsidR="00302833" w:rsidRPr="008F739A" w14:paraId="5037A73F" w14:textId="77777777" w:rsidTr="008F739A">
        <w:tc>
          <w:tcPr>
            <w:tcW w:w="2600" w:type="dxa"/>
          </w:tcPr>
          <w:p w14:paraId="3D2F46AD" w14:textId="77777777" w:rsidR="00302833" w:rsidRPr="008F739A" w:rsidRDefault="00000000">
            <w:r w:rsidRPr="008F739A">
              <w:rPr>
                <w:b/>
                <w:bCs/>
              </w:rPr>
              <w:t>Diplomatic visits (COLT)</w:t>
            </w:r>
          </w:p>
        </w:tc>
        <w:tc>
          <w:tcPr>
            <w:tcW w:w="1440" w:type="dxa"/>
          </w:tcPr>
          <w:p w14:paraId="59B73E0D" w14:textId="77777777" w:rsidR="00302833" w:rsidRPr="008F739A" w:rsidRDefault="00000000">
            <w:r w:rsidRPr="008F739A">
              <w:t>25.93</w:t>
            </w:r>
          </w:p>
        </w:tc>
        <w:tc>
          <w:tcPr>
            <w:tcW w:w="1440" w:type="dxa"/>
          </w:tcPr>
          <w:p w14:paraId="65D46571" w14:textId="77777777" w:rsidR="00302833" w:rsidRPr="008F739A" w:rsidRDefault="00000000">
            <w:r w:rsidRPr="008F739A">
              <w:t>22.64</w:t>
            </w:r>
          </w:p>
        </w:tc>
        <w:tc>
          <w:tcPr>
            <w:tcW w:w="1440" w:type="dxa"/>
          </w:tcPr>
          <w:p w14:paraId="20448F65" w14:textId="77777777" w:rsidR="00302833" w:rsidRPr="008F739A" w:rsidRDefault="00000000">
            <w:r w:rsidRPr="008F739A">
              <w:t>12.70</w:t>
            </w:r>
          </w:p>
        </w:tc>
        <w:tc>
          <w:tcPr>
            <w:tcW w:w="1400" w:type="dxa"/>
          </w:tcPr>
          <w:p w14:paraId="013DEC63" w14:textId="77777777" w:rsidR="00302833" w:rsidRPr="008F739A" w:rsidRDefault="00000000">
            <w:r w:rsidRPr="008F739A">
              <w:t>1.78</w:t>
            </w:r>
          </w:p>
        </w:tc>
        <w:tc>
          <w:tcPr>
            <w:tcW w:w="1040" w:type="dxa"/>
          </w:tcPr>
          <w:p w14:paraId="3FA24B83" w14:textId="77777777" w:rsidR="00302833" w:rsidRPr="008F739A" w:rsidRDefault="00000000">
            <w:r w:rsidRPr="008F739A">
              <w:t>Moderate</w:t>
            </w:r>
          </w:p>
        </w:tc>
      </w:tr>
      <w:tr w:rsidR="00302833" w:rsidRPr="008F739A" w14:paraId="6A4883FE" w14:textId="77777777" w:rsidTr="008F739A">
        <w:tc>
          <w:tcPr>
            <w:tcW w:w="2600" w:type="dxa"/>
          </w:tcPr>
          <w:p w14:paraId="02180C35" w14:textId="77777777" w:rsidR="00302833" w:rsidRPr="008F739A" w:rsidRDefault="00000000">
            <w:r w:rsidRPr="008F739A">
              <w:rPr>
                <w:b/>
                <w:bCs/>
              </w:rPr>
              <w:t>Conflict intensity (PRIO)</w:t>
            </w:r>
          </w:p>
        </w:tc>
        <w:tc>
          <w:tcPr>
            <w:tcW w:w="1440" w:type="dxa"/>
          </w:tcPr>
          <w:p w14:paraId="6F990B71" w14:textId="77777777" w:rsidR="00302833" w:rsidRPr="008F739A" w:rsidRDefault="00000000">
            <w:r w:rsidRPr="008F739A">
              <w:t>0.352</w:t>
            </w:r>
          </w:p>
        </w:tc>
        <w:tc>
          <w:tcPr>
            <w:tcW w:w="1440" w:type="dxa"/>
          </w:tcPr>
          <w:p w14:paraId="5D58E51D" w14:textId="77777777" w:rsidR="00302833" w:rsidRPr="008F739A" w:rsidRDefault="00000000">
            <w:r w:rsidRPr="008F739A">
              <w:t>0.184</w:t>
            </w:r>
          </w:p>
        </w:tc>
        <w:tc>
          <w:tcPr>
            <w:tcW w:w="1440" w:type="dxa"/>
          </w:tcPr>
          <w:p w14:paraId="365A6C11" w14:textId="77777777" w:rsidR="00302833" w:rsidRPr="008F739A" w:rsidRDefault="00000000">
            <w:r w:rsidRPr="008F739A">
              <w:t>0.300</w:t>
            </w:r>
          </w:p>
        </w:tc>
        <w:tc>
          <w:tcPr>
            <w:tcW w:w="1400" w:type="dxa"/>
          </w:tcPr>
          <w:p w14:paraId="45F09C8C" w14:textId="77777777" w:rsidR="00302833" w:rsidRPr="008F739A" w:rsidRDefault="00000000">
            <w:r w:rsidRPr="008F739A">
              <w:t>0.61</w:t>
            </w:r>
          </w:p>
        </w:tc>
        <w:tc>
          <w:tcPr>
            <w:tcW w:w="1040" w:type="dxa"/>
          </w:tcPr>
          <w:p w14:paraId="3AB26E91" w14:textId="77777777" w:rsidR="00302833" w:rsidRPr="008F739A" w:rsidRDefault="00000000">
            <w:r w:rsidRPr="008F739A">
              <w:t>Good</w:t>
            </w:r>
          </w:p>
        </w:tc>
      </w:tr>
      <w:tr w:rsidR="00302833" w:rsidRPr="008F739A" w14:paraId="584E81EC" w14:textId="77777777" w:rsidTr="008F739A">
        <w:tc>
          <w:tcPr>
            <w:tcW w:w="2600" w:type="dxa"/>
          </w:tcPr>
          <w:p w14:paraId="7AFCA6DF" w14:textId="77777777" w:rsidR="00302833" w:rsidRPr="008F739A" w:rsidRDefault="00000000">
            <w:r w:rsidRPr="008F739A">
              <w:rPr>
                <w:b/>
                <w:bCs/>
              </w:rPr>
              <w:t>Migration stock (%)</w:t>
            </w:r>
          </w:p>
        </w:tc>
        <w:tc>
          <w:tcPr>
            <w:tcW w:w="1440" w:type="dxa"/>
          </w:tcPr>
          <w:p w14:paraId="499AC607" w14:textId="77777777" w:rsidR="00302833" w:rsidRPr="008F739A" w:rsidRDefault="00000000">
            <w:r w:rsidRPr="008F739A">
              <w:t>12.50</w:t>
            </w:r>
          </w:p>
        </w:tc>
        <w:tc>
          <w:tcPr>
            <w:tcW w:w="1440" w:type="dxa"/>
          </w:tcPr>
          <w:p w14:paraId="51ABCE89" w14:textId="77777777" w:rsidR="00302833" w:rsidRPr="008F739A" w:rsidRDefault="00000000">
            <w:r w:rsidRPr="008F739A">
              <w:t>12.29</w:t>
            </w:r>
          </w:p>
        </w:tc>
        <w:tc>
          <w:tcPr>
            <w:tcW w:w="1440" w:type="dxa"/>
          </w:tcPr>
          <w:p w14:paraId="471F4F5C" w14:textId="77777777" w:rsidR="00302833" w:rsidRPr="008F739A" w:rsidRDefault="00000000">
            <w:r w:rsidRPr="008F739A">
              <w:t>2.34</w:t>
            </w:r>
          </w:p>
        </w:tc>
        <w:tc>
          <w:tcPr>
            <w:tcW w:w="1400" w:type="dxa"/>
          </w:tcPr>
          <w:p w14:paraId="1734645A" w14:textId="77777777" w:rsidR="00302833" w:rsidRPr="008F739A" w:rsidRDefault="00000000">
            <w:r w:rsidRPr="008F739A">
              <w:t>5.26</w:t>
            </w:r>
          </w:p>
        </w:tc>
        <w:tc>
          <w:tcPr>
            <w:tcW w:w="1040" w:type="dxa"/>
          </w:tcPr>
          <w:p w14:paraId="4FFA81B3" w14:textId="77777777" w:rsidR="00302833" w:rsidRPr="008F739A" w:rsidRDefault="00000000">
            <w:r w:rsidRPr="008F739A">
              <w:t>Poor — IV needed</w:t>
            </w:r>
          </w:p>
        </w:tc>
      </w:tr>
      <w:tr w:rsidR="00302833" w:rsidRPr="008F739A" w14:paraId="3D6F64C5" w14:textId="77777777" w:rsidTr="008F739A">
        <w:tc>
          <w:tcPr>
            <w:tcW w:w="2600" w:type="dxa"/>
          </w:tcPr>
          <w:p w14:paraId="56DB2907" w14:textId="77777777" w:rsidR="00302833" w:rsidRPr="008F739A" w:rsidRDefault="00000000">
            <w:r w:rsidRPr="008F739A">
              <w:rPr>
                <w:b/>
                <w:bCs/>
              </w:rPr>
              <w:t>Democracy level AR (v2x_polyarchy)</w:t>
            </w:r>
          </w:p>
        </w:tc>
        <w:tc>
          <w:tcPr>
            <w:tcW w:w="1440" w:type="dxa"/>
          </w:tcPr>
          <w:p w14:paraId="30C1D9C5" w14:textId="77777777" w:rsidR="00302833" w:rsidRPr="008F739A" w:rsidRDefault="00000000">
            <w:r w:rsidRPr="008F739A">
              <w:t>0.264</w:t>
            </w:r>
          </w:p>
        </w:tc>
        <w:tc>
          <w:tcPr>
            <w:tcW w:w="1440" w:type="dxa"/>
          </w:tcPr>
          <w:p w14:paraId="17CC2772" w14:textId="77777777" w:rsidR="00302833" w:rsidRPr="008F739A" w:rsidRDefault="00000000">
            <w:r w:rsidRPr="008F739A">
              <w:t>0.252</w:t>
            </w:r>
          </w:p>
        </w:tc>
        <w:tc>
          <w:tcPr>
            <w:tcW w:w="1440" w:type="dxa"/>
          </w:tcPr>
          <w:p w14:paraId="0E1201D4" w14:textId="77777777" w:rsidR="00302833" w:rsidRPr="008F739A" w:rsidRDefault="00000000">
            <w:r w:rsidRPr="008F739A">
              <w:t>0.080</w:t>
            </w:r>
          </w:p>
        </w:tc>
        <w:tc>
          <w:tcPr>
            <w:tcW w:w="1400" w:type="dxa"/>
          </w:tcPr>
          <w:p w14:paraId="63DCEB72" w14:textId="77777777" w:rsidR="00302833" w:rsidRPr="008F739A" w:rsidRDefault="00000000">
            <w:r w:rsidRPr="008F739A">
              <w:t>3.14</w:t>
            </w:r>
          </w:p>
        </w:tc>
        <w:tc>
          <w:tcPr>
            <w:tcW w:w="1040" w:type="dxa"/>
          </w:tcPr>
          <w:p w14:paraId="2D414E8E" w14:textId="77777777" w:rsidR="00302833" w:rsidRPr="008F739A" w:rsidRDefault="00000000">
            <w:r w:rsidRPr="008F739A">
              <w:t>Nuisance term</w:t>
            </w:r>
          </w:p>
        </w:tc>
      </w:tr>
    </w:tbl>
    <w:p w14:paraId="7579A278" w14:textId="77777777" w:rsidR="00302833" w:rsidRDefault="00302833">
      <w:pPr>
        <w:spacing w:after="60"/>
      </w:pPr>
    </w:p>
    <w:p w14:paraId="565ACBAE" w14:textId="77777777" w:rsidR="00302833" w:rsidRDefault="00000000">
      <w:pPr>
        <w:spacing w:after="160"/>
      </w:pPr>
      <w:r>
        <w:rPr>
          <w:b/>
          <w:bCs/>
        </w:rPr>
        <w:t xml:space="preserve">Key finding: </w:t>
      </w:r>
      <w:r>
        <w:t>Migration stock has a B/W ratio of 5.26, making it effectively a time-invariant country characteristic in this 31-year panel. No within-estimator — fixed effects, first differences, or DML-FE — can credibly identify the causal effect of migration on democratic velocity from the current data; an external instrument operating through within-country temporal variation would be required. DESTA (B/W = 1.10) and FDI (B/W = 0.69) retain substantial within-country identifying variation and are better suited to panel causal designs.</w:t>
      </w:r>
    </w:p>
    <w:p w14:paraId="7444B63D" w14:textId="77777777" w:rsidR="00302833" w:rsidRDefault="00000000" w:rsidP="008F739A">
      <w:pPr>
        <w:spacing w:before="240" w:after="100"/>
      </w:pPr>
      <w:r>
        <w:rPr>
          <w:b/>
          <w:bCs/>
        </w:rPr>
        <w:t>A.3  Reverse Causation Diagnostic (DESTA)</w:t>
      </w:r>
    </w:p>
    <w:p w14:paraId="0B102ECF" w14:textId="77777777" w:rsidR="00302833" w:rsidRDefault="00000000">
      <w:pPr>
        <w:spacing w:after="160"/>
      </w:pPr>
      <w:r>
        <w:t xml:space="preserve">Cross-sectional evidence confirms that more democratic countries systematically sign deeper trade agreements: countries in the highest democracy quartile have a mean DESTA depth of 5.16 versus 4.48 for countries in the lowest quartile (gap = +0.68 depth units). This reflects </w:t>
      </w:r>
      <w:r>
        <w:rPr>
          <w:i/>
          <w:iCs/>
        </w:rPr>
        <w:t>structural</w:t>
      </w:r>
      <w:r>
        <w:t xml:space="preserve"> selection. The more policy-relevant question is whether </w:t>
      </w:r>
      <w:r>
        <w:rPr>
          <w:i/>
          <w:iCs/>
        </w:rPr>
        <w:t>increases</w:t>
      </w:r>
      <w:r>
        <w:t xml:space="preserve"> in democratic quality </w:t>
      </w:r>
      <w:r>
        <w:lastRenderedPageBreak/>
        <w:t>dynamically predict subsequent treaty deepening — i.e., reverse causation in the temporal dimension. The correlation between lagged democracy levels and next-year DESTA depth change is − 0.047 (lag 1) and − 0.059 (lag 2). These are substantively small and negative, providing no evidence of forward-looking democratic selection into treaty depth within the panel. The directional assumption — treaty depth shapes democratic velocity rather than vice versa — is empirically defensible in the temporal dimension.</w:t>
      </w:r>
    </w:p>
    <w:p w14:paraId="06E07D37" w14:textId="77777777" w:rsidR="00302833" w:rsidRDefault="00000000" w:rsidP="008F739A">
      <w:pPr>
        <w:spacing w:before="240" w:after="100"/>
      </w:pPr>
      <w:r>
        <w:rPr>
          <w:b/>
          <w:bCs/>
        </w:rPr>
        <w:t>A.4  Double Machine Learning: Why It Does Not Apply Here</w:t>
      </w:r>
    </w:p>
    <w:p w14:paraId="6D305B6E" w14:textId="77777777" w:rsidR="00302833" w:rsidRDefault="00000000">
      <w:pPr>
        <w:spacing w:after="100"/>
      </w:pPr>
      <w:r>
        <w:t xml:space="preserve">Double Machine Learning (DML; Chernozhukov et al., 2018) estimates the parameter θ in the partially linear model </w:t>
      </w:r>
      <w:r>
        <w:rPr>
          <w:i/>
          <w:iCs/>
        </w:rPr>
        <w:t>Y = θD + g(X, W) + ε</w:t>
      </w:r>
      <w:r>
        <w:t xml:space="preserve"> by cross-fitting flexible ML nuisance functions for </w:t>
      </w:r>
      <w:r>
        <w:rPr>
          <w:i/>
          <w:iCs/>
        </w:rPr>
        <w:t>E</w:t>
      </w:r>
      <w:r>
        <w:t>[</w:t>
      </w:r>
      <w:r>
        <w:rPr>
          <w:i/>
          <w:iCs/>
        </w:rPr>
        <w:t>Y</w:t>
      </w:r>
      <w:r>
        <w:t xml:space="preserve"> | </w:t>
      </w:r>
      <w:r>
        <w:rPr>
          <w:i/>
          <w:iCs/>
        </w:rPr>
        <w:t>X</w:t>
      </w:r>
      <w:r>
        <w:t xml:space="preserve">] and </w:t>
      </w:r>
      <w:r>
        <w:rPr>
          <w:i/>
          <w:iCs/>
        </w:rPr>
        <w:t>E</w:t>
      </w:r>
      <w:r>
        <w:t>[</w:t>
      </w:r>
      <w:r>
        <w:rPr>
          <w:i/>
          <w:iCs/>
        </w:rPr>
        <w:t>D</w:t>
      </w:r>
      <w:r>
        <w:t xml:space="preserve"> | </w:t>
      </w:r>
      <w:r>
        <w:rPr>
          <w:i/>
          <w:iCs/>
        </w:rPr>
        <w:t>X</w:t>
      </w:r>
      <w:r>
        <w:t xml:space="preserve">] and partialling out their predictions (Robinson, 1988). DML is the correct tool when the primary identification threat is </w:t>
      </w:r>
      <w:r>
        <w:rPr>
          <w:b/>
          <w:bCs/>
        </w:rPr>
        <w:t>high-dimensional observable confounding</w:t>
      </w:r>
      <w:r>
        <w:t xml:space="preserve"> and the conditional unconfoundedness assumption — </w:t>
      </w:r>
      <w:r>
        <w:rPr>
          <w:i/>
          <w:iCs/>
        </w:rPr>
        <w:t>Y</w:t>
      </w:r>
      <w:r>
        <w:t>(</w:t>
      </w:r>
      <w:r>
        <w:rPr>
          <w:i/>
          <w:iCs/>
        </w:rPr>
        <w:t>d</w:t>
      </w:r>
      <w:r>
        <w:t xml:space="preserve">) ⊥ </w:t>
      </w:r>
      <w:r>
        <w:rPr>
          <w:i/>
          <w:iCs/>
        </w:rPr>
        <w:t>D</w:t>
      </w:r>
      <w:r>
        <w:t xml:space="preserve"> | </w:t>
      </w:r>
      <w:r>
        <w:rPr>
          <w:i/>
          <w:iCs/>
        </w:rPr>
        <w:t>X</w:t>
      </w:r>
      <w:r>
        <w:t xml:space="preserve"> — is plausibly satisfied.</w:t>
      </w:r>
    </w:p>
    <w:p w14:paraId="73306A7E" w14:textId="77777777" w:rsidR="00302833" w:rsidRDefault="00000000">
      <w:pPr>
        <w:spacing w:after="100"/>
      </w:pPr>
      <w:r>
        <w:t xml:space="preserve">In the present data, the dominant identification threat is </w:t>
      </w:r>
      <w:r>
        <w:rPr>
          <w:b/>
          <w:bCs/>
        </w:rPr>
        <w:t>selection on time-invariant unobservables</w:t>
      </w:r>
      <w:r>
        <w:t xml:space="preserve">: colonial history, legal tradition, geographic proximity to democratic blocs, and state-capacity trajectories jointly predict both treaty depth and democratic trajectories but are absent from </w:t>
      </w:r>
      <w:r>
        <w:rPr>
          <w:i/>
          <w:iCs/>
        </w:rPr>
        <w:t>X</w:t>
      </w:r>
      <w:r>
        <w:t>. Conditioning on the five observable predictors in the NAM-PD does not make DESTA treatment assignment conditionally random. DML partialling on observables cannot remove bias from unobserved structural confounders.</w:t>
      </w:r>
    </w:p>
    <w:p w14:paraId="23725465" w14:textId="77777777" w:rsidR="00302833" w:rsidRDefault="00000000">
      <w:pPr>
        <w:spacing w:after="160"/>
      </w:pPr>
      <w:r>
        <w:t xml:space="preserve">The appropriate next identification step for the DESTA effect is a </w:t>
      </w:r>
      <w:r>
        <w:rPr>
          <w:b/>
          <w:bCs/>
        </w:rPr>
        <w:t>staggered difference-in-differences</w:t>
      </w:r>
      <w:r>
        <w:t xml:space="preserve"> design exploiting treaty entry-into-force timing (Callaway &amp; Sant'Anna, 2021; Sun &amp; Abraham, 2021). The existing data contain 251 depth-increase transitions across 146 of 176 panel countries — sufficient quasi-experimental variation for a credible causal extension, subject to the parallel-trends assumption on pre-treatment democratic velocity trajectories.</w:t>
      </w:r>
    </w:p>
    <w:p w14:paraId="741C5A77" w14:textId="77777777" w:rsidR="00302833" w:rsidRDefault="00000000" w:rsidP="008F739A">
      <w:pPr>
        <w:spacing w:before="240" w:after="100"/>
      </w:pPr>
      <w:r>
        <w:rPr>
          <w:b/>
          <w:bCs/>
        </w:rPr>
        <w:t>Summary: Identification Diagnostic Checklist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400"/>
        <w:gridCol w:w="2200"/>
        <w:gridCol w:w="3760"/>
      </w:tblGrid>
      <w:tr w:rsidR="00302833" w:rsidRPr="008F739A" w14:paraId="51277626" w14:textId="77777777" w:rsidTr="008F739A">
        <w:tc>
          <w:tcPr>
            <w:tcW w:w="3400" w:type="dxa"/>
          </w:tcPr>
          <w:p w14:paraId="7EC774C6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Diagnostic</w:t>
            </w:r>
          </w:p>
        </w:tc>
        <w:tc>
          <w:tcPr>
            <w:tcW w:w="2200" w:type="dxa"/>
          </w:tcPr>
          <w:p w14:paraId="44D7BF33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Result</w:t>
            </w:r>
          </w:p>
        </w:tc>
        <w:tc>
          <w:tcPr>
            <w:tcW w:w="3760" w:type="dxa"/>
          </w:tcPr>
          <w:p w14:paraId="23CED754" w14:textId="77777777" w:rsidR="00302833" w:rsidRPr="008F739A" w:rsidRDefault="00000000">
            <w:pPr>
              <w:jc w:val="center"/>
            </w:pPr>
            <w:r w:rsidRPr="008F739A">
              <w:rPr>
                <w:b/>
                <w:bCs/>
              </w:rPr>
              <w:t>Status</w:t>
            </w:r>
          </w:p>
        </w:tc>
      </w:tr>
      <w:tr w:rsidR="00302833" w:rsidRPr="008F739A" w14:paraId="17C09B91" w14:textId="77777777" w:rsidTr="008F739A">
        <w:tc>
          <w:tcPr>
            <w:tcW w:w="3400" w:type="dxa"/>
          </w:tcPr>
          <w:p w14:paraId="71EC7854" w14:textId="77777777" w:rsidR="00302833" w:rsidRPr="008F739A" w:rsidRDefault="00000000">
            <w:r w:rsidRPr="008F739A">
              <w:rPr>
                <w:b/>
                <w:bCs/>
              </w:rPr>
              <w:t>Nickell bias (1/T̄)</w:t>
            </w:r>
          </w:p>
        </w:tc>
        <w:tc>
          <w:tcPr>
            <w:tcW w:w="2200" w:type="dxa"/>
          </w:tcPr>
          <w:p w14:paraId="17D11745" w14:textId="77777777" w:rsidR="00302833" w:rsidRPr="008F739A" w:rsidRDefault="00000000">
            <w:r w:rsidRPr="008F739A">
              <w:t>0.032 at T̄ = 30.9</w:t>
            </w:r>
          </w:p>
        </w:tc>
        <w:tc>
          <w:tcPr>
            <w:tcW w:w="3760" w:type="dxa"/>
          </w:tcPr>
          <w:p w14:paraId="4B7662FF" w14:textId="77777777" w:rsidR="00302833" w:rsidRPr="008F739A" w:rsidRDefault="00000000">
            <w:r w:rsidRPr="008F739A">
              <w:t>Acceptable — no GMM correction needed</w:t>
            </w:r>
          </w:p>
        </w:tc>
      </w:tr>
      <w:tr w:rsidR="00302833" w:rsidRPr="008F739A" w14:paraId="5E6F27DE" w14:textId="77777777" w:rsidTr="008F739A">
        <w:tc>
          <w:tcPr>
            <w:tcW w:w="3400" w:type="dxa"/>
          </w:tcPr>
          <w:p w14:paraId="531CD5BA" w14:textId="77777777" w:rsidR="00302833" w:rsidRPr="008F739A" w:rsidRDefault="00000000">
            <w:r w:rsidRPr="008F739A">
              <w:rPr>
                <w:b/>
                <w:bCs/>
              </w:rPr>
              <w:t>DESTA between/within ratio</w:t>
            </w:r>
          </w:p>
        </w:tc>
        <w:tc>
          <w:tcPr>
            <w:tcW w:w="2200" w:type="dxa"/>
          </w:tcPr>
          <w:p w14:paraId="1440286D" w14:textId="77777777" w:rsidR="00302833" w:rsidRPr="008F739A" w:rsidRDefault="00000000">
            <w:r w:rsidRPr="008F739A">
              <w:t>1.10</w:t>
            </w:r>
          </w:p>
        </w:tc>
        <w:tc>
          <w:tcPr>
            <w:tcW w:w="3760" w:type="dxa"/>
          </w:tcPr>
          <w:p w14:paraId="7C5B87A1" w14:textId="77777777" w:rsidR="00302833" w:rsidRPr="008F739A" w:rsidRDefault="00000000">
            <w:r w:rsidRPr="008F739A">
              <w:t>Sufficient within-country variation for panel ID</w:t>
            </w:r>
          </w:p>
        </w:tc>
      </w:tr>
      <w:tr w:rsidR="00302833" w:rsidRPr="008F739A" w14:paraId="08404963" w14:textId="77777777" w:rsidTr="008F739A">
        <w:tc>
          <w:tcPr>
            <w:tcW w:w="3400" w:type="dxa"/>
          </w:tcPr>
          <w:p w14:paraId="69595D91" w14:textId="77777777" w:rsidR="00302833" w:rsidRPr="008F739A" w:rsidRDefault="00000000">
            <w:r w:rsidRPr="008F739A">
              <w:rPr>
                <w:b/>
                <w:bCs/>
              </w:rPr>
              <w:t>Migration between/within ratio</w:t>
            </w:r>
          </w:p>
        </w:tc>
        <w:tc>
          <w:tcPr>
            <w:tcW w:w="2200" w:type="dxa"/>
          </w:tcPr>
          <w:p w14:paraId="24676F6D" w14:textId="77777777" w:rsidR="00302833" w:rsidRPr="008F739A" w:rsidRDefault="00000000">
            <w:r w:rsidRPr="008F739A">
              <w:t>5.26</w:t>
            </w:r>
          </w:p>
        </w:tc>
        <w:tc>
          <w:tcPr>
            <w:tcW w:w="3760" w:type="dxa"/>
          </w:tcPr>
          <w:p w14:paraId="2F2A63B8" w14:textId="77777777" w:rsidR="00302833" w:rsidRPr="008F739A" w:rsidRDefault="00000000">
            <w:r w:rsidRPr="008F739A">
              <w:t>Effectively cross-sectional — IV required</w:t>
            </w:r>
          </w:p>
        </w:tc>
      </w:tr>
      <w:tr w:rsidR="00302833" w:rsidRPr="008F739A" w14:paraId="63D9CF20" w14:textId="77777777" w:rsidTr="008F739A">
        <w:tc>
          <w:tcPr>
            <w:tcW w:w="3400" w:type="dxa"/>
          </w:tcPr>
          <w:p w14:paraId="254C0FA4" w14:textId="77777777" w:rsidR="00302833" w:rsidRPr="008F739A" w:rsidRDefault="00000000">
            <w:r w:rsidRPr="008F739A">
              <w:rPr>
                <w:b/>
                <w:bCs/>
              </w:rPr>
              <w:t>Reverse causation (DESTA, lag 2)</w:t>
            </w:r>
          </w:p>
        </w:tc>
        <w:tc>
          <w:tcPr>
            <w:tcW w:w="2200" w:type="dxa"/>
          </w:tcPr>
          <w:p w14:paraId="7200D4A7" w14:textId="77777777" w:rsidR="00302833" w:rsidRPr="008F739A" w:rsidRDefault="00000000">
            <w:r w:rsidRPr="008F739A">
              <w:t>r = − 0.059</w:t>
            </w:r>
          </w:p>
        </w:tc>
        <w:tc>
          <w:tcPr>
            <w:tcW w:w="3760" w:type="dxa"/>
          </w:tcPr>
          <w:p w14:paraId="24EAEED9" w14:textId="77777777" w:rsidR="00302833" w:rsidRPr="008F739A" w:rsidRDefault="00000000">
            <w:r w:rsidRPr="008F739A">
              <w:t>Weak — directional assumption defensible</w:t>
            </w:r>
          </w:p>
        </w:tc>
      </w:tr>
      <w:tr w:rsidR="00302833" w:rsidRPr="008F739A" w14:paraId="6ABDE1D0" w14:textId="77777777" w:rsidTr="008F739A">
        <w:tc>
          <w:tcPr>
            <w:tcW w:w="3400" w:type="dxa"/>
          </w:tcPr>
          <w:p w14:paraId="35EBE5BA" w14:textId="77777777" w:rsidR="00302833" w:rsidRPr="008F739A" w:rsidRDefault="00000000">
            <w:r w:rsidRPr="008F739A">
              <w:rPr>
                <w:b/>
                <w:bCs/>
              </w:rPr>
              <w:t>Conditional unconfoundedness (DML prerequisite)</w:t>
            </w:r>
          </w:p>
        </w:tc>
        <w:tc>
          <w:tcPr>
            <w:tcW w:w="2200" w:type="dxa"/>
          </w:tcPr>
          <w:p w14:paraId="35D8E803" w14:textId="77777777" w:rsidR="00302833" w:rsidRPr="008F739A" w:rsidRDefault="00000000">
            <w:r w:rsidRPr="008F739A">
              <w:t>Not satisfied</w:t>
            </w:r>
          </w:p>
        </w:tc>
        <w:tc>
          <w:tcPr>
            <w:tcW w:w="3760" w:type="dxa"/>
          </w:tcPr>
          <w:p w14:paraId="5D4993F4" w14:textId="77777777" w:rsidR="00302833" w:rsidRPr="008F739A" w:rsidRDefault="00000000">
            <w:r w:rsidRPr="008F739A">
              <w:t>Structural unobservables dominate — DML insufficient</w:t>
            </w:r>
          </w:p>
        </w:tc>
      </w:tr>
      <w:tr w:rsidR="00302833" w:rsidRPr="008F739A" w14:paraId="3E6C378F" w14:textId="77777777" w:rsidTr="008F739A">
        <w:tc>
          <w:tcPr>
            <w:tcW w:w="3400" w:type="dxa"/>
          </w:tcPr>
          <w:p w14:paraId="118CD12A" w14:textId="77777777" w:rsidR="00302833" w:rsidRPr="008F739A" w:rsidRDefault="00000000">
            <w:r w:rsidRPr="008F739A">
              <w:rPr>
                <w:b/>
                <w:bCs/>
              </w:rPr>
              <w:t>Staggered DiD feasibility (DESTA)</w:t>
            </w:r>
          </w:p>
        </w:tc>
        <w:tc>
          <w:tcPr>
            <w:tcW w:w="2200" w:type="dxa"/>
          </w:tcPr>
          <w:p w14:paraId="6241019C" w14:textId="77777777" w:rsidR="00302833" w:rsidRPr="008F739A" w:rsidRDefault="00000000">
            <w:r w:rsidRPr="008F739A">
              <w:t>251 transitions, 146 countries</w:t>
            </w:r>
          </w:p>
        </w:tc>
        <w:tc>
          <w:tcPr>
            <w:tcW w:w="3760" w:type="dxa"/>
          </w:tcPr>
          <w:p w14:paraId="72E7B734" w14:textId="77777777" w:rsidR="00302833" w:rsidRPr="008F739A" w:rsidRDefault="00000000">
            <w:r w:rsidRPr="008F739A">
              <w:t>Feasible — recommended causal extension</w:t>
            </w:r>
          </w:p>
        </w:tc>
      </w:tr>
      <w:tr w:rsidR="00302833" w:rsidRPr="008F739A" w14:paraId="33564AFC" w14:textId="77777777" w:rsidTr="008F739A">
        <w:tc>
          <w:tcPr>
            <w:tcW w:w="3400" w:type="dxa"/>
          </w:tcPr>
          <w:p w14:paraId="589C318E" w14:textId="77777777" w:rsidR="00302833" w:rsidRPr="008F739A" w:rsidRDefault="00000000">
            <w:r w:rsidRPr="008F739A">
              <w:rPr>
                <w:b/>
                <w:bCs/>
              </w:rPr>
              <w:t>Overall identification strategy</w:t>
            </w:r>
          </w:p>
        </w:tc>
        <w:tc>
          <w:tcPr>
            <w:tcW w:w="2200" w:type="dxa"/>
          </w:tcPr>
          <w:p w14:paraId="7B25EECC" w14:textId="77777777" w:rsidR="00302833" w:rsidRPr="008F739A" w:rsidRDefault="00000000">
            <w:r w:rsidRPr="008F739A">
              <w:t>Predictive framing</w:t>
            </w:r>
          </w:p>
        </w:tc>
        <w:tc>
          <w:tcPr>
            <w:tcW w:w="3760" w:type="dxa"/>
          </w:tcPr>
          <w:p w14:paraId="7946FC9F" w14:textId="77777777" w:rsidR="00302833" w:rsidRPr="008F739A" w:rsidRDefault="00000000">
            <w:r w:rsidRPr="008F739A">
              <w:t>Correct given available data</w:t>
            </w:r>
          </w:p>
        </w:tc>
      </w:tr>
    </w:tbl>
    <w:p w14:paraId="10877CB1" w14:textId="77777777" w:rsidR="00302833" w:rsidRDefault="00302833">
      <w:pPr>
        <w:spacing w:after="120"/>
      </w:pPr>
    </w:p>
    <w:p w14:paraId="38C74F4B" w14:textId="77777777" w:rsidR="00302833" w:rsidRDefault="00000000">
      <w:pPr>
        <w:pBdr>
          <w:bottom w:val="single" w:sz="2" w:space="4" w:color="AAAAAA"/>
        </w:pBdr>
        <w:spacing w:before="240" w:after="100"/>
      </w:pPr>
      <w:r>
        <w:rPr>
          <w:b/>
          <w:bCs/>
        </w:rPr>
        <w:t>References</w:t>
      </w:r>
    </w:p>
    <w:p w14:paraId="5139C48A" w14:textId="77777777" w:rsidR="00302833" w:rsidRDefault="00000000">
      <w:pPr>
        <w:spacing w:after="80"/>
      </w:pPr>
      <w:r>
        <w:lastRenderedPageBreak/>
        <w:t xml:space="preserve">Callaway, B., &amp; Sant'Anna, P. H. C. (2021). Difference-in-differences with multiple time periods. </w:t>
      </w:r>
      <w:r>
        <w:rPr>
          <w:i/>
          <w:iCs/>
        </w:rPr>
        <w:t>Journal of Econometrics</w:t>
      </w:r>
      <w:r>
        <w:t>, 225(2), 200–230.</w:t>
      </w:r>
    </w:p>
    <w:p w14:paraId="3035C93C" w14:textId="77777777" w:rsidR="00302833" w:rsidRDefault="00000000">
      <w:pPr>
        <w:spacing w:after="80"/>
      </w:pPr>
      <w:r>
        <w:t xml:space="preserve">Chernozhukov, V., Chetverikov, D., Demirer, M., Duflo, E., Hansen, C., Newey, W., &amp; Robins, J. (2018). Double/debiased machine learning for treatment and structural parameters. </w:t>
      </w:r>
      <w:r>
        <w:rPr>
          <w:i/>
          <w:iCs/>
        </w:rPr>
        <w:t>The Econometrics Journal</w:t>
      </w:r>
      <w:r>
        <w:t>, 21(1), C1–C68.</w:t>
      </w:r>
    </w:p>
    <w:p w14:paraId="1A75DA3E" w14:textId="77777777" w:rsidR="00302833" w:rsidRDefault="00000000">
      <w:pPr>
        <w:spacing w:after="80"/>
      </w:pPr>
      <w:r>
        <w:t xml:space="preserve">Nickell, S. (1981). Biases in dynamic models with fixed effects. </w:t>
      </w:r>
      <w:r>
        <w:rPr>
          <w:i/>
          <w:iCs/>
        </w:rPr>
        <w:t>Econometrica</w:t>
      </w:r>
      <w:r>
        <w:t>, 49(6), 1417–1426.</w:t>
      </w:r>
    </w:p>
    <w:p w14:paraId="36422F07" w14:textId="77777777" w:rsidR="00302833" w:rsidRDefault="00000000">
      <w:pPr>
        <w:spacing w:after="80"/>
      </w:pPr>
      <w:r>
        <w:t>Robinson, P. M. (1988). Root-</w:t>
      </w:r>
      <w:r>
        <w:rPr>
          <w:i/>
          <w:iCs/>
        </w:rPr>
        <w:t>N</w:t>
      </w:r>
      <w:r>
        <w:t xml:space="preserve">-consistent semiparametric regression. </w:t>
      </w:r>
      <w:r>
        <w:rPr>
          <w:i/>
          <w:iCs/>
        </w:rPr>
        <w:t>Econometrica</w:t>
      </w:r>
      <w:r>
        <w:t>, 56(4), 931–954.</w:t>
      </w:r>
    </w:p>
    <w:p w14:paraId="2412E35B" w14:textId="77777777" w:rsidR="00302833" w:rsidRDefault="00000000">
      <w:pPr>
        <w:spacing w:after="80"/>
      </w:pPr>
      <w:r>
        <w:t xml:space="preserve">Sun, L., &amp; Abraham, S. (2021). Estimating dynamic treatment effects in event studies with heterogeneous treatment effects. </w:t>
      </w:r>
      <w:r>
        <w:rPr>
          <w:i/>
          <w:iCs/>
        </w:rPr>
        <w:t>Journal of Econometrics</w:t>
      </w:r>
      <w:r>
        <w:t>, 225(2), 175–199.</w:t>
      </w:r>
    </w:p>
    <w:sectPr w:rsidR="0030283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730D94" w14:textId="77777777" w:rsidR="00C95A58" w:rsidRDefault="00C95A58">
      <w:r>
        <w:separator/>
      </w:r>
    </w:p>
  </w:endnote>
  <w:endnote w:type="continuationSeparator" w:id="0">
    <w:p w14:paraId="51F79C76" w14:textId="77777777" w:rsidR="00C95A58" w:rsidRDefault="00C9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3800F0" w14:textId="77777777" w:rsidR="00302833" w:rsidRDefault="00000000">
    <w:pPr>
      <w:pBdr>
        <w:top w:val="single" w:sz="2" w:space="4" w:color="CCCCCC"/>
      </w:pBdr>
      <w:jc w:val="center"/>
    </w:pPr>
    <w:r>
      <w:rPr>
        <w:color w:val="888888"/>
        <w:sz w:val="18"/>
        <w:szCs w:val="18"/>
      </w:rPr>
      <w:t>A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8F739A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82CF42" w14:textId="77777777" w:rsidR="00C95A58" w:rsidRDefault="00C95A58">
      <w:r>
        <w:separator/>
      </w:r>
    </w:p>
  </w:footnote>
  <w:footnote w:type="continuationSeparator" w:id="0">
    <w:p w14:paraId="5B3AC5A1" w14:textId="77777777" w:rsidR="00C95A58" w:rsidRDefault="00C9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3BC09F" w14:textId="77777777" w:rsidR="000F6FA6" w:rsidRDefault="000F6FA6" w:rsidP="000F6FA6">
    <w:pPr>
      <w:spacing w:after="40"/>
      <w:jc w:val="center"/>
    </w:pPr>
    <w:r>
      <w:rPr>
        <w:color w:val="888888"/>
        <w:sz w:val="20"/>
        <w:szCs w:val="20"/>
      </w:rPr>
      <w:t>International Linkage and Democratic Velocity: Nonlinear Attribution Evidence from a Neural Additive Model for Panel Data</w:t>
    </w:r>
  </w:p>
  <w:p w14:paraId="30A1AD4B" w14:textId="433270C7" w:rsidR="00302833" w:rsidRDefault="00302833" w:rsidP="008F739A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E20085"/>
    <w:multiLevelType w:val="hybridMultilevel"/>
    <w:tmpl w:val="1E040458"/>
    <w:lvl w:ilvl="0" w:tplc="1D70D2EE">
      <w:start w:val="1"/>
      <w:numFmt w:val="bullet"/>
      <w:lvlText w:val="●"/>
      <w:lvlJc w:val="left"/>
      <w:pPr>
        <w:ind w:left="720" w:hanging="360"/>
      </w:pPr>
    </w:lvl>
    <w:lvl w:ilvl="1" w:tplc="7F209706">
      <w:start w:val="1"/>
      <w:numFmt w:val="bullet"/>
      <w:lvlText w:val="○"/>
      <w:lvlJc w:val="left"/>
      <w:pPr>
        <w:ind w:left="1440" w:hanging="360"/>
      </w:pPr>
    </w:lvl>
    <w:lvl w:ilvl="2" w:tplc="51E29EFC">
      <w:start w:val="1"/>
      <w:numFmt w:val="bullet"/>
      <w:lvlText w:val="■"/>
      <w:lvlJc w:val="left"/>
      <w:pPr>
        <w:ind w:left="2160" w:hanging="360"/>
      </w:pPr>
    </w:lvl>
    <w:lvl w:ilvl="3" w:tplc="9EF25870">
      <w:start w:val="1"/>
      <w:numFmt w:val="bullet"/>
      <w:lvlText w:val="●"/>
      <w:lvlJc w:val="left"/>
      <w:pPr>
        <w:ind w:left="2880" w:hanging="360"/>
      </w:pPr>
    </w:lvl>
    <w:lvl w:ilvl="4" w:tplc="3B0CCE52">
      <w:start w:val="1"/>
      <w:numFmt w:val="bullet"/>
      <w:lvlText w:val="○"/>
      <w:lvlJc w:val="left"/>
      <w:pPr>
        <w:ind w:left="3600" w:hanging="360"/>
      </w:pPr>
    </w:lvl>
    <w:lvl w:ilvl="5" w:tplc="B5FE859E">
      <w:start w:val="1"/>
      <w:numFmt w:val="bullet"/>
      <w:lvlText w:val="■"/>
      <w:lvlJc w:val="left"/>
      <w:pPr>
        <w:ind w:left="4320" w:hanging="360"/>
      </w:pPr>
    </w:lvl>
    <w:lvl w:ilvl="6" w:tplc="7238507A">
      <w:start w:val="1"/>
      <w:numFmt w:val="bullet"/>
      <w:lvlText w:val="●"/>
      <w:lvlJc w:val="left"/>
      <w:pPr>
        <w:ind w:left="5040" w:hanging="360"/>
      </w:pPr>
    </w:lvl>
    <w:lvl w:ilvl="7" w:tplc="CAFA9456">
      <w:start w:val="1"/>
      <w:numFmt w:val="bullet"/>
      <w:lvlText w:val="●"/>
      <w:lvlJc w:val="left"/>
      <w:pPr>
        <w:ind w:left="5760" w:hanging="360"/>
      </w:pPr>
    </w:lvl>
    <w:lvl w:ilvl="8" w:tplc="4A6C9122">
      <w:start w:val="1"/>
      <w:numFmt w:val="bullet"/>
      <w:lvlText w:val="●"/>
      <w:lvlJc w:val="left"/>
      <w:pPr>
        <w:ind w:left="6480" w:hanging="360"/>
      </w:pPr>
    </w:lvl>
  </w:abstractNum>
  <w:num w:numId="1" w16cid:durableId="48890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33"/>
    <w:rsid w:val="000F6FA6"/>
    <w:rsid w:val="00302833"/>
    <w:rsid w:val="00386FC4"/>
    <w:rsid w:val="008F739A"/>
    <w:rsid w:val="00C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667050"/>
  <w15:docId w15:val="{838952F4-5CDA-1C45-BB61-CC5D184F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7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39A"/>
  </w:style>
  <w:style w:type="paragraph" w:styleId="Footer">
    <w:name w:val="footer"/>
    <w:basedOn w:val="Normal"/>
    <w:link w:val="FooterChar"/>
    <w:uiPriority w:val="99"/>
    <w:unhideWhenUsed/>
    <w:rsid w:val="008F7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39A"/>
  </w:style>
  <w:style w:type="table" w:styleId="TableGrid">
    <w:name w:val="Table Grid"/>
    <w:basedOn w:val="TableNormal"/>
    <w:uiPriority w:val="39"/>
    <w:rsid w:val="008F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814</Words>
  <Characters>5189</Characters>
  <Application>Microsoft Office Word</Application>
  <DocSecurity>0</DocSecurity>
  <Lines>152</Lines>
  <Paragraphs>98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Kurt Kobain</cp:lastModifiedBy>
  <cp:revision>3</cp:revision>
  <dcterms:created xsi:type="dcterms:W3CDTF">2026-07-05T12:08:00Z</dcterms:created>
  <dcterms:modified xsi:type="dcterms:W3CDTF">2026-07-10T18:21:00Z</dcterms:modified>
</cp:coreProperties>
</file>