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rFonts w:ascii="Times New Roman" w:hAnsi="Times New Roman" w:cs="TH Sarabun New"/>
          <w:b/>
          <w:i w:val="0"/>
          <w:sz w:val="26"/>
        </w:rPr>
        <w:t>Supporting Information S2. STROBE Statement — checklist for cross-sectional studies</w:t>
      </w:r>
    </w:p>
    <w:p>
      <w:pPr>
        <w:spacing w:after="160"/>
      </w:pPr>
      <w:r>
        <w:rPr>
          <w:rFonts w:ascii="Times New Roman" w:hAnsi="Times New Roman" w:cs="TH Sarabun New"/>
          <w:b w:val="0"/>
          <w:i/>
          <w:sz w:val="20"/>
        </w:rPr>
        <w:t>Locations refer to sections of the anonymised main text (and Supporting Information S1, the survey instrument, and Figure 1).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160"/>
            <w:shd w:fill="D9E2F3"/>
          </w:tcPr>
          <w:p>
            <w:r>
              <w:rPr>
                <w:rFonts w:ascii="Times New Roman" w:hAnsi="Times New Roman" w:cs="TH Sarabun New"/>
                <w:b/>
                <w:i w:val="0"/>
                <w:sz w:val="20"/>
              </w:rPr>
              <w:t>Item</w:t>
            </w:r>
          </w:p>
        </w:tc>
        <w:tc>
          <w:tcPr>
            <w:tcW w:type="dxa" w:w="720"/>
            <w:shd w:fill="D9E2F3"/>
          </w:tcPr>
          <w:p>
            <w:r>
              <w:rPr>
                <w:rFonts w:ascii="Times New Roman" w:hAnsi="Times New Roman" w:cs="TH Sarabun New"/>
                <w:b/>
                <w:i w:val="0"/>
                <w:sz w:val="20"/>
              </w:rPr>
              <w:t>No.</w:t>
            </w:r>
          </w:p>
        </w:tc>
        <w:tc>
          <w:tcPr>
            <w:tcW w:type="dxa" w:w="4176"/>
            <w:shd w:fill="D9E2F3"/>
          </w:tcPr>
          <w:p>
            <w:r>
              <w:rPr>
                <w:rFonts w:ascii="Times New Roman" w:hAnsi="Times New Roman" w:cs="TH Sarabun New"/>
                <w:b/>
                <w:i w:val="0"/>
                <w:sz w:val="20"/>
              </w:rPr>
              <w:t>Recommendation</w:t>
            </w:r>
          </w:p>
        </w:tc>
        <w:tc>
          <w:tcPr>
            <w:tcW w:type="dxa" w:w="3888"/>
            <w:shd w:fill="D9E2F3"/>
          </w:tcPr>
          <w:p>
            <w:r>
              <w:rPr>
                <w:rFonts w:ascii="Times New Roman" w:hAnsi="Times New Roman" w:cs="TH Sarabun New"/>
                <w:b/>
                <w:i w:val="0"/>
                <w:sz w:val="20"/>
              </w:rPr>
              <w:t>Reported in</w:t>
            </w:r>
          </w:p>
        </w:tc>
      </w:tr>
      <w:tr>
        <w:tc>
          <w:tcPr>
            <w:tcW w:type="dxa" w:w="216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Title and abstract</w:t>
            </w:r>
          </w:p>
        </w:tc>
        <w:tc>
          <w:tcPr>
            <w:tcW w:type="dxa" w:w="72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1 (a)</w:t>
            </w:r>
          </w:p>
        </w:tc>
        <w:tc>
          <w:tcPr>
            <w:tcW w:type="dxa" w:w="4176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Study design indicated in the title/abstract</w:t>
            </w:r>
          </w:p>
        </w:tc>
        <w:tc>
          <w:tcPr>
            <w:tcW w:type="dxa" w:w="3888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Title (“cross-sectional survey”); Abstract, Methods</w:t>
            </w:r>
          </w:p>
        </w:tc>
      </w:tr>
      <w:tr>
        <w:tc>
          <w:tcPr>
            <w:tcW w:type="dxa" w:w="216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</w:r>
          </w:p>
        </w:tc>
        <w:tc>
          <w:tcPr>
            <w:tcW w:type="dxa" w:w="72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(b)</w:t>
            </w:r>
          </w:p>
        </w:tc>
        <w:tc>
          <w:tcPr>
            <w:tcW w:type="dxa" w:w="4176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Balanced summary in the abstract</w:t>
            </w:r>
          </w:p>
        </w:tc>
        <w:tc>
          <w:tcPr>
            <w:tcW w:type="dxa" w:w="3888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Abstract (Aims / Methods and Results / Conclusion)</w:t>
            </w:r>
          </w:p>
        </w:tc>
      </w:tr>
      <w:tr>
        <w:tc>
          <w:tcPr>
            <w:tcW w:type="dxa" w:w="2160"/>
            <w:shd w:fill="F2F2F2"/>
          </w:tcPr>
          <w:p>
            <w:r>
              <w:rPr>
                <w:rFonts w:ascii="Times New Roman" w:hAnsi="Times New Roman" w:cs="TH Sarabun New"/>
                <w:b/>
                <w:i w:val="0"/>
                <w:sz w:val="18"/>
              </w:rPr>
              <w:t>Introduction</w:t>
            </w:r>
          </w:p>
        </w:tc>
        <w:tc>
          <w:tcPr>
            <w:tcW w:type="dxa" w:w="720"/>
            <w:shd w:fill="F2F2F2"/>
          </w:tcPr>
          <w:p>
            <w:r>
              <w:rPr>
                <w:rFonts w:ascii="Times New Roman" w:hAnsi="Times New Roman" w:cs="TH Sarabun New"/>
                <w:b/>
                <w:i w:val="0"/>
                <w:sz w:val="18"/>
              </w:rPr>
            </w:r>
          </w:p>
        </w:tc>
        <w:tc>
          <w:tcPr>
            <w:tcW w:type="dxa" w:w="4176"/>
            <w:shd w:fill="F2F2F2"/>
          </w:tcPr>
          <w:p>
            <w:r>
              <w:rPr>
                <w:rFonts w:ascii="Times New Roman" w:hAnsi="Times New Roman" w:cs="TH Sarabun New"/>
                <w:b/>
                <w:i w:val="0"/>
                <w:sz w:val="18"/>
              </w:rPr>
            </w:r>
          </w:p>
        </w:tc>
        <w:tc>
          <w:tcPr>
            <w:tcW w:type="dxa" w:w="3888"/>
            <w:shd w:fill="F2F2F2"/>
          </w:tcPr>
          <w:p>
            <w:r>
              <w:rPr>
                <w:rFonts w:ascii="Times New Roman" w:hAnsi="Times New Roman" w:cs="TH Sarabun New"/>
                <w:b/>
                <w:i w:val="0"/>
                <w:sz w:val="18"/>
              </w:rPr>
            </w:r>
          </w:p>
        </w:tc>
      </w:tr>
      <w:tr>
        <w:tc>
          <w:tcPr>
            <w:tcW w:type="dxa" w:w="216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Background/rationale</w:t>
            </w:r>
          </w:p>
        </w:tc>
        <w:tc>
          <w:tcPr>
            <w:tcW w:type="dxa" w:w="72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2</w:t>
            </w:r>
          </w:p>
        </w:tc>
        <w:tc>
          <w:tcPr>
            <w:tcW w:type="dxa" w:w="4176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Scientific background and rationale</w:t>
            </w:r>
          </w:p>
        </w:tc>
        <w:tc>
          <w:tcPr>
            <w:tcW w:type="dxa" w:w="3888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Introduction, paragraphs 1–4</w:t>
            </w:r>
          </w:p>
        </w:tc>
      </w:tr>
      <w:tr>
        <w:tc>
          <w:tcPr>
            <w:tcW w:type="dxa" w:w="216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Objectives</w:t>
            </w:r>
          </w:p>
        </w:tc>
        <w:tc>
          <w:tcPr>
            <w:tcW w:type="dxa" w:w="72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3</w:t>
            </w:r>
          </w:p>
        </w:tc>
        <w:tc>
          <w:tcPr>
            <w:tcW w:type="dxa" w:w="4176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Specific objectives / hypotheses</w:t>
            </w:r>
          </w:p>
        </w:tc>
        <w:tc>
          <w:tcPr>
            <w:tcW w:type="dxa" w:w="3888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Introduction, final paragraph</w:t>
            </w:r>
          </w:p>
        </w:tc>
      </w:tr>
      <w:tr>
        <w:tc>
          <w:tcPr>
            <w:tcW w:type="dxa" w:w="2160"/>
            <w:shd w:fill="F2F2F2"/>
          </w:tcPr>
          <w:p>
            <w:r>
              <w:rPr>
                <w:rFonts w:ascii="Times New Roman" w:hAnsi="Times New Roman" w:cs="TH Sarabun New"/>
                <w:b/>
                <w:i w:val="0"/>
                <w:sz w:val="18"/>
              </w:rPr>
              <w:t>Methods</w:t>
            </w:r>
          </w:p>
        </w:tc>
        <w:tc>
          <w:tcPr>
            <w:tcW w:type="dxa" w:w="720"/>
            <w:shd w:fill="F2F2F2"/>
          </w:tcPr>
          <w:p>
            <w:r>
              <w:rPr>
                <w:rFonts w:ascii="Times New Roman" w:hAnsi="Times New Roman" w:cs="TH Sarabun New"/>
                <w:b/>
                <w:i w:val="0"/>
                <w:sz w:val="18"/>
              </w:rPr>
            </w:r>
          </w:p>
        </w:tc>
        <w:tc>
          <w:tcPr>
            <w:tcW w:type="dxa" w:w="4176"/>
            <w:shd w:fill="F2F2F2"/>
          </w:tcPr>
          <w:p>
            <w:r>
              <w:rPr>
                <w:rFonts w:ascii="Times New Roman" w:hAnsi="Times New Roman" w:cs="TH Sarabun New"/>
                <w:b/>
                <w:i w:val="0"/>
                <w:sz w:val="18"/>
              </w:rPr>
            </w:r>
          </w:p>
        </w:tc>
        <w:tc>
          <w:tcPr>
            <w:tcW w:type="dxa" w:w="3888"/>
            <w:shd w:fill="F2F2F2"/>
          </w:tcPr>
          <w:p>
            <w:r>
              <w:rPr>
                <w:rFonts w:ascii="Times New Roman" w:hAnsi="Times New Roman" w:cs="TH Sarabun New"/>
                <w:b/>
                <w:i w:val="0"/>
                <w:sz w:val="18"/>
              </w:rPr>
            </w:r>
          </w:p>
        </w:tc>
      </w:tr>
      <w:tr>
        <w:tc>
          <w:tcPr>
            <w:tcW w:type="dxa" w:w="216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Study design</w:t>
            </w:r>
          </w:p>
        </w:tc>
        <w:tc>
          <w:tcPr>
            <w:tcW w:type="dxa" w:w="72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4</w:t>
            </w:r>
          </w:p>
        </w:tc>
        <w:tc>
          <w:tcPr>
            <w:tcW w:type="dxa" w:w="4176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Key elements of design early in paper</w:t>
            </w:r>
          </w:p>
        </w:tc>
        <w:tc>
          <w:tcPr>
            <w:tcW w:type="dxa" w:w="3888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Methods — Setting and participants; Data collection</w:t>
            </w:r>
          </w:p>
        </w:tc>
      </w:tr>
      <w:tr>
        <w:tc>
          <w:tcPr>
            <w:tcW w:type="dxa" w:w="216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Setting</w:t>
            </w:r>
          </w:p>
        </w:tc>
        <w:tc>
          <w:tcPr>
            <w:tcW w:type="dxa" w:w="72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5</w:t>
            </w:r>
          </w:p>
        </w:tc>
        <w:tc>
          <w:tcPr>
            <w:tcW w:type="dxa" w:w="4176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Setting, locations, relevant dates</w:t>
            </w:r>
          </w:p>
        </w:tc>
        <w:tc>
          <w:tcPr>
            <w:tcW w:type="dxa" w:w="3888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Methods — Setting and participants; Data collection (Dec 2017–Jan 2018)</w:t>
            </w:r>
          </w:p>
        </w:tc>
      </w:tr>
      <w:tr>
        <w:tc>
          <w:tcPr>
            <w:tcW w:type="dxa" w:w="216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Participants</w:t>
            </w:r>
          </w:p>
        </w:tc>
        <w:tc>
          <w:tcPr>
            <w:tcW w:type="dxa" w:w="72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6 (a)</w:t>
            </w:r>
          </w:p>
        </w:tc>
        <w:tc>
          <w:tcPr>
            <w:tcW w:type="dxa" w:w="4176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Eligibility criteria, sources, selection</w:t>
            </w:r>
          </w:p>
        </w:tc>
        <w:tc>
          <w:tcPr>
            <w:tcW w:type="dxa" w:w="3888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Methods — Setting and participants (all guardians at two schools for the deaf)</w:t>
            </w:r>
          </w:p>
        </w:tc>
      </w:tr>
      <w:tr>
        <w:tc>
          <w:tcPr>
            <w:tcW w:type="dxa" w:w="216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Variables</w:t>
            </w:r>
          </w:p>
        </w:tc>
        <w:tc>
          <w:tcPr>
            <w:tcW w:type="dxa" w:w="72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7</w:t>
            </w:r>
          </w:p>
        </w:tc>
        <w:tc>
          <w:tcPr>
            <w:tcW w:type="dxa" w:w="4176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Outcomes, exposures, predictors, confounders</w:t>
            </w:r>
          </w:p>
        </w:tc>
        <w:tc>
          <w:tcPr>
            <w:tcW w:type="dxa" w:w="3888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Methods — Questionnaire; Data analysis</w:t>
            </w:r>
          </w:p>
        </w:tc>
      </w:tr>
      <w:tr>
        <w:tc>
          <w:tcPr>
            <w:tcW w:type="dxa" w:w="216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Data sources/measurement</w:t>
            </w:r>
          </w:p>
        </w:tc>
        <w:tc>
          <w:tcPr>
            <w:tcW w:type="dxa" w:w="72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8</w:t>
            </w:r>
          </w:p>
        </w:tc>
        <w:tc>
          <w:tcPr>
            <w:tcW w:type="dxa" w:w="4176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Sources and measurement methods per variable</w:t>
            </w:r>
          </w:p>
        </w:tc>
        <w:tc>
          <w:tcPr>
            <w:tcW w:type="dxa" w:w="3888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Methods — Questionnaire (self-administered instrument; IOC ≥ 0.5); Supporting Information S1</w:t>
            </w:r>
          </w:p>
        </w:tc>
      </w:tr>
      <w:tr>
        <w:tc>
          <w:tcPr>
            <w:tcW w:type="dxa" w:w="216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Bias</w:t>
            </w:r>
          </w:p>
        </w:tc>
        <w:tc>
          <w:tcPr>
            <w:tcW w:type="dxa" w:w="72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9</w:t>
            </w:r>
          </w:p>
        </w:tc>
        <w:tc>
          <w:tcPr>
            <w:tcW w:type="dxa" w:w="4176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Efforts to address potential bias</w:t>
            </w:r>
          </w:p>
        </w:tc>
        <w:tc>
          <w:tcPr>
            <w:tcW w:type="dxa" w:w="3888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Methods — Data collection; Discussion — Limitations (non-response, selection/survival, recall, social-desirability)</w:t>
            </w:r>
          </w:p>
        </w:tc>
      </w:tr>
      <w:tr>
        <w:tc>
          <w:tcPr>
            <w:tcW w:type="dxa" w:w="216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Study size</w:t>
            </w:r>
          </w:p>
        </w:tc>
        <w:tc>
          <w:tcPr>
            <w:tcW w:type="dxa" w:w="72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10</w:t>
            </w:r>
          </w:p>
        </w:tc>
        <w:tc>
          <w:tcPr>
            <w:tcW w:type="dxa" w:w="4176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How study size was arrived at</w:t>
            </w:r>
          </w:p>
        </w:tc>
        <w:tc>
          <w:tcPr>
            <w:tcW w:type="dxa" w:w="3888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Methods — Setting (all 278 eligible families); Figure 1</w:t>
            </w:r>
          </w:p>
        </w:tc>
      </w:tr>
      <w:tr>
        <w:tc>
          <w:tcPr>
            <w:tcW w:type="dxa" w:w="216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Quantitative variables</w:t>
            </w:r>
          </w:p>
        </w:tc>
        <w:tc>
          <w:tcPr>
            <w:tcW w:type="dxa" w:w="72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11</w:t>
            </w:r>
          </w:p>
        </w:tc>
        <w:tc>
          <w:tcPr>
            <w:tcW w:type="dxa" w:w="4176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Handling of quantitative variables/groupings</w:t>
            </w:r>
          </w:p>
        </w:tc>
        <w:tc>
          <w:tcPr>
            <w:tcW w:type="dxa" w:w="3888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Methods — Data analysis (severity categories; higher/lower groupings)</w:t>
            </w:r>
          </w:p>
        </w:tc>
      </w:tr>
      <w:tr>
        <w:tc>
          <w:tcPr>
            <w:tcW w:type="dxa" w:w="216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Statistical methods</w:t>
            </w:r>
          </w:p>
        </w:tc>
        <w:tc>
          <w:tcPr>
            <w:tcW w:type="dxa" w:w="72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12 (a)</w:t>
            </w:r>
          </w:p>
        </w:tc>
        <w:tc>
          <w:tcPr>
            <w:tcW w:type="dxa" w:w="4176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All methods, including confounding control</w:t>
            </w:r>
          </w:p>
        </w:tc>
        <w:tc>
          <w:tcPr>
            <w:tcW w:type="dxa" w:w="3888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Methods — Data analysis (chi-square, Fisher, multivariable logistic regression, content analysis)</w:t>
            </w:r>
          </w:p>
        </w:tc>
      </w:tr>
      <w:tr>
        <w:tc>
          <w:tcPr>
            <w:tcW w:type="dxa" w:w="216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</w:r>
          </w:p>
        </w:tc>
        <w:tc>
          <w:tcPr>
            <w:tcW w:type="dxa" w:w="72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(b)</w:t>
            </w:r>
          </w:p>
        </w:tc>
        <w:tc>
          <w:tcPr>
            <w:tcW w:type="dxa" w:w="4176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Subgroups and interactions</w:t>
            </w:r>
          </w:p>
        </w:tc>
        <w:tc>
          <w:tcPr>
            <w:tcW w:type="dxa" w:w="3888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Methods — Data analysis; Results — severity (5-category vs collapsed)</w:t>
            </w:r>
          </w:p>
        </w:tc>
      </w:tr>
      <w:tr>
        <w:tc>
          <w:tcPr>
            <w:tcW w:type="dxa" w:w="216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</w:r>
          </w:p>
        </w:tc>
        <w:tc>
          <w:tcPr>
            <w:tcW w:type="dxa" w:w="72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(c)</w:t>
            </w:r>
          </w:p>
        </w:tc>
        <w:tc>
          <w:tcPr>
            <w:tcW w:type="dxa" w:w="4176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Handling of missing data</w:t>
            </w:r>
          </w:p>
        </w:tc>
        <w:tc>
          <w:tcPr>
            <w:tcW w:type="dxa" w:w="3888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Methods — Data analysis (complete-case model); Results; Figure 1</w:t>
            </w:r>
          </w:p>
        </w:tc>
      </w:tr>
      <w:tr>
        <w:tc>
          <w:tcPr>
            <w:tcW w:type="dxa" w:w="216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</w:r>
          </w:p>
        </w:tc>
        <w:tc>
          <w:tcPr>
            <w:tcW w:type="dxa" w:w="72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(d)</w:t>
            </w:r>
          </w:p>
        </w:tc>
        <w:tc>
          <w:tcPr>
            <w:tcW w:type="dxa" w:w="4176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Sampling strategy</w:t>
            </w:r>
          </w:p>
        </w:tc>
        <w:tc>
          <w:tcPr>
            <w:tcW w:type="dxa" w:w="3888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Not applicable — all eligible families were invited (census of two schools)</w:t>
            </w:r>
          </w:p>
        </w:tc>
      </w:tr>
      <w:tr>
        <w:tc>
          <w:tcPr>
            <w:tcW w:type="dxa" w:w="216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</w:r>
          </w:p>
        </w:tc>
        <w:tc>
          <w:tcPr>
            <w:tcW w:type="dxa" w:w="72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(e)</w:t>
            </w:r>
          </w:p>
        </w:tc>
        <w:tc>
          <w:tcPr>
            <w:tcW w:type="dxa" w:w="4176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Sensitivity analyses</w:t>
            </w:r>
          </w:p>
        </w:tc>
        <w:tc>
          <w:tcPr>
            <w:tcW w:type="dxa" w:w="3888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Methods/Results — Fisher’s exact and clinically collapsed severity contrast</w:t>
            </w:r>
          </w:p>
        </w:tc>
      </w:tr>
      <w:tr>
        <w:tc>
          <w:tcPr>
            <w:tcW w:type="dxa" w:w="2160"/>
            <w:shd w:fill="F2F2F2"/>
          </w:tcPr>
          <w:p>
            <w:r>
              <w:rPr>
                <w:rFonts w:ascii="Times New Roman" w:hAnsi="Times New Roman" w:cs="TH Sarabun New"/>
                <w:b/>
                <w:i w:val="0"/>
                <w:sz w:val="18"/>
              </w:rPr>
              <w:t>Results</w:t>
            </w:r>
          </w:p>
        </w:tc>
        <w:tc>
          <w:tcPr>
            <w:tcW w:type="dxa" w:w="720"/>
            <w:shd w:fill="F2F2F2"/>
          </w:tcPr>
          <w:p>
            <w:r>
              <w:rPr>
                <w:rFonts w:ascii="Times New Roman" w:hAnsi="Times New Roman" w:cs="TH Sarabun New"/>
                <w:b/>
                <w:i w:val="0"/>
                <w:sz w:val="18"/>
              </w:rPr>
            </w:r>
          </w:p>
        </w:tc>
        <w:tc>
          <w:tcPr>
            <w:tcW w:type="dxa" w:w="4176"/>
            <w:shd w:fill="F2F2F2"/>
          </w:tcPr>
          <w:p>
            <w:r>
              <w:rPr>
                <w:rFonts w:ascii="Times New Roman" w:hAnsi="Times New Roman" w:cs="TH Sarabun New"/>
                <w:b/>
                <w:i w:val="0"/>
                <w:sz w:val="18"/>
              </w:rPr>
            </w:r>
          </w:p>
        </w:tc>
        <w:tc>
          <w:tcPr>
            <w:tcW w:type="dxa" w:w="3888"/>
            <w:shd w:fill="F2F2F2"/>
          </w:tcPr>
          <w:p>
            <w:r>
              <w:rPr>
                <w:rFonts w:ascii="Times New Roman" w:hAnsi="Times New Roman" w:cs="TH Sarabun New"/>
                <w:b/>
                <w:i w:val="0"/>
                <w:sz w:val="18"/>
              </w:rPr>
            </w:r>
          </w:p>
        </w:tc>
      </w:tr>
      <w:tr>
        <w:tc>
          <w:tcPr>
            <w:tcW w:type="dxa" w:w="216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Participants</w:t>
            </w:r>
          </w:p>
        </w:tc>
        <w:tc>
          <w:tcPr>
            <w:tcW w:type="dxa" w:w="72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13 (a)</w:t>
            </w:r>
          </w:p>
        </w:tc>
        <w:tc>
          <w:tcPr>
            <w:tcW w:type="dxa" w:w="4176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Numbers at each stage</w:t>
            </w:r>
          </w:p>
        </w:tc>
        <w:tc>
          <w:tcPr>
            <w:tcW w:type="dxa" w:w="3888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Results — Participant characteristics; Figure 1</w:t>
            </w:r>
          </w:p>
        </w:tc>
      </w:tr>
      <w:tr>
        <w:tc>
          <w:tcPr>
            <w:tcW w:type="dxa" w:w="216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</w:r>
          </w:p>
        </w:tc>
        <w:tc>
          <w:tcPr>
            <w:tcW w:type="dxa" w:w="72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(b)</w:t>
            </w:r>
          </w:p>
        </w:tc>
        <w:tc>
          <w:tcPr>
            <w:tcW w:type="dxa" w:w="4176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Reasons for non-participation</w:t>
            </w:r>
          </w:p>
        </w:tc>
        <w:tc>
          <w:tcPr>
            <w:tcW w:type="dxa" w:w="3888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Figure 1 (9 not returned; 7 excluded; 91 left the barrier item blank)</w:t>
            </w:r>
          </w:p>
        </w:tc>
      </w:tr>
      <w:tr>
        <w:tc>
          <w:tcPr>
            <w:tcW w:type="dxa" w:w="216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</w:r>
          </w:p>
        </w:tc>
        <w:tc>
          <w:tcPr>
            <w:tcW w:type="dxa" w:w="72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(c)</w:t>
            </w:r>
          </w:p>
        </w:tc>
        <w:tc>
          <w:tcPr>
            <w:tcW w:type="dxa" w:w="4176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Flow diagram</w:t>
            </w:r>
          </w:p>
        </w:tc>
        <w:tc>
          <w:tcPr>
            <w:tcW w:type="dxa" w:w="3888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Figure 1</w:t>
            </w:r>
          </w:p>
        </w:tc>
      </w:tr>
      <w:tr>
        <w:tc>
          <w:tcPr>
            <w:tcW w:type="dxa" w:w="216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Descriptive data</w:t>
            </w:r>
          </w:p>
        </w:tc>
        <w:tc>
          <w:tcPr>
            <w:tcW w:type="dxa" w:w="72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14 (a)</w:t>
            </w:r>
          </w:p>
        </w:tc>
        <w:tc>
          <w:tcPr>
            <w:tcW w:type="dxa" w:w="4176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Characteristics of participants</w:t>
            </w:r>
          </w:p>
        </w:tc>
        <w:tc>
          <w:tcPr>
            <w:tcW w:type="dxa" w:w="3888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Results — Participant characteristics; Table 1</w:t>
            </w:r>
          </w:p>
        </w:tc>
      </w:tr>
      <w:tr>
        <w:tc>
          <w:tcPr>
            <w:tcW w:type="dxa" w:w="216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</w:r>
          </w:p>
        </w:tc>
        <w:tc>
          <w:tcPr>
            <w:tcW w:type="dxa" w:w="72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(b)</w:t>
            </w:r>
          </w:p>
        </w:tc>
        <w:tc>
          <w:tcPr>
            <w:tcW w:type="dxa" w:w="4176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Missing data for each variable</w:t>
            </w:r>
          </w:p>
        </w:tc>
        <w:tc>
          <w:tcPr>
            <w:tcW w:type="dxa" w:w="3888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Table 1 note (valid n per item)</w:t>
            </w:r>
          </w:p>
        </w:tc>
      </w:tr>
      <w:tr>
        <w:tc>
          <w:tcPr>
            <w:tcW w:type="dxa" w:w="216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Outcome data</w:t>
            </w:r>
          </w:p>
        </w:tc>
        <w:tc>
          <w:tcPr>
            <w:tcW w:type="dxa" w:w="72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15</w:t>
            </w:r>
          </w:p>
        </w:tc>
        <w:tc>
          <w:tcPr>
            <w:tcW w:type="dxa" w:w="4176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Number of outcome events / summary measures</w:t>
            </w:r>
          </w:p>
        </w:tc>
        <w:tc>
          <w:tcPr>
            <w:tcW w:type="dxa" w:w="3888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Results — Prevalence of communication barriers (83/171; 48.5%)</w:t>
            </w:r>
          </w:p>
        </w:tc>
      </w:tr>
      <w:tr>
        <w:tc>
          <w:tcPr>
            <w:tcW w:type="dxa" w:w="216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Main results</w:t>
            </w:r>
          </w:p>
        </w:tc>
        <w:tc>
          <w:tcPr>
            <w:tcW w:type="dxa" w:w="72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16 (a)</w:t>
            </w:r>
          </w:p>
        </w:tc>
        <w:tc>
          <w:tcPr>
            <w:tcW w:type="dxa" w:w="4176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Unadjusted and adjusted estimates with CI</w:t>
            </w:r>
          </w:p>
        </w:tc>
        <w:tc>
          <w:tcPr>
            <w:tcW w:type="dxa" w:w="3888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Results — Factors associated; Table 3 (aOR, 95% CI)</w:t>
            </w:r>
          </w:p>
        </w:tc>
      </w:tr>
      <w:tr>
        <w:tc>
          <w:tcPr>
            <w:tcW w:type="dxa" w:w="216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</w:r>
          </w:p>
        </w:tc>
        <w:tc>
          <w:tcPr>
            <w:tcW w:type="dxa" w:w="72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(b)</w:t>
            </w:r>
          </w:p>
        </w:tc>
        <w:tc>
          <w:tcPr>
            <w:tcW w:type="dxa" w:w="4176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Category boundaries reported</w:t>
            </w:r>
          </w:p>
        </w:tc>
        <w:tc>
          <w:tcPr>
            <w:tcW w:type="dxa" w:w="3888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Methods; Table 1 and Table 3 footnotes</w:t>
            </w:r>
          </w:p>
        </w:tc>
      </w:tr>
      <w:tr>
        <w:tc>
          <w:tcPr>
            <w:tcW w:type="dxa" w:w="216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</w:r>
          </w:p>
        </w:tc>
        <w:tc>
          <w:tcPr>
            <w:tcW w:type="dxa" w:w="72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(c)</w:t>
            </w:r>
          </w:p>
        </w:tc>
        <w:tc>
          <w:tcPr>
            <w:tcW w:type="dxa" w:w="4176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Relative to absolute risk where relevant</w:t>
            </w:r>
          </w:p>
        </w:tc>
        <w:tc>
          <w:tcPr>
            <w:tcW w:type="dxa" w:w="3888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Results — prevalence and subgroup percentages</w:t>
            </w:r>
          </w:p>
        </w:tc>
      </w:tr>
      <w:tr>
        <w:tc>
          <w:tcPr>
            <w:tcW w:type="dxa" w:w="216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Other analyses</w:t>
            </w:r>
          </w:p>
        </w:tc>
        <w:tc>
          <w:tcPr>
            <w:tcW w:type="dxa" w:w="72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17</w:t>
            </w:r>
          </w:p>
        </w:tc>
        <w:tc>
          <w:tcPr>
            <w:tcW w:type="dxa" w:w="4176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Other analyses (subgroups, sensitivity, qualitative)</w:t>
            </w:r>
          </w:p>
        </w:tc>
        <w:tc>
          <w:tcPr>
            <w:tcW w:type="dxa" w:w="3888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Results — severity analyses; qualitative content analysis (Table 2; Supporting Information S3)</w:t>
            </w:r>
          </w:p>
        </w:tc>
      </w:tr>
      <w:tr>
        <w:tc>
          <w:tcPr>
            <w:tcW w:type="dxa" w:w="2160"/>
            <w:shd w:fill="F2F2F2"/>
          </w:tcPr>
          <w:p>
            <w:r>
              <w:rPr>
                <w:rFonts w:ascii="Times New Roman" w:hAnsi="Times New Roman" w:cs="TH Sarabun New"/>
                <w:b/>
                <w:i w:val="0"/>
                <w:sz w:val="18"/>
              </w:rPr>
              <w:t>Discussion</w:t>
            </w:r>
          </w:p>
        </w:tc>
        <w:tc>
          <w:tcPr>
            <w:tcW w:type="dxa" w:w="720"/>
            <w:shd w:fill="F2F2F2"/>
          </w:tcPr>
          <w:p>
            <w:r>
              <w:rPr>
                <w:rFonts w:ascii="Times New Roman" w:hAnsi="Times New Roman" w:cs="TH Sarabun New"/>
                <w:b/>
                <w:i w:val="0"/>
                <w:sz w:val="18"/>
              </w:rPr>
            </w:r>
          </w:p>
        </w:tc>
        <w:tc>
          <w:tcPr>
            <w:tcW w:type="dxa" w:w="4176"/>
            <w:shd w:fill="F2F2F2"/>
          </w:tcPr>
          <w:p>
            <w:r>
              <w:rPr>
                <w:rFonts w:ascii="Times New Roman" w:hAnsi="Times New Roman" w:cs="TH Sarabun New"/>
                <w:b/>
                <w:i w:val="0"/>
                <w:sz w:val="18"/>
              </w:rPr>
            </w:r>
          </w:p>
        </w:tc>
        <w:tc>
          <w:tcPr>
            <w:tcW w:type="dxa" w:w="3888"/>
            <w:shd w:fill="F2F2F2"/>
          </w:tcPr>
          <w:p>
            <w:r>
              <w:rPr>
                <w:rFonts w:ascii="Times New Roman" w:hAnsi="Times New Roman" w:cs="TH Sarabun New"/>
                <w:b/>
                <w:i w:val="0"/>
                <w:sz w:val="18"/>
              </w:rPr>
            </w:r>
          </w:p>
        </w:tc>
      </w:tr>
      <w:tr>
        <w:tc>
          <w:tcPr>
            <w:tcW w:type="dxa" w:w="216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Key results</w:t>
            </w:r>
          </w:p>
        </w:tc>
        <w:tc>
          <w:tcPr>
            <w:tcW w:type="dxa" w:w="72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18</w:t>
            </w:r>
          </w:p>
        </w:tc>
        <w:tc>
          <w:tcPr>
            <w:tcW w:type="dxa" w:w="4176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Summary of key results with reference to objectives</w:t>
            </w:r>
          </w:p>
        </w:tc>
        <w:tc>
          <w:tcPr>
            <w:tcW w:type="dxa" w:w="3888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Discussion, paragraph 1</w:t>
            </w:r>
          </w:p>
        </w:tc>
      </w:tr>
      <w:tr>
        <w:tc>
          <w:tcPr>
            <w:tcW w:type="dxa" w:w="216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Limitations</w:t>
            </w:r>
          </w:p>
        </w:tc>
        <w:tc>
          <w:tcPr>
            <w:tcW w:type="dxa" w:w="72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19</w:t>
            </w:r>
          </w:p>
        </w:tc>
        <w:tc>
          <w:tcPr>
            <w:tcW w:type="dxa" w:w="4176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Limitations, sources of bias, direction/magnitude</w:t>
            </w:r>
          </w:p>
        </w:tc>
        <w:tc>
          <w:tcPr>
            <w:tcW w:type="dxa" w:w="3888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Discussion — Limitations paragraph</w:t>
            </w:r>
          </w:p>
        </w:tc>
      </w:tr>
      <w:tr>
        <w:tc>
          <w:tcPr>
            <w:tcW w:type="dxa" w:w="216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Interpretation</w:t>
            </w:r>
          </w:p>
        </w:tc>
        <w:tc>
          <w:tcPr>
            <w:tcW w:type="dxa" w:w="72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20</w:t>
            </w:r>
          </w:p>
        </w:tc>
        <w:tc>
          <w:tcPr>
            <w:tcW w:type="dxa" w:w="4176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Cautious overall interpretation</w:t>
            </w:r>
          </w:p>
        </w:tc>
        <w:tc>
          <w:tcPr>
            <w:tcW w:type="dxa" w:w="3888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Discussion, paragraphs 2–3</w:t>
            </w:r>
          </w:p>
        </w:tc>
      </w:tr>
      <w:tr>
        <w:tc>
          <w:tcPr>
            <w:tcW w:type="dxa" w:w="216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Generalisability</w:t>
            </w:r>
          </w:p>
        </w:tc>
        <w:tc>
          <w:tcPr>
            <w:tcW w:type="dxa" w:w="72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21</w:t>
            </w:r>
          </w:p>
        </w:tc>
        <w:tc>
          <w:tcPr>
            <w:tcW w:type="dxa" w:w="4176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External validity</w:t>
            </w:r>
          </w:p>
        </w:tc>
        <w:tc>
          <w:tcPr>
            <w:tcW w:type="dxa" w:w="3888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Discussion — Limitations (two urban schools; dental-experienced children)</w:t>
            </w:r>
          </w:p>
        </w:tc>
      </w:tr>
      <w:tr>
        <w:tc>
          <w:tcPr>
            <w:tcW w:type="dxa" w:w="2160"/>
            <w:shd w:fill="F2F2F2"/>
          </w:tcPr>
          <w:p>
            <w:r>
              <w:rPr>
                <w:rFonts w:ascii="Times New Roman" w:hAnsi="Times New Roman" w:cs="TH Sarabun New"/>
                <w:b/>
                <w:i w:val="0"/>
                <w:sz w:val="18"/>
              </w:rPr>
              <w:t>Other information</w:t>
            </w:r>
          </w:p>
        </w:tc>
        <w:tc>
          <w:tcPr>
            <w:tcW w:type="dxa" w:w="720"/>
            <w:shd w:fill="F2F2F2"/>
          </w:tcPr>
          <w:p>
            <w:r>
              <w:rPr>
                <w:rFonts w:ascii="Times New Roman" w:hAnsi="Times New Roman" w:cs="TH Sarabun New"/>
                <w:b/>
                <w:i w:val="0"/>
                <w:sz w:val="18"/>
              </w:rPr>
            </w:r>
          </w:p>
        </w:tc>
        <w:tc>
          <w:tcPr>
            <w:tcW w:type="dxa" w:w="4176"/>
            <w:shd w:fill="F2F2F2"/>
          </w:tcPr>
          <w:p>
            <w:r>
              <w:rPr>
                <w:rFonts w:ascii="Times New Roman" w:hAnsi="Times New Roman" w:cs="TH Sarabun New"/>
                <w:b/>
                <w:i w:val="0"/>
                <w:sz w:val="18"/>
              </w:rPr>
            </w:r>
          </w:p>
        </w:tc>
        <w:tc>
          <w:tcPr>
            <w:tcW w:type="dxa" w:w="3888"/>
            <w:shd w:fill="F2F2F2"/>
          </w:tcPr>
          <w:p>
            <w:r>
              <w:rPr>
                <w:rFonts w:ascii="Times New Roman" w:hAnsi="Times New Roman" w:cs="TH Sarabun New"/>
                <w:b/>
                <w:i w:val="0"/>
                <w:sz w:val="18"/>
              </w:rPr>
            </w:r>
          </w:p>
        </w:tc>
      </w:tr>
      <w:tr>
        <w:tc>
          <w:tcPr>
            <w:tcW w:type="dxa" w:w="216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Funding</w:t>
            </w:r>
          </w:p>
        </w:tc>
        <w:tc>
          <w:tcPr>
            <w:tcW w:type="dxa" w:w="720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22</w:t>
            </w:r>
          </w:p>
        </w:tc>
        <w:tc>
          <w:tcPr>
            <w:tcW w:type="dxa" w:w="4176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Funding and role of funders</w:t>
            </w:r>
          </w:p>
        </w:tc>
        <w:tc>
          <w:tcPr>
            <w:tcW w:type="dxa" w:w="3888"/>
          </w:tcPr>
          <w:p>
            <w:r>
              <w:rPr>
                <w:rFonts w:ascii="Times New Roman" w:hAnsi="Times New Roman" w:cs="TH Sarabun New"/>
                <w:b w:val="0"/>
                <w:i w:val="0"/>
                <w:sz w:val="18"/>
              </w:rPr>
              <w:t>Title page — Funding statement</w:t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