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rFonts w:ascii="Times New Roman" w:hAnsi="Times New Roman" w:cs="TH Sarabun New"/>
          <w:b/>
          <w:i w:val="0"/>
          <w:sz w:val="28"/>
        </w:rPr>
        <w:t>Supporting Information S1. Survey instrument</w:t>
      </w:r>
    </w:p>
    <w:p>
      <w:pPr>
        <w:spacing w:after="200" w:before="0"/>
      </w:pPr>
      <w:r>
        <w:rPr>
          <w:rFonts w:ascii="Times New Roman" w:hAnsi="Times New Roman" w:cs="TH Sarabun New"/>
          <w:b w:val="0"/>
          <w:i/>
          <w:sz w:val="22"/>
        </w:rPr>
        <w:t>Guardian questionnaire — communication barriers to dental care for deaf and hard-of-hearing children. Items were administered in Thai; an English translation follows each item in italics. This reproduction is compiled from the study data dictionary.</w:t>
      </w:r>
    </w:p>
    <w:p>
      <w:pPr>
        <w:spacing w:after="80" w:before="200"/>
      </w:pPr>
      <w:r>
        <w:rPr>
          <w:rFonts w:ascii="Times New Roman" w:hAnsi="Times New Roman" w:cs="TH Sarabun New"/>
          <w:b/>
          <w:i w:val="0"/>
          <w:sz w:val="26"/>
        </w:rPr>
        <w:t>Section 1. Guardian information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อายุของผู้ปกครอง (ปี)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Guardian's age (years) — open response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เพศของผู้ปกครอง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Guardian's sex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ชาย (male)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หญิง (female)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ระดับการศึกษาของผู้ปกครอง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Guardian's education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ต่ำกว่าประถมศึกษา (below primary)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ประถมศึกษาปีที่ 1–6 (primary)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3 = มัธยมศึกษาปีที่ 1–6 (secondary)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4 = อนุปริญญา / ปวช. / ปวส. (diploma/vocational)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5 = ปริญญาตรีหรือสูงกว่า (bachelor's or higher)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รายได้ของครอบครัว (บาท/เดือน)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Household income (THB/month)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ต่ำกว่า 10,000</w:t>
      </w:r>
    </w:p>
    <w:p>
      <w:pPr>
        <w:spacing w:after="20"/>
        <w:ind w:left="504"/>
      </w:pPr>
      <w:r>
        <w:rPr>
          <w:rFonts w:ascii="Times New Roman" w:hAnsi="Times New Roman" w:cs="TH Sarabun New"/>
          <w:b w:val="0"/>
          <w:i w:val="0"/>
          <w:sz w:val="22"/>
        </w:rPr>
        <w:t>2 = 10,000–15,000</w:t>
      </w:r>
    </w:p>
    <w:p>
      <w:pPr>
        <w:spacing w:after="20"/>
        <w:ind w:left="504"/>
      </w:pPr>
      <w:r>
        <w:rPr>
          <w:rFonts w:ascii="Times New Roman" w:hAnsi="Times New Roman" w:cs="TH Sarabun New"/>
          <w:b w:val="0"/>
          <w:i w:val="0"/>
          <w:sz w:val="22"/>
        </w:rPr>
        <w:t>3 = 15,001–30,000</w:t>
      </w:r>
    </w:p>
    <w:p>
      <w:pPr>
        <w:spacing w:after="20"/>
        <w:ind w:left="504"/>
      </w:pPr>
      <w:r>
        <w:rPr>
          <w:rFonts w:ascii="Times New Roman" w:hAnsi="Times New Roman" w:cs="TH Sarabun New"/>
          <w:b w:val="0"/>
          <w:i w:val="0"/>
          <w:sz w:val="22"/>
        </w:rPr>
        <w:t>4 = 30,001–50,000</w:t>
      </w:r>
    </w:p>
    <w:p>
      <w:pPr>
        <w:spacing w:after="20"/>
        <w:ind w:left="504"/>
      </w:pPr>
      <w:r>
        <w:rPr>
          <w:rFonts w:ascii="Times New Roman" w:hAnsi="Times New Roman" w:cs="TH Sarabun New"/>
          <w:b w:val="0"/>
          <w:i w:val="0"/>
          <w:sz w:val="22"/>
        </w:rPr>
        <w:t>5 = 50,001–100,000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6 = มากกว่า 100,000 (&gt; 100,000)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ความสัมพันธ์ของผู้ปกครองกับนักเรียน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Relationship to the child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พ่อ (father)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แม่ (mother)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3 = อื่นๆ (other)</w:t>
      </w:r>
    </w:p>
    <w:p>
      <w:pPr>
        <w:spacing w:after="80" w:before="200"/>
      </w:pPr>
      <w:r>
        <w:rPr>
          <w:rFonts w:ascii="Times New Roman" w:hAnsi="Times New Roman" w:cs="TH Sarabun New"/>
          <w:b/>
          <w:i w:val="0"/>
          <w:sz w:val="26"/>
        </w:rPr>
        <w:t>Section 2. Child information and hearing status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อายุของนักเรียน (ปี)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Child's age (years) — open response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เพศของนักเรียน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Child's sex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ชาย (male)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หญิง (female)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ระดับการศึกษาของนักเรียน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Child's educational level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อนุบาล (kindergarten)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ประถมต้น (lower primary)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3 = ประถมปลาย (upper primary)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4 = มัธยมต้น (lower secondary)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5 = มัธยมปลาย (upper secondary)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มีความพิการทางการได้ยินแต่กำเนิด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Congenital hearing loss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ใช่ (yes)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ไม่ใช่ (no)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ระดับความบกพร่องทางการได้ยิน (วัดจากหูข้างที่ดีที่สุด)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Severity of hearing impairment (better ear)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หูปกติ ไม่เกิน 25 dB (normal)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หูตึงน้อย 26–40 dB (slight)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3 = หูตึงปานกลาง 41–60 dB (moderate)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4 = หูตึงมาก 61–80 dB (severe)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5 = หูตึงรุนแรงและหูหนวก 81 dB ขึ้นไป (profound/deaf)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6 = ไม่ทราบ (unknown)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ใส่เครื่องช่วยฟัง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Wears a hearing aid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ใช่ (yes)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ไม่ใช่ (no)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ระดับการได้ยินหลังใส่เครื่องช่วยฟัง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Hearing level with a hearing aid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ไม่มีปัญหาในการรับฟังคำพูด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ได้ยินและเข้าใจคำพูดระดับปกติในระยะ 1 เมตร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3 = ต้องพูดซ้ำหรือใช้เสียงดังกว่าปกติในระยะ 1 เมตร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4 = ได้ยินบางคำเมื่อตะโกน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5 = ไม่ได้ยินและไม่เข้าใจเมื่อตะโกน</w:t>
      </w:r>
    </w:p>
    <w:p>
      <w:pPr>
        <w:spacing w:after="20"/>
        <w:ind w:left="504"/>
      </w:pPr>
      <w:r>
        <w:rPr>
          <w:rFonts w:ascii="Times New Roman" w:hAnsi="Times New Roman" w:cs="TH Sarabun New"/>
          <w:b w:val="0"/>
          <w:i w:val="0"/>
          <w:sz w:val="22"/>
        </w:rPr>
        <w:t>(1 = no difficulty … 5 = cannot hear/understand even when shouted)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มีความพิการซ้ำซ้อน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Additional disability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ใช่ (yes)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ไม่ใช่ (no)</w:t>
      </w:r>
    </w:p>
    <w:p>
      <w:pPr>
        <w:spacing w:after="80" w:before="200"/>
      </w:pPr>
      <w:r>
        <w:rPr>
          <w:rFonts w:ascii="Times New Roman" w:hAnsi="Times New Roman" w:cs="TH Sarabun New"/>
          <w:b/>
          <w:i w:val="0"/>
          <w:sz w:val="26"/>
        </w:rPr>
        <w:t>Section 3. Dental service access and attitudes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นักเรียนเคยทำฟันหรือไม่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Has the child ever received dental care?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1 = เคย (yes)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2 = ไม่เคย (no)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ความถี่ในการพบทันตแพทย์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Frequency of dental visits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0 = ไม่เคยพาไป (never) … (higher = more frequent)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ท่านทราบได้อย่างไรว่าเด็กในความดูแลของท่านต้องการไปพบทันตแพทย์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How do you know the child needs to see a dentist? (open/coded)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เด็กในความดูแลของท่านไปทำฟันที่สถานบริการทันตกรรมใด (ตอบได้มากกว่า 1 ข้อ)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At which dental facilities has the child received care? (multiple responses: private clinic, public hospital, health centre, dental faculty, school)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การบริการทันตกรรมใดที่ท่านทราบว่าเบิกได้ด้วยสิทธิหลักประกันสุขภาพแห่งชาติสำหรับคนพิการ (บัตรทอง)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Which dental services do you know are covered under the Universal Coverage (disability) scheme?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ทัศนคติต่อการพานักเรียนเข้ารับบริการทันตกรรม (มาตรวัด 6 ระดับ: 0 = ไม่เห็นด้วยอย่างยิ่ง … 5 = เห็นด้วยอย่างยิ่ง)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Attitudes toward taking the child for dental care (6-point scale: 0 = strongly disagree … 5 = strongly agree)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1. </w:t>
      </w:r>
      <w:r>
        <w:rPr>
          <w:rFonts w:ascii="TH Sarabun New" w:hAnsi="TH Sarabun New" w:cs="TH Sarabun New"/>
          <w:b w:val="0"/>
          <w:i w:val="0"/>
          <w:sz w:val="26"/>
        </w:rPr>
        <w:t>การพานักเรียนตรวจสุขภาพช่องปากเป็นประจำเป็นเรื่องจำเป็น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Regular oral check-ups are necessary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2. </w:t>
      </w:r>
      <w:r>
        <w:rPr>
          <w:rFonts w:ascii="TH Sarabun New" w:hAnsi="TH Sarabun New" w:cs="TH Sarabun New"/>
          <w:b w:val="0"/>
          <w:i w:val="0"/>
          <w:sz w:val="26"/>
        </w:rPr>
        <w:t>การสูญเสียฟันน้ำนมก่อนวัยไม่เป็นปัญหา เพราะมีฟันแท้แทนที่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Early loss of primary teeth is not a problem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3. </w:t>
      </w:r>
      <w:r>
        <w:rPr>
          <w:rFonts w:ascii="TH Sarabun New" w:hAnsi="TH Sarabun New" w:cs="TH Sarabun New"/>
          <w:b w:val="0"/>
          <w:i w:val="0"/>
          <w:sz w:val="26"/>
        </w:rPr>
        <w:t>อาการปวดฟันสามารถหายเองได้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Toothache can resolve on its own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4. </w:t>
      </w:r>
      <w:r>
        <w:rPr>
          <w:rFonts w:ascii="TH Sarabun New" w:hAnsi="TH Sarabun New" w:cs="TH Sarabun New"/>
          <w:b w:val="0"/>
          <w:i w:val="0"/>
          <w:sz w:val="26"/>
        </w:rPr>
        <w:t>การพบทันตแพทย์ตามนัดเป็นเรื่องจำเป็น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Keeping dental appointments is necessary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5. </w:t>
      </w:r>
      <w:r>
        <w:rPr>
          <w:rFonts w:ascii="TH Sarabun New" w:hAnsi="TH Sarabun New" w:cs="TH Sarabun New"/>
          <w:b w:val="0"/>
          <w:i w:val="0"/>
          <w:sz w:val="26"/>
        </w:rPr>
        <w:t>เวลาทำงานของท่านไม่เอื้อต่อการพานักเรียนไปพบทันตแพทย์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Your work hours make it hard to take the child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6. </w:t>
      </w:r>
      <w:r>
        <w:rPr>
          <w:rFonts w:ascii="TH Sarabun New" w:hAnsi="TH Sarabun New" w:cs="TH Sarabun New"/>
          <w:b w:val="0"/>
          <w:i w:val="0"/>
          <w:sz w:val="26"/>
        </w:rPr>
        <w:t>ค่ารักษามีผลต่อการตัดสินใจพาเด็กเข้าพบทันตแพทย์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Treatment cost affects the decision to seek care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7. </w:t>
      </w:r>
      <w:r>
        <w:rPr>
          <w:rFonts w:ascii="TH Sarabun New" w:hAnsi="TH Sarabun New" w:cs="TH Sarabun New"/>
          <w:b w:val="0"/>
          <w:i w:val="0"/>
          <w:sz w:val="26"/>
        </w:rPr>
        <w:t>ไม่มีสถานพยาบาลใกล้เคียง จึงลำบากในการเข้ารับบริการ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No nearby facility makes access difficult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8. </w:t>
      </w:r>
      <w:r>
        <w:rPr>
          <w:rFonts w:ascii="TH Sarabun New" w:hAnsi="TH Sarabun New" w:cs="TH Sarabun New"/>
          <w:b w:val="0"/>
          <w:i w:val="0"/>
          <w:sz w:val="26"/>
        </w:rPr>
        <w:t>ค่าใช้จ่ายในการเดินทางเป็นอุปสรรค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Travel cost is a barrier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9. </w:t>
      </w:r>
      <w:r>
        <w:rPr>
          <w:rFonts w:ascii="TH Sarabun New" w:hAnsi="TH Sarabun New" w:cs="TH Sarabun New"/>
          <w:b w:val="0"/>
          <w:i w:val="0"/>
          <w:sz w:val="26"/>
        </w:rPr>
        <w:t>ท่านรู้สึกอึดอัดในการพาเด็กมารักษาเพราะการแสดงออกของเด็ก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You feel uncomfortable because of the child's behaviour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10. </w:t>
      </w:r>
      <w:r>
        <w:rPr>
          <w:rFonts w:ascii="TH Sarabun New" w:hAnsi="TH Sarabun New" w:cs="TH Sarabun New"/>
          <w:b w:val="0"/>
          <w:i w:val="0"/>
          <w:sz w:val="26"/>
        </w:rPr>
        <w:t>ท่านคิดว่าความบกพร่องทางการได้ยินเป็นอุปสรรคในการสื่อสาร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Hearing impairment is a barrier to communication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11. </w:t>
      </w:r>
      <w:r>
        <w:rPr>
          <w:rFonts w:ascii="TH Sarabun New" w:hAnsi="TH Sarabun New" w:cs="TH Sarabun New"/>
          <w:b w:val="0"/>
          <w:i w:val="0"/>
          <w:sz w:val="26"/>
        </w:rPr>
        <w:t>เลือกสถานพยาบาลจากการที่ทันตแพทย์รู้ภาษามือ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Choose a facility because the dentist knows sign language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12. </w:t>
      </w:r>
      <w:r>
        <w:rPr>
          <w:rFonts w:ascii="TH Sarabun New" w:hAnsi="TH Sarabun New" w:cs="TH Sarabun New"/>
          <w:b w:val="0"/>
          <w:i w:val="0"/>
          <w:sz w:val="26"/>
        </w:rPr>
        <w:t>เลือกสถานพยาบาลจากการมีล่ามที่รู้ภาษามือ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Choose a facility because a sign-language interpreter is available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13. </w:t>
      </w:r>
      <w:r>
        <w:rPr>
          <w:rFonts w:ascii="TH Sarabun New" w:hAnsi="TH Sarabun New" w:cs="TH Sarabun New"/>
          <w:b w:val="0"/>
          <w:i w:val="0"/>
          <w:sz w:val="26"/>
        </w:rPr>
        <w:t>รู้สึกไว้ใจมากขึ้นหากสถานพยาบาลมีล่ามหรือทันตแพทย์รู้ภาษามือ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Trust is greater if an interpreter or signing dentist is present</w:t>
      </w:r>
    </w:p>
    <w:p>
      <w:pPr>
        <w:spacing w:after="20"/>
        <w:ind w:left="432"/>
      </w:pPr>
      <w:r>
        <w:rPr>
          <w:rFonts w:ascii="Times New Roman" w:hAnsi="Times New Roman" w:cs="TH Sarabun New"/>
          <w:b w:val="0"/>
          <w:i w:val="0"/>
          <w:sz w:val="22"/>
        </w:rPr>
        <w:t xml:space="preserve">14. </w:t>
      </w:r>
      <w:r>
        <w:rPr>
          <w:rFonts w:ascii="TH Sarabun New" w:hAnsi="TH Sarabun New" w:cs="TH Sarabun New"/>
          <w:b w:val="0"/>
          <w:i w:val="0"/>
          <w:sz w:val="26"/>
        </w:rPr>
        <w:t>ต้องเป็นทันตแพทย์เด็กเท่านั้นจึงจะสามารถดูแลนักเรียนได้</w:t>
      </w:r>
    </w:p>
    <w:p>
      <w:pPr>
        <w:spacing w:after="60"/>
        <w:ind w:left="792"/>
      </w:pPr>
      <w:r>
        <w:rPr>
          <w:rFonts w:ascii="Times New Roman" w:hAnsi="Times New Roman" w:cs="TH Sarabun New"/>
          <w:b w:val="0"/>
          <w:i/>
          <w:sz w:val="20"/>
        </w:rPr>
        <w:t>Only a paediatric dentist can care for the child</w:t>
      </w:r>
    </w:p>
    <w:p>
      <w:pPr>
        <w:spacing w:after="80" w:before="200"/>
      </w:pPr>
      <w:r>
        <w:rPr>
          <w:rFonts w:ascii="Times New Roman" w:hAnsi="Times New Roman" w:cs="TH Sarabun New"/>
          <w:b/>
          <w:i w:val="0"/>
          <w:sz w:val="26"/>
        </w:rPr>
        <w:t>Section 4. Communication during dental visits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เด็กในความดูแลของท่านใช้วิธีการใดในการสื่อสารกับทันตแพทย์ (ตอบได้หลายข้อ)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How does the child communicate with the dentist? (multiple)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ให้คนพาไปคุยแทนทั้งหมด (accompanying person speaks entirely for the child)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ให้คนพาไปแปลสิ่งที่เด็กต้องการ (accompanying person translates)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เขียนให้ทันตแพทย์อ่าน (writing)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ใช้ภาษามือ (sign language)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ใช้บริการล่ามภาษามือ (sign-language interpreter)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ใช้ภาษากายอย่างง่าย (simple gestures)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ทันตแพทย์ใช้วิธีการใดในการสื่อสารกับเด็ก (ตอบได้หลายข้อ)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How does the dentist communicate with the child? (multiple)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สื่อสารกับคนพาไปโดยไม่ถามเด็ก (speaks to the escort, not the child)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สื่อสารผ่านคนพาไปให้แปล (via the escort as translator)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เขียนให้เด็กอ่าน (writing)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ใช้ภาษามือ (sign language)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ใช้บริการล่ามภาษามือ (sign-language interpreter)</w:t>
      </w:r>
    </w:p>
    <w:p>
      <w:pPr>
        <w:spacing w:after="20"/>
        <w:ind w:left="504"/>
      </w:pPr>
      <w:r>
        <w:rPr>
          <w:rFonts w:ascii="TH Sarabun New" w:hAnsi="TH Sarabun New" w:cs="TH Sarabun New"/>
          <w:b w:val="0"/>
          <w:i w:val="0"/>
          <w:sz w:val="26"/>
        </w:rPr>
        <w:t>ใช้ภาษากายอย่างง่าย (simple gestures)</w:t>
      </w:r>
    </w:p>
    <w:p>
      <w:pPr>
        <w:spacing w:after="40" w:before="0"/>
      </w:pPr>
      <w:r>
        <w:rPr>
          <w:rFonts w:ascii="TH Sarabun New" w:hAnsi="TH Sarabun New" w:cs="TH Sarabun New"/>
          <w:b/>
          <w:i w:val="0"/>
          <w:sz w:val="28"/>
        </w:rPr>
        <w:t>[ข้อคำถามหลัก / primary outcome — closed] ท่านพบอุปสรรคในการสื่อสารระหว่างทันตแพทย์กับเด็กในระหว่างการรับบริการทันตกรรมหรือไม่</w:t>
      </w:r>
    </w:p>
    <w:p>
      <w:pPr>
        <w:spacing w:after="20" w:before="0"/>
      </w:pPr>
      <w:r>
        <w:rPr>
          <w:rFonts w:ascii="Times New Roman" w:hAnsi="Times New Roman" w:cs="TH Sarabun New"/>
          <w:b w:val="0"/>
          <w:i/>
          <w:sz w:val="22"/>
        </w:rPr>
        <w:t>Did a communication barrier occur between the dentist and the child during dental care?  (Yes / No)</w:t>
      </w:r>
    </w:p>
    <w:p>
      <w:pPr>
        <w:spacing w:after="120" w:before="0"/>
      </w:pPr>
      <w:r>
        <w:rPr>
          <w:rFonts w:ascii="Times New Roman" w:hAnsi="Times New Roman" w:cs="TH Sarabun New"/>
          <w:b w:val="0"/>
          <w:i/>
          <w:sz w:val="18"/>
        </w:rPr>
        <w:t>Note: this closed item defined the study's primary outcome; the exact Thai stem was not preserved in the dataset export and is reconstructed here from the follow-up item below and the coded variable.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5. อุปสรรคในการสื่อสารนั้นคืออะไร กรุณาอธิบายให้ละเอียดมากที่สุด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5. What was the communication barrier? Please describe in as much detail as possible. (open-ended — source of the qualitative content analysis)</w:t>
      </w:r>
    </w:p>
    <w:p>
      <w:pPr>
        <w:spacing w:after="40" w:before="0"/>
      </w:pPr>
      <w:r>
        <w:rPr>
          <w:rFonts w:ascii="TH Sarabun New" w:hAnsi="TH Sarabun New" w:cs="TH Sarabun New"/>
          <w:b w:val="0"/>
          <w:i w:val="0"/>
          <w:sz w:val="28"/>
        </w:rPr>
        <w:t>6. หากท่านพบปัญหาการสื่อสารระหว่างทันตแพทย์กับเด็กของท่าน ท่านมีข้อเสนอแนะในการเพิ่มประสิทธิภาพของการสื่อสารระหว่างเด็กที่บกพร่องทางการได้ยินกับทันตแพทย์อย่างไร</w:t>
      </w:r>
    </w:p>
    <w:p>
      <w:pPr>
        <w:spacing w:after="80" w:before="0"/>
      </w:pPr>
      <w:r>
        <w:rPr>
          <w:rFonts w:ascii="Times New Roman" w:hAnsi="Times New Roman" w:cs="TH Sarabun New"/>
          <w:b w:val="0"/>
          <w:i/>
          <w:sz w:val="22"/>
        </w:rPr>
        <w:t>6. If you encountered a communication problem, what suggestions do you have to improve communication between hearing-impaired children and dentists? (open-ended)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