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28"/>
          <w:szCs w:val="28"/>
        </w:rPr>
        <w:t xml:space="preserve">CARE Checklist — Urosepsis Unmasking MRKH Syndrome (Case Report)</w:t>
      </w:r>
    </w:p>
    <w:p>
      <w:r>
        <w:rPr>
          <w:i/>
          <w:iCs/>
          <w:sz w:val="20"/>
          <w:szCs w:val="20"/>
        </w:rPr>
        <w:t xml:space="preserve">Line numbers refer to the continuously line-numbered, revised manuscript (mrkh_manuscript_revised.docx)</w:t>
      </w:r>
    </w:p>
    <w:p/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1200"/>
        <w:gridCol w:w="4000"/>
        <w:gridCol w:w="3300"/>
      </w:tblGrid>
      <w:tr>
        <w:tc>
          <w:tcPr>
            <w:tcW w:type="dxa" w:w="1200"/>
            <w:shd w:fill="A6192E" w:val="clear"/>
          </w:tcPr>
          <w:p>
            <w:r>
              <w:rPr>
                <w:b/>
                <w:bCs/>
                <w:color w:val="FFFFFF"/>
              </w:rPr>
              <w:t xml:space="preserve">Topic</w:t>
            </w:r>
          </w:p>
        </w:tc>
        <w:tc>
          <w:tcPr>
            <w:tcW w:type="dxa" w:w="1200"/>
            <w:shd w:fill="A6192E" w:val="clear"/>
          </w:tcPr>
          <w:p>
            <w:r>
              <w:rPr>
                <w:b/>
                <w:bCs/>
                <w:color w:val="FFFFFF"/>
              </w:rPr>
              <w:t xml:space="preserve">Item</w:t>
            </w:r>
          </w:p>
        </w:tc>
        <w:tc>
          <w:tcPr>
            <w:tcW w:type="dxa" w:w="4000"/>
            <w:shd w:fill="A6192E" w:val="clear"/>
          </w:tcPr>
          <w:p>
            <w:r>
              <w:rPr>
                <w:b/>
                <w:bCs/>
                <w:color w:val="FFFFFF"/>
              </w:rPr>
              <w:t xml:space="preserve">Checklist item description</w:t>
            </w:r>
          </w:p>
        </w:tc>
        <w:tc>
          <w:tcPr>
            <w:tcW w:type="dxa" w:w="3500"/>
            <w:shd w:fill="A6192E" w:val="clear"/>
          </w:tcPr>
          <w:p>
            <w:r>
              <w:rPr>
                <w:b/>
                <w:bCs/>
                <w:color w:val="FFFFFF"/>
              </w:rPr>
              <w:t xml:space="preserve">Reported on Line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>Title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The diagnosis or intervention of primary focus followed by the words “case report”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1–3 — title now ends “...A Case Report”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>Key Words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2 to 5 key words that identify diagnoses or interventions, including “case report”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15–16 — trimmed to 5 keywords, including “case report”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>Abstract (no refs)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3a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Introduction: What is unique about this case?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16–24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3b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Main symptoms and/or important clinical findings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25–30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3c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The main diagnoses, therapeutic interventions, and outcomes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31–41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3d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Conclusion — main take-away lesson(s)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42–47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>Introduction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One or two paragraphs summarising why this case is unique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68–72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>Patient Information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5a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De-identified patient specific information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75–81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5b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Primary concerns and symptoms of the patient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75–77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5c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Medical, family, and psycho-social history including relevant genetic information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77–81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5d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Relevant past interventions with outcomes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29–30, 108–110 (prior DJ stent insertion noted on ultrasonography)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>Clinical Findings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Significant physical examination and important clinical findings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82–86 (Figure 1)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>Timeline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7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Historical and current information organised as a timeline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Figure 6 timeline (between lines 160–161); Table 1 (between lines 102–103)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>Diagnostic Assessment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8a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Diagnostic testing (PE, laboratory testing, imaging)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93–112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8b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Diagnostic challenges (access, financial, cultural)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97–100, 199–204 (sterile urine culture despite clinical/radiological infection)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8c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Diagnosis (including other diagnoses considered)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75–89, 117–130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8d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Prognosis (e.g. staging) where applicable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150–159, 241–253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>Therapeutic Intervention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9a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Types of therapeutic intervention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118–130, 143–145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9b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Administration of therapeutic intervention (dosage, strength, duration)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129–130, 143–146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9c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Changes in therapeutic intervention (with rationale)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Not applicable — no intervention changes/dose titrations are described in the manuscript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>Follow-up and Outcomes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10a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Clinician and patient-assessed outcomes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141–148, 150–159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10b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Important follow-up diagnostic and other test results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Table 1 (between lines 102–103); Lines 150–159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10c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Intervention adherence and tolerability (how assessed)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Not applicable — adherence/tolerability assessment not described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10d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Adverse and unanticipated events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153–159 (unanticipated progression to CKD on follow-up)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>Discussion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11a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Strengths AND limitations of this case report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254–265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11b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Discussion of relevant medical literature with references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162–225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11c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Scientific rationale for conclusions (assessment of possible causes)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186–198, 241–253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11d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Primary take-away lessons (without references), one paragraph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241–253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>Patient Perspective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12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Patient's perspective on treatment received, 1–2 paragraphs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Lines 266–274 — DRAFT paragraph added; must be reviewed with the patient and replaced with her actual words (and re-consented if her exact wording is quoted) before submission</w:t>
            </w:r>
          </w:p>
        </w:tc>
      </w:tr>
      <w:tr>
        <w:tc>
          <w:tcPr>
            <w:tcW w:type="dxa" w:w="1200"/>
          </w:tcPr>
          <w:p>
            <w:r>
              <w:rPr>
                <w:b/>
                <w:bCs/>
              </w:rPr>
              <w:t xml:space="preserve">Informed Consent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</w:rPr>
              <w:t xml:space="preserve">13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Did the patient give informed consent?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</w:rPr>
              <w:t xml:space="preserve">Yes — lines 279–282</w:t>
            </w:r>
          </w:p>
        </w:tc>
      </w:tr>
    </w:tbl>
    <w:sectPr>
      <w:pgSz w:w="12240" w:h="15840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2026-07-22T12:20:10.268Z</dcterms:created>
  <dcterms:modified xsi:type="dcterms:W3CDTF">2026-07-22T12:20:10.268Z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