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F7AB7">
      <w:pPr>
        <w:rPr>
          <w:rFonts w:hint="default" w:ascii="Arial" w:hAnsi="Arial" w:cs="Arial" w:eastAsiaTheme="minorEastAsia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Figure S1</w:t>
      </w:r>
    </w:p>
    <w:p w14:paraId="7791DD8C">
      <w:pPr>
        <w:jc w:val="center"/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1135" cy="4049395"/>
            <wp:effectExtent l="0" t="0" r="0" b="0"/>
            <wp:docPr id="4" name="图片 4" descr="Fig1-附图 - 副本_画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1-附图 - 副本_画板 2"/>
                    <pic:cNvPicPr>
                      <a:picLocks noChangeAspect="1"/>
                    </pic:cNvPicPr>
                  </pic:nvPicPr>
                  <pic:blipFill>
                    <a:blip r:embed="rId4"/>
                    <a:srcRect b="4568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ED40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 Bold" w:hAnsi="Arial Bold" w:cs="Arial Bold"/>
          <w:b/>
          <w:bCs/>
          <w:lang w:val="en-US" w:eastAsia="zh-CN"/>
        </w:rPr>
        <w:t xml:space="preserve">Figure S1. </w:t>
      </w:r>
      <w:r>
        <w:rPr>
          <w:rFonts w:hint="eastAsia" w:ascii="Arial" w:hAnsi="Arial" w:cs="Arial"/>
          <w:lang w:val="en-US" w:eastAsia="zh-CN"/>
        </w:rPr>
        <w:t>Transcriptomic Profiling Reveals Global Metabolic Reprogramming Following Spinal Cord Injury, related to Figure 1</w:t>
      </w:r>
    </w:p>
    <w:p w14:paraId="6452995C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(a) PCA of bulk RNA-seq data from rat spinal cord tissue at 7 days (Injury group vs Sham group).</w:t>
      </w:r>
    </w:p>
    <w:p w14:paraId="62BDBA48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(b) Volcano plot displaying DEGs between Injury and Sham groups. |log</w:t>
      </w:r>
      <w:r>
        <w:rPr>
          <w:rFonts w:hint="eastAsia" w:ascii="Arial" w:hAnsi="Arial" w:cs="Arial"/>
          <w:vertAlign w:val="subscript"/>
          <w:lang w:val="en-US" w:eastAsia="zh-CN"/>
        </w:rPr>
        <w:t>2</w:t>
      </w:r>
      <w:r>
        <w:rPr>
          <w:rFonts w:hint="eastAsia" w:ascii="Arial" w:hAnsi="Arial" w:cs="Arial"/>
          <w:lang w:val="en-US" w:eastAsia="zh-CN"/>
        </w:rPr>
        <w:t>FC| &gt; 1, FDR &lt; 0.05.</w:t>
      </w:r>
    </w:p>
    <w:p w14:paraId="751BF758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(c) KEGG pathway enrichment analysis of significantly upregulated (Up-Re) and downregulated (Down-Re) genes. </w:t>
      </w:r>
    </w:p>
    <w:p w14:paraId="43285C19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(d) GO enrichment analysis of upregulated (left) and downregulated (right) genes, categorized by molecular function (MF), cellular component (CC), and biological process (BP).</w:t>
      </w:r>
    </w:p>
    <w:p w14:paraId="1733D72A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br w:type="page"/>
      </w:r>
    </w:p>
    <w:p w14:paraId="2B979F5E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Figure S2</w:t>
      </w:r>
    </w:p>
    <w:p w14:paraId="73D1C382">
      <w:pPr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szCs w:val="22"/>
        </w:rPr>
        <w:drawing>
          <wp:inline distT="0" distB="0" distL="114300" distR="114300">
            <wp:extent cx="5273040" cy="2942590"/>
            <wp:effectExtent l="0" t="0" r="3810" b="10160"/>
            <wp:docPr id="1" name="图片 1" descr="Fig3-附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3-附图-01"/>
                    <pic:cNvPicPr>
                      <a:picLocks noChangeAspect="1"/>
                    </pic:cNvPicPr>
                  </pic:nvPicPr>
                  <pic:blipFill>
                    <a:blip r:embed="rId5"/>
                    <a:srcRect b="605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2251">
      <w:pPr>
        <w:spacing w:after="0" w:line="400" w:lineRule="exact"/>
        <w:jc w:val="both"/>
        <w:rPr>
          <w:rFonts w:ascii="Arial" w:hAnsi="Arial" w:eastAsia="宋体" w:cs="Arial"/>
          <w:sz w:val="21"/>
          <w14:ligatures w14:val="none"/>
        </w:rPr>
      </w:pPr>
      <w:r>
        <w:rPr>
          <w:rFonts w:hint="default" w:ascii="Arial Bold" w:hAnsi="Arial Bold" w:eastAsia="宋体" w:cs="Arial Bold"/>
          <w:b/>
          <w:bCs/>
          <w:sz w:val="21"/>
          <w14:ligatures w14:val="none"/>
        </w:rPr>
        <w:t>Figure S</w:t>
      </w:r>
      <w:r>
        <w:rPr>
          <w:rFonts w:hint="default" w:ascii="Arial Bold" w:hAnsi="Arial Bold" w:eastAsia="宋体" w:cs="Arial Bold"/>
          <w:b/>
          <w:bCs/>
          <w:sz w:val="21"/>
          <w:lang w:val="en-US" w:eastAsia="zh-CN"/>
          <w14:ligatures w14:val="none"/>
        </w:rPr>
        <w:t>2</w:t>
      </w:r>
      <w:r>
        <w:rPr>
          <w:rFonts w:hint="default" w:ascii="Arial Bold" w:hAnsi="Arial Bold" w:eastAsia="宋体" w:cs="Arial Bold"/>
          <w:b/>
          <w:bCs/>
          <w:sz w:val="21"/>
          <w14:ligatures w14:val="none"/>
        </w:rPr>
        <w:t xml:space="preserve">. </w:t>
      </w:r>
      <w:r>
        <w:rPr>
          <w:rFonts w:ascii="Arial" w:hAnsi="Arial" w:eastAsia="宋体" w:cs="Arial"/>
          <w:i/>
          <w:iCs/>
          <w:sz w:val="21"/>
          <w14:ligatures w14:val="none"/>
        </w:rPr>
        <w:t>N</w:t>
      </w:r>
      <w:r>
        <w:rPr>
          <w:rFonts w:hint="eastAsia" w:ascii="Arial" w:hAnsi="Arial" w:eastAsia="宋体" w:cs="Arial"/>
          <w:i/>
          <w:iCs/>
          <w:sz w:val="21"/>
          <w:lang w:val="en-US" w:eastAsia="zh-CN"/>
          <w14:ligatures w14:val="none"/>
        </w:rPr>
        <w:t>fe2l</w:t>
      </w:r>
      <w:r>
        <w:rPr>
          <w:rFonts w:ascii="Arial" w:hAnsi="Arial" w:eastAsia="宋体" w:cs="Arial"/>
          <w:i/>
          <w:iCs/>
          <w:sz w:val="21"/>
          <w14:ligatures w14:val="none"/>
        </w:rPr>
        <w:t>2</w:t>
      </w:r>
      <w:r>
        <w:rPr>
          <w:rFonts w:ascii="Arial" w:hAnsi="Arial" w:eastAsia="宋体" w:cs="Arial"/>
          <w:sz w:val="21"/>
          <w14:ligatures w14:val="none"/>
        </w:rPr>
        <w:t xml:space="preserve"> Expression in Microglia, related to Figure 3 </w:t>
      </w:r>
    </w:p>
    <w:p w14:paraId="76E42252">
      <w:pPr>
        <w:spacing w:after="0" w:line="400" w:lineRule="exact"/>
        <w:jc w:val="both"/>
        <w:rPr>
          <w:rFonts w:ascii="Arial" w:hAnsi="Arial" w:eastAsia="宋体" w:cs="Arial"/>
          <w:sz w:val="21"/>
          <w14:ligatures w14:val="none"/>
        </w:rPr>
      </w:pPr>
      <w:r>
        <w:rPr>
          <w:rFonts w:ascii="Arial" w:hAnsi="Arial" w:eastAsia="宋体" w:cs="Arial"/>
          <w:sz w:val="21"/>
          <w14:ligatures w14:val="none"/>
        </w:rPr>
        <w:t xml:space="preserve">(a) UMAP visualization of </w:t>
      </w:r>
      <w:r>
        <w:rPr>
          <w:rFonts w:ascii="Arial" w:hAnsi="Arial" w:eastAsia="宋体" w:cs="Arial"/>
          <w:i/>
          <w:iCs/>
          <w:sz w:val="21"/>
          <w14:ligatures w14:val="none"/>
        </w:rPr>
        <w:t>Nfe2l2</w:t>
      </w:r>
      <w:r>
        <w:rPr>
          <w:rFonts w:ascii="Arial" w:hAnsi="Arial" w:eastAsia="宋体" w:cs="Arial"/>
          <w:sz w:val="21"/>
          <w14:ligatures w14:val="none"/>
        </w:rPr>
        <w:t xml:space="preserve"> expression across cell types in mouse spinal cord scRNA-seq data at indicated time points post-injury.</w:t>
      </w:r>
    </w:p>
    <w:p w14:paraId="76E42253">
      <w:pPr>
        <w:spacing w:after="0" w:line="400" w:lineRule="exact"/>
        <w:jc w:val="both"/>
        <w:rPr>
          <w:rFonts w:ascii="Arial" w:hAnsi="Arial" w:eastAsia="宋体" w:cs="Arial"/>
          <w:sz w:val="21"/>
          <w14:ligatures w14:val="none"/>
        </w:rPr>
      </w:pPr>
      <w:r>
        <w:rPr>
          <w:rFonts w:ascii="Arial" w:hAnsi="Arial" w:eastAsia="宋体" w:cs="Arial"/>
          <w:sz w:val="21"/>
          <w14:ligatures w14:val="none"/>
        </w:rPr>
        <w:t>(</w:t>
      </w:r>
      <w:r>
        <w:rPr>
          <w:rFonts w:hint="eastAsia" w:ascii="Arial" w:hAnsi="Arial" w:eastAsia="宋体" w:cs="Arial"/>
          <w:sz w:val="21"/>
          <w14:ligatures w14:val="none"/>
        </w:rPr>
        <w:t>b</w:t>
      </w:r>
      <w:r>
        <w:rPr>
          <w:rFonts w:ascii="Arial" w:hAnsi="Arial" w:eastAsia="宋体" w:cs="Arial"/>
          <w:sz w:val="21"/>
          <w14:ligatures w14:val="none"/>
        </w:rPr>
        <w:t xml:space="preserve">) Western blotting of NRF2 expression levels in BV2 cells across treatment groups. </w:t>
      </w:r>
    </w:p>
    <w:p w14:paraId="76E42254">
      <w:pPr>
        <w:spacing w:after="0" w:line="400" w:lineRule="exact"/>
        <w:jc w:val="both"/>
        <w:rPr>
          <w:rFonts w:ascii="Arial" w:hAnsi="Arial" w:eastAsia="宋体" w:cs="Arial"/>
          <w:sz w:val="21"/>
          <w14:ligatures w14:val="none"/>
        </w:rPr>
      </w:pPr>
      <w:r>
        <w:rPr>
          <w:rFonts w:ascii="Arial" w:hAnsi="Arial" w:eastAsia="宋体" w:cs="Arial"/>
          <w:sz w:val="21"/>
          <w14:ligatures w14:val="none"/>
        </w:rPr>
        <w:t>(</w:t>
      </w:r>
      <w:r>
        <w:rPr>
          <w:rFonts w:hint="eastAsia" w:ascii="Arial" w:hAnsi="Arial" w:eastAsia="宋体" w:cs="Arial"/>
          <w:sz w:val="21"/>
          <w14:ligatures w14:val="none"/>
        </w:rPr>
        <w:t>c</w:t>
      </w:r>
      <w:r>
        <w:rPr>
          <w:rFonts w:ascii="Arial" w:hAnsi="Arial" w:eastAsia="宋体" w:cs="Arial"/>
          <w:sz w:val="21"/>
          <w14:ligatures w14:val="none"/>
        </w:rPr>
        <w:t>) Western blotting of PLIN2 expression levels in BV2 cells across treatment groups.</w:t>
      </w:r>
    </w:p>
    <w:p w14:paraId="3FF3EB6F">
      <w:pPr>
        <w:spacing w:after="0" w:line="400" w:lineRule="exact"/>
        <w:jc w:val="both"/>
        <w:rPr>
          <w:rFonts w:ascii="Arial" w:hAnsi="Arial" w:eastAsia="宋体" w:cs="Arial"/>
          <w:sz w:val="21"/>
          <w14:ligatures w14:val="none"/>
        </w:rPr>
      </w:pPr>
    </w:p>
    <w:p w14:paraId="3369F202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br w:type="page"/>
      </w:r>
    </w:p>
    <w:p w14:paraId="1CC651DF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Figure S3</w:t>
      </w:r>
    </w:p>
    <w:p w14:paraId="1D4E5BA9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drawing>
          <wp:inline distT="0" distB="0" distL="114300" distR="114300">
            <wp:extent cx="5271135" cy="4589145"/>
            <wp:effectExtent l="0" t="0" r="0" b="0"/>
            <wp:docPr id="3" name="图片 3" descr="Fig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3-04"/>
                    <pic:cNvPicPr>
                      <a:picLocks noChangeAspect="1"/>
                    </pic:cNvPicPr>
                  </pic:nvPicPr>
                  <pic:blipFill>
                    <a:blip r:embed="rId6"/>
                    <a:srcRect b="384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8D24">
      <w:pPr>
        <w:rPr>
          <w:rFonts w:hint="eastAsia" w:ascii="Arial" w:hAnsi="Arial" w:cs="Arial"/>
          <w:highlight w:val="none"/>
          <w:lang w:val="en-US" w:eastAsia="zh-CN"/>
        </w:rPr>
      </w:pPr>
      <w:r>
        <w:rPr>
          <w:rFonts w:hint="default" w:ascii="Arial Bold" w:hAnsi="Arial Bold" w:cs="Arial Bold"/>
          <w:b/>
          <w:bCs/>
          <w:highlight w:val="none"/>
          <w:lang w:val="en-US" w:eastAsia="zh-CN"/>
        </w:rPr>
        <w:t>Figure S3.</w:t>
      </w:r>
      <w:r>
        <w:rPr>
          <w:rFonts w:hint="default" w:ascii="Arial" w:hAnsi="Arial" w:cs="Arial"/>
          <w:highlight w:val="none"/>
          <w:lang w:val="en-US" w:eastAsia="zh-CN"/>
        </w:rPr>
        <w:t xml:space="preserve"> </w:t>
      </w:r>
      <w:r>
        <w:rPr>
          <w:rFonts w:hint="eastAsia" w:ascii="Arial" w:hAnsi="Arial" w:cs="Arial"/>
          <w:highlight w:val="none"/>
          <w:lang w:val="en-US" w:eastAsia="zh-CN"/>
        </w:rPr>
        <w:t>NRF2-Driven Lipophagy Restores Bioenergetics in Inflammatory Microglia</w:t>
      </w:r>
      <w:r>
        <w:rPr>
          <w:rFonts w:hint="default" w:ascii="Arial" w:hAnsi="Arial" w:cs="Arial"/>
          <w:highlight w:val="none"/>
          <w:lang w:val="en-US" w:eastAsia="zh-CN"/>
        </w:rPr>
        <w:t xml:space="preserve">, Related to Figure </w:t>
      </w:r>
      <w:r>
        <w:rPr>
          <w:rFonts w:hint="eastAsia" w:ascii="Arial" w:hAnsi="Arial" w:cs="Arial"/>
          <w:highlight w:val="none"/>
          <w:lang w:val="en-US" w:eastAsia="zh-CN"/>
        </w:rPr>
        <w:t>4</w:t>
      </w:r>
    </w:p>
    <w:p w14:paraId="45BB6DC2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(</w:t>
      </w:r>
      <w:r>
        <w:rPr>
          <w:rFonts w:hint="eastAsia" w:ascii="Arial" w:hAnsi="Arial" w:cs="Arial"/>
          <w:lang w:val="en-US" w:eastAsia="zh-CN"/>
        </w:rPr>
        <w:t>a</w:t>
      </w:r>
      <w:r>
        <w:rPr>
          <w:rFonts w:hint="default" w:ascii="Arial" w:hAnsi="Arial" w:cs="Arial"/>
          <w:lang w:val="en-US" w:eastAsia="zh-CN"/>
        </w:rPr>
        <w:t>) PCA</w:t>
      </w:r>
      <w:r>
        <w:rPr>
          <w:rFonts w:hint="eastAsia" w:ascii="Arial" w:hAnsi="Arial" w:cs="Arial"/>
          <w:lang w:val="en-US" w:eastAsia="zh-CN"/>
        </w:rPr>
        <w:t xml:space="preserve"> of metabolomics data </w:t>
      </w:r>
      <w:r>
        <w:rPr>
          <w:rFonts w:hint="default" w:ascii="Arial" w:hAnsi="Arial" w:cs="Arial"/>
          <w:lang w:val="en-US" w:eastAsia="zh-CN"/>
        </w:rPr>
        <w:t xml:space="preserve">from BV2 cells treated with LPS+A1i (A1i) </w:t>
      </w:r>
      <w:r>
        <w:rPr>
          <w:rFonts w:hint="eastAsia" w:ascii="Arial" w:hAnsi="Arial" w:cs="Arial"/>
          <w:lang w:val="en-US" w:eastAsia="zh-CN"/>
        </w:rPr>
        <w:t>and</w:t>
      </w:r>
      <w:r>
        <w:rPr>
          <w:rFonts w:hint="default" w:ascii="Arial" w:hAnsi="Arial" w:cs="Arial"/>
          <w:lang w:val="en-US" w:eastAsia="zh-CN"/>
        </w:rPr>
        <w:t xml:space="preserve"> LPS+N2a (N2a), showing distinct metabolic profiles between treatment groups.</w:t>
      </w:r>
    </w:p>
    <w:p w14:paraId="5EE2B5EF">
      <w:pPr>
        <w:rPr>
          <w:rFonts w:hint="default" w:ascii="Arial" w:hAnsi="Arial" w:cs="Arial"/>
          <w:highlight w:val="none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(</w:t>
      </w:r>
      <w:r>
        <w:rPr>
          <w:rFonts w:hint="eastAsia" w:ascii="Arial" w:hAnsi="Arial" w:cs="Arial"/>
          <w:lang w:val="en-US" w:eastAsia="zh-CN"/>
        </w:rPr>
        <w:t>b</w:t>
      </w:r>
      <w:r>
        <w:rPr>
          <w:rFonts w:hint="default" w:ascii="Arial" w:hAnsi="Arial" w:cs="Arial"/>
          <w:lang w:val="en-US" w:eastAsia="zh-CN"/>
        </w:rPr>
        <w:t xml:space="preserve">) Volcano plot showing differentially abundant metabolites between LPS+N2a </w:t>
      </w:r>
      <w:r>
        <w:rPr>
          <w:rFonts w:hint="eastAsia" w:ascii="Arial" w:hAnsi="Arial" w:cs="Arial"/>
          <w:lang w:val="en-US" w:eastAsia="zh-CN"/>
        </w:rPr>
        <w:t>versus</w:t>
      </w:r>
      <w:r>
        <w:rPr>
          <w:rFonts w:hint="default" w:ascii="Arial" w:hAnsi="Arial" w:cs="Arial"/>
          <w:lang w:val="en-US" w:eastAsia="zh-CN"/>
        </w:rPr>
        <w:t xml:space="preserve"> LPS+A1i groups.</w:t>
      </w:r>
    </w:p>
    <w:p w14:paraId="74F2C9D2">
      <w:pPr>
        <w:numPr>
          <w:ilvl w:val="0"/>
          <w:numId w:val="0"/>
        </w:numPr>
        <w:rPr>
          <w:rFonts w:ascii="Arial" w:hAnsi="Arial" w:cs="Arial"/>
          <w:highlight w:val="none"/>
        </w:rPr>
      </w:pPr>
      <w:r>
        <w:rPr>
          <w:rFonts w:ascii="Arial" w:hAnsi="Arial" w:cs="Arial" w:eastAsiaTheme="minorEastAsia"/>
          <w:kern w:val="2"/>
          <w:sz w:val="21"/>
          <w:szCs w:val="24"/>
          <w:lang w:val="en-US" w:eastAsia="zh-CN" w:bidi="ar-SA"/>
        </w:rPr>
        <w:t>(</w:t>
      </w:r>
      <w:r>
        <w:rPr>
          <w:rFonts w:hint="eastAsia" w:ascii="Arial" w:hAnsi="Arial" w:cs="Arial"/>
          <w:kern w:val="2"/>
          <w:sz w:val="21"/>
          <w:szCs w:val="24"/>
          <w:lang w:val="en-US" w:eastAsia="zh-CN" w:bidi="ar-SA"/>
        </w:rPr>
        <w:t>c</w:t>
      </w:r>
      <w:r>
        <w:rPr>
          <w:rFonts w:ascii="Arial" w:hAnsi="Arial" w:cs="Arial" w:eastAsiaTheme="minorEastAsia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ascii="Arial" w:hAnsi="Arial" w:cs="Arial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ascii="Arial" w:hAnsi="Arial" w:cs="Arial"/>
          <w:highlight w:val="none"/>
        </w:rPr>
        <w:t xml:space="preserve">Flow cytometry analysis of JC-1 fluorescence showing the percentage of </w:t>
      </w:r>
      <w:r>
        <w:rPr>
          <w:rFonts w:hint="eastAsia" w:ascii="Arial" w:hAnsi="Arial" w:cs="Arial"/>
          <w:highlight w:val="none"/>
          <w:lang w:val="en-US" w:eastAsia="zh-CN"/>
        </w:rPr>
        <w:t xml:space="preserve">BV2 </w:t>
      </w:r>
      <w:r>
        <w:rPr>
          <w:rFonts w:ascii="Arial" w:hAnsi="Arial" w:cs="Arial"/>
          <w:highlight w:val="none"/>
        </w:rPr>
        <w:t>cells with high mitochondrial membrane potential</w:t>
      </w:r>
      <w:r>
        <w:rPr>
          <w:rFonts w:hint="eastAsia" w:ascii="Arial" w:hAnsi="Arial" w:cs="Arial"/>
          <w:highlight w:val="none"/>
          <w:lang w:val="en-US" w:eastAsia="zh-CN"/>
        </w:rPr>
        <w:t xml:space="preserve"> (LPS-, LPS+, LPS+A1i, and LPS+N2a)</w:t>
      </w:r>
      <w:r>
        <w:rPr>
          <w:rFonts w:ascii="Arial" w:hAnsi="Arial" w:cs="Arial"/>
          <w:highlight w:val="none"/>
        </w:rPr>
        <w:t>.</w:t>
      </w:r>
    </w:p>
    <w:p w14:paraId="002D3AC1">
      <w:pPr>
        <w:numPr>
          <w:ilvl w:val="0"/>
          <w:numId w:val="0"/>
        </w:numPr>
        <w:rPr>
          <w:rFonts w:ascii="Arial" w:hAnsi="Arial" w:cs="Arial"/>
          <w:highlight w:val="none"/>
        </w:rPr>
      </w:pPr>
      <w:r>
        <w:rPr>
          <w:rFonts w:ascii="Arial" w:hAnsi="Arial" w:cs="Arial" w:eastAsiaTheme="minorEastAsia"/>
          <w:kern w:val="2"/>
          <w:sz w:val="21"/>
          <w:szCs w:val="24"/>
          <w:lang w:val="en-US" w:eastAsia="zh-CN" w:bidi="ar-SA"/>
        </w:rPr>
        <w:t>(</w:t>
      </w:r>
      <w:r>
        <w:rPr>
          <w:rFonts w:hint="eastAsia" w:ascii="Arial" w:hAnsi="Arial" w:cs="Arial"/>
          <w:kern w:val="2"/>
          <w:sz w:val="21"/>
          <w:szCs w:val="24"/>
          <w:lang w:val="en-US" w:eastAsia="zh-CN" w:bidi="ar-SA"/>
        </w:rPr>
        <w:t>d</w:t>
      </w:r>
      <w:r>
        <w:rPr>
          <w:rFonts w:ascii="Arial" w:hAnsi="Arial" w:cs="Arial" w:eastAsiaTheme="minorEastAsia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ascii="Arial" w:hAnsi="Arial" w:cs="Arial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ascii="Arial" w:hAnsi="Arial" w:cs="Arial"/>
          <w:highlight w:val="none"/>
        </w:rPr>
        <w:t xml:space="preserve">Flow cytometry analysis of JC-1 fluorescence showing the percentage of </w:t>
      </w:r>
      <w:r>
        <w:rPr>
          <w:rFonts w:hint="eastAsia" w:ascii="Arial" w:hAnsi="Arial" w:cs="Arial"/>
          <w:highlight w:val="none"/>
          <w:lang w:val="en-US" w:eastAsia="zh-CN"/>
        </w:rPr>
        <w:t xml:space="preserve">BV2 </w:t>
      </w:r>
      <w:r>
        <w:rPr>
          <w:rFonts w:ascii="Arial" w:hAnsi="Arial" w:cs="Arial"/>
          <w:highlight w:val="none"/>
        </w:rPr>
        <w:t>cells with high mitochondrial membrane potential</w:t>
      </w:r>
      <w:r>
        <w:rPr>
          <w:rFonts w:hint="eastAsia" w:ascii="Arial" w:hAnsi="Arial" w:cs="Arial"/>
          <w:highlight w:val="none"/>
          <w:lang w:val="en-US" w:eastAsia="zh-CN"/>
        </w:rPr>
        <w:t xml:space="preserve"> (LPS+N2a and LPS+N2a+CQ)</w:t>
      </w:r>
      <w:r>
        <w:rPr>
          <w:rFonts w:ascii="Arial" w:hAnsi="Arial" w:cs="Arial"/>
          <w:highlight w:val="none"/>
        </w:rPr>
        <w:t>.</w:t>
      </w:r>
    </w:p>
    <w:p w14:paraId="3CB4130B">
      <w:pPr>
        <w:numPr>
          <w:ilvl w:val="0"/>
          <w:numId w:val="0"/>
        </w:numPr>
        <w:rPr>
          <w:rFonts w:ascii="Arial" w:hAnsi="Arial" w:cs="Arial"/>
          <w:highlight w:val="none"/>
        </w:rPr>
      </w:pPr>
    </w:p>
    <w:p w14:paraId="43A11FA9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br w:type="page"/>
      </w:r>
    </w:p>
    <w:p w14:paraId="6B26C603"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Figure S4</w:t>
      </w:r>
    </w:p>
    <w:p w14:paraId="0DCD31E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1811020"/>
            <wp:effectExtent l="0" t="0" r="1905" b="5080"/>
            <wp:docPr id="2" name="图片 2" descr="Fig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4-02"/>
                    <pic:cNvPicPr>
                      <a:picLocks noChangeAspect="1"/>
                    </pic:cNvPicPr>
                  </pic:nvPicPr>
                  <pic:blipFill>
                    <a:blip r:embed="rId7"/>
                    <a:srcRect r="30081" b="822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4841">
      <w:pPr>
        <w:spacing w:line="240" w:lineRule="auto"/>
        <w:rPr>
          <w:rFonts w:hint="default" w:ascii="Arial" w:hAnsi="Arial" w:cs="Arial"/>
          <w:highlight w:val="none"/>
          <w:lang w:val="en-US" w:eastAsia="zh-CN"/>
        </w:rPr>
      </w:pPr>
      <w:r>
        <w:rPr>
          <w:rFonts w:hint="default" w:ascii="Arial Bold" w:hAnsi="Arial Bold" w:cs="Arial Bold"/>
          <w:b/>
          <w:bCs/>
          <w:highlight w:val="none"/>
          <w:lang w:val="en-US" w:eastAsia="zh-CN"/>
        </w:rPr>
        <w:t xml:space="preserve">Figure S4. </w:t>
      </w:r>
      <w:r>
        <w:rPr>
          <w:rFonts w:hint="eastAsia" w:ascii="Arial" w:hAnsi="Arial" w:cs="Arial"/>
          <w:highlight w:val="none"/>
          <w:lang w:val="en-US" w:eastAsia="zh-CN"/>
        </w:rPr>
        <w:t>NRF2</w:t>
      </w:r>
      <w:r>
        <w:rPr>
          <w:rFonts w:hint="default" w:ascii="Arial" w:hAnsi="Arial" w:cs="Arial"/>
          <w:highlight w:val="none"/>
          <w:lang w:val="en-US" w:eastAsia="zh-CN"/>
        </w:rPr>
        <w:t xml:space="preserve"> Activation Promotes </w:t>
      </w:r>
      <w:r>
        <w:rPr>
          <w:rFonts w:hint="eastAsia" w:ascii="Arial" w:hAnsi="Arial" w:cs="Arial"/>
          <w:highlight w:val="none"/>
          <w:lang w:val="en-US" w:eastAsia="zh-CN"/>
        </w:rPr>
        <w:t>Microglial Phagocytosis Function</w:t>
      </w:r>
      <w:r>
        <w:rPr>
          <w:rFonts w:hint="default" w:ascii="Arial" w:hAnsi="Arial" w:cs="Arial"/>
          <w:highlight w:val="none"/>
          <w:lang w:val="en-US" w:eastAsia="zh-CN"/>
        </w:rPr>
        <w:t xml:space="preserve">, Related to Figure </w:t>
      </w:r>
      <w:r>
        <w:rPr>
          <w:rFonts w:hint="eastAsia" w:ascii="Arial" w:hAnsi="Arial" w:cs="Arial"/>
          <w:highlight w:val="none"/>
          <w:lang w:val="en-US" w:eastAsia="zh-CN"/>
        </w:rPr>
        <w:t>5</w:t>
      </w:r>
    </w:p>
    <w:p w14:paraId="00DB38FF">
      <w:pPr>
        <w:spacing w:line="240" w:lineRule="auto"/>
        <w:rPr>
          <w:rFonts w:hint="default" w:ascii="Arial" w:hAnsi="Arial" w:cs="Arial"/>
          <w:highlight w:val="none"/>
          <w:lang w:val="en-US" w:eastAsia="zh-CN"/>
        </w:rPr>
      </w:pPr>
      <w:r>
        <w:rPr>
          <w:rFonts w:hint="default" w:ascii="Arial" w:hAnsi="Arial" w:cs="Arial"/>
          <w:highlight w:val="none"/>
          <w:lang w:val="en-US" w:eastAsia="zh-CN"/>
        </w:rPr>
        <w:t>(a) Representative brightfield and fluorescence overlay images of BV2 cells</w:t>
      </w:r>
      <w:r>
        <w:rPr>
          <w:rFonts w:hint="eastAsia" w:ascii="Arial" w:hAnsi="Arial" w:cs="Arial"/>
          <w:highlight w:val="none"/>
          <w:lang w:val="en-US" w:eastAsia="zh-CN"/>
        </w:rPr>
        <w:t xml:space="preserve"> and </w:t>
      </w:r>
      <w:r>
        <w:rPr>
          <w:rFonts w:hint="default" w:ascii="Arial" w:hAnsi="Arial" w:cs="Arial"/>
          <w:highlight w:val="none"/>
          <w:lang w:val="en-US" w:eastAsia="zh-CN"/>
        </w:rPr>
        <w:t xml:space="preserve">primary microglia incubated with pH-sensitive fluorescent latex beads (red fluorescence upon lysosomal acidification). Scale bar, </w:t>
      </w:r>
      <w:r>
        <w:rPr>
          <w:rFonts w:hint="eastAsia" w:ascii="Arial" w:hAnsi="Arial" w:cs="Arial"/>
          <w:highlight w:val="none"/>
          <w:lang w:val="en-US" w:eastAsia="zh-CN"/>
        </w:rPr>
        <w:t>5</w:t>
      </w:r>
      <w:r>
        <w:rPr>
          <w:rFonts w:hint="default" w:ascii="Arial" w:hAnsi="Arial" w:cs="Arial"/>
          <w:highlight w:val="none"/>
          <w:lang w:val="en-US" w:eastAsia="zh-CN"/>
        </w:rPr>
        <w:t>00 μm.</w:t>
      </w:r>
    </w:p>
    <w:p w14:paraId="65AF7BF5">
      <w:pPr>
        <w:rPr>
          <w:rFonts w:hint="default" w:ascii="Arial" w:hAnsi="Arial" w:cs="Arial"/>
          <w:lang w:val="en-US" w:eastAsia="zh-CN"/>
        </w:rPr>
      </w:pPr>
    </w:p>
    <w:p w14:paraId="7184A445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br w:type="page"/>
      </w:r>
      <w:bookmarkStart w:id="0" w:name="_GoBack"/>
      <w:bookmarkEnd w:id="0"/>
    </w:p>
    <w:p w14:paraId="439693B3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Figure S</w:t>
      </w:r>
      <w:r>
        <w:rPr>
          <w:rFonts w:hint="eastAsia" w:ascii="Arial" w:hAnsi="Arial" w:cs="Arial"/>
          <w:lang w:val="en-US" w:eastAsia="zh-CN"/>
        </w:rPr>
        <w:t>5</w:t>
      </w:r>
    </w:p>
    <w:p w14:paraId="2E91FD02">
      <w:r>
        <w:drawing>
          <wp:inline distT="0" distB="0" distL="114300" distR="114300">
            <wp:extent cx="5274310" cy="4265295"/>
            <wp:effectExtent l="0" t="0" r="8890" b="1905"/>
            <wp:docPr id="13" name="图片 1" descr="Fig6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Fig6-02"/>
                    <pic:cNvPicPr>
                      <a:picLocks noChangeAspect="1"/>
                    </pic:cNvPicPr>
                  </pic:nvPicPr>
                  <pic:blipFill>
                    <a:blip r:embed="rId8"/>
                    <a:srcRect b="428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1AD2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 Bold" w:hAnsi="Arial Bold" w:cs="Arial Bold"/>
          <w:b/>
          <w:bCs/>
          <w:lang w:val="en-US" w:eastAsia="zh-CN"/>
        </w:rPr>
        <w:t>Figure S5.</w:t>
      </w:r>
      <w:r>
        <w:rPr>
          <w:rFonts w:hint="default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  <w:lang w:val="en-US" w:eastAsia="zh-CN"/>
        </w:rPr>
        <w:t>NRF2 Activation Promotes Microglial LD Turnover, Restores Microglial Bioenergetics, and Reduces Neuroinflammation in SCI Model</w:t>
      </w:r>
      <w:r>
        <w:rPr>
          <w:rFonts w:hint="default" w:ascii="Arial" w:hAnsi="Arial" w:cs="Arial"/>
          <w:lang w:val="en-US" w:eastAsia="zh-CN"/>
        </w:rPr>
        <w:t xml:space="preserve">, </w:t>
      </w:r>
      <w:r>
        <w:rPr>
          <w:rFonts w:hint="eastAsia" w:ascii="Arial" w:hAnsi="Arial" w:cs="Arial"/>
          <w:lang w:val="en-US" w:eastAsia="zh-CN"/>
        </w:rPr>
        <w:t>r</w:t>
      </w:r>
      <w:r>
        <w:rPr>
          <w:rFonts w:hint="default" w:ascii="Arial" w:hAnsi="Arial" w:cs="Arial"/>
          <w:lang w:val="en-US" w:eastAsia="zh-CN"/>
        </w:rPr>
        <w:t xml:space="preserve">elated to Figure </w:t>
      </w:r>
      <w:r>
        <w:rPr>
          <w:rFonts w:hint="eastAsia" w:ascii="Arial" w:hAnsi="Arial" w:cs="Arial"/>
          <w:lang w:val="en-US" w:eastAsia="zh-CN"/>
        </w:rPr>
        <w:t xml:space="preserve">6 and </w:t>
      </w:r>
      <w:r>
        <w:rPr>
          <w:rFonts w:hint="default" w:ascii="Arial" w:hAnsi="Arial" w:cs="Arial"/>
          <w:lang w:val="en-US" w:eastAsia="zh-CN"/>
        </w:rPr>
        <w:t>Figure</w:t>
      </w:r>
      <w:r>
        <w:rPr>
          <w:rFonts w:hint="eastAsia" w:ascii="Arial" w:hAnsi="Arial" w:cs="Arial"/>
          <w:lang w:val="en-US" w:eastAsia="zh-CN"/>
        </w:rPr>
        <w:t xml:space="preserve"> 7</w:t>
      </w:r>
    </w:p>
    <w:p w14:paraId="39EE0CCE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(a) Schematic of the experimental workflow. Mice underwent spinal cord transection followed by implantation of collagen hydrogels loaded with DMF (Gel@N2a), Triacsin C (Gel@A1i)</w:t>
      </w:r>
      <w:r>
        <w:rPr>
          <w:rFonts w:hint="eastAsia" w:ascii="Arial" w:hAnsi="Arial" w:cs="Arial"/>
          <w:lang w:val="en-US" w:eastAsia="zh-CN"/>
        </w:rPr>
        <w:t xml:space="preserve"> and</w:t>
      </w:r>
      <w:r>
        <w:rPr>
          <w:rFonts w:hint="default" w:ascii="Arial" w:hAnsi="Arial" w:cs="Arial"/>
          <w:lang w:val="en-US" w:eastAsia="zh-CN"/>
        </w:rPr>
        <w:t xml:space="preserve"> blank hydrogel (Gel) at the lesion site. At 7 dpi, CD11b</w:t>
      </w:r>
      <w:r>
        <w:rPr>
          <w:rFonts w:hint="eastAsia" w:ascii="Arial" w:hAnsi="Arial" w:cs="Arial"/>
          <w:vertAlign w:val="superscript"/>
          <w:lang w:val="en-US" w:eastAsia="zh-CN"/>
        </w:rPr>
        <w:t>+</w:t>
      </w:r>
      <w:r>
        <w:rPr>
          <w:rFonts w:hint="default" w:ascii="Arial" w:hAnsi="Arial" w:cs="Arial"/>
          <w:lang w:val="en-US" w:eastAsia="zh-CN"/>
        </w:rPr>
        <w:t xml:space="preserve"> microglia were isolated from the lesion center via MACS and subjected to single-cell RNA sequencing using 10× Genomics. </w:t>
      </w:r>
    </w:p>
    <w:p w14:paraId="0DFA1310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(b) </w:t>
      </w:r>
      <w:r>
        <w:rPr>
          <w:rFonts w:hint="eastAsia" w:ascii="Arial" w:hAnsi="Arial" w:cs="Arial"/>
          <w:lang w:val="en-US" w:eastAsia="zh-CN"/>
        </w:rPr>
        <w:t xml:space="preserve">Number of DEGs between Gel@N2a and Gel@A1i treatments across indicated microglial subpopulations. </w:t>
      </w:r>
    </w:p>
    <w:p w14:paraId="35BADCF6"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(c) </w:t>
      </w:r>
      <w:r>
        <w:rPr>
          <w:rFonts w:hint="eastAsia" w:ascii="Arial" w:hAnsi="Arial" w:cs="Arial"/>
          <w:lang w:val="en-US" w:eastAsia="zh-CN"/>
        </w:rPr>
        <w:t>KEGG pathway enrichment analysis of genes upregulated by Gel@N2a compared to Gel@A1i.</w:t>
      </w:r>
    </w:p>
    <w:p w14:paraId="61CC4742">
      <w:pPr>
        <w:rPr>
          <w:rFonts w:hint="eastAsia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(d) </w:t>
      </w:r>
      <w:r>
        <w:rPr>
          <w:rFonts w:hint="eastAsia" w:ascii="Arial" w:hAnsi="Arial" w:cs="Arial"/>
          <w:lang w:val="en-US" w:eastAsia="zh-CN"/>
        </w:rPr>
        <w:t>KEGG pathway enrichment analysis of genes downregulated by Gel@N2a (conversely upregulated under Gel@A1i treatment).</w:t>
      </w:r>
    </w:p>
    <w:p w14:paraId="64B01263"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lang w:val="en-US" w:eastAsia="zh-CN"/>
        </w:rPr>
        <w:t xml:space="preserve">(e) </w:t>
      </w:r>
      <w:r>
        <w:rPr>
          <w:rFonts w:ascii="Arial" w:hAnsi="Arial" w:cs="Arial"/>
          <w:szCs w:val="21"/>
        </w:rPr>
        <w:t xml:space="preserve">Western blot analysis of nuclear NRF2 protein levels in </w:t>
      </w:r>
      <w:r>
        <w:rPr>
          <w:rFonts w:hint="eastAsia" w:ascii="Arial" w:hAnsi="Arial" w:cs="Arial"/>
          <w:szCs w:val="21"/>
        </w:rPr>
        <w:t>microglia</w:t>
      </w:r>
      <w:r>
        <w:rPr>
          <w:rFonts w:ascii="Arial" w:hAnsi="Arial" w:cs="Arial"/>
          <w:szCs w:val="21"/>
        </w:rPr>
        <w:t xml:space="preserve"> </w:t>
      </w:r>
      <w:r>
        <w:rPr>
          <w:rFonts w:hint="eastAsia" w:ascii="Arial" w:hAnsi="Arial" w:cs="Arial"/>
          <w:szCs w:val="21"/>
        </w:rPr>
        <w:t xml:space="preserve">from </w:t>
      </w:r>
      <w:r>
        <w:rPr>
          <w:rFonts w:ascii="Arial" w:hAnsi="Arial" w:cs="Arial"/>
          <w:szCs w:val="21"/>
        </w:rPr>
        <w:t>spinal cord lesion 7 days after treatment, with LaminB1 as nuclear loading control.</w:t>
      </w:r>
    </w:p>
    <w:p w14:paraId="3FAF2B90">
      <w:pPr>
        <w:rPr>
          <w:rFonts w:hint="eastAsia" w:ascii="Arial" w:hAnsi="Arial" w:cs="Arial"/>
          <w:szCs w:val="21"/>
          <w:lang w:val="en-US" w:eastAsia="zh-CN"/>
        </w:rPr>
      </w:pPr>
      <w:r>
        <w:rPr>
          <w:rFonts w:hint="eastAsia" w:ascii="Arial" w:hAnsi="Arial" w:cs="Arial"/>
          <w:szCs w:val="21"/>
          <w:lang w:val="en-US" w:eastAsia="zh-CN"/>
        </w:rPr>
        <w:t xml:space="preserve">(f) Violin plots displaying normalized 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Nfe2l2</w:t>
      </w:r>
      <w:r>
        <w:rPr>
          <w:rFonts w:hint="eastAsia" w:ascii="Arial" w:hAnsi="Arial" w:cs="Arial"/>
          <w:szCs w:val="21"/>
          <w:lang w:val="en-US" w:eastAsia="zh-CN"/>
        </w:rPr>
        <w:t xml:space="preserve"> (encoding NRF2) expression levels across total microglia (Total_cells) and distinct subpopulations (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Mki67</w:t>
      </w:r>
      <w:r>
        <w:rPr>
          <w:rFonts w:hint="eastAsia" w:ascii="Arial" w:hAnsi="Arial" w:cs="Arial"/>
          <w:i/>
          <w:iCs/>
          <w:szCs w:val="21"/>
          <w:vertAlign w:val="superscript"/>
          <w:lang w:val="en-US" w:eastAsia="zh-CN"/>
        </w:rPr>
        <w:t>+</w:t>
      </w:r>
      <w:r>
        <w:rPr>
          <w:rFonts w:hint="eastAsia" w:ascii="Arial" w:hAnsi="Arial" w:cs="Arial"/>
          <w:szCs w:val="21"/>
          <w:lang w:val="en-US" w:eastAsia="zh-CN"/>
        </w:rPr>
        <w:t xml:space="preserve">, 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Lyz2</w:t>
      </w:r>
      <w:r>
        <w:rPr>
          <w:rFonts w:hint="eastAsia" w:ascii="Arial" w:hAnsi="Arial" w:cs="Arial"/>
          <w:i/>
          <w:iCs/>
          <w:szCs w:val="21"/>
          <w:vertAlign w:val="superscript"/>
          <w:lang w:val="en-US" w:eastAsia="zh-CN"/>
        </w:rPr>
        <w:t>+</w:t>
      </w:r>
      <w:r>
        <w:rPr>
          <w:rFonts w:hint="eastAsia" w:ascii="Arial" w:hAnsi="Arial" w:cs="Arial"/>
          <w:szCs w:val="21"/>
          <w:lang w:val="en-US" w:eastAsia="zh-CN"/>
        </w:rPr>
        <w:t xml:space="preserve">, 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Cd74</w:t>
      </w:r>
      <w:r>
        <w:rPr>
          <w:rFonts w:hint="eastAsia" w:ascii="Arial" w:hAnsi="Arial" w:cs="Arial"/>
          <w:i/>
          <w:iCs/>
          <w:szCs w:val="21"/>
          <w:vertAlign w:val="superscript"/>
          <w:lang w:val="en-US" w:eastAsia="zh-CN"/>
        </w:rPr>
        <w:t>+</w:t>
      </w:r>
      <w:r>
        <w:rPr>
          <w:rFonts w:hint="eastAsia" w:ascii="Arial" w:hAnsi="Arial" w:cs="Arial"/>
          <w:szCs w:val="21"/>
          <w:lang w:val="en-US" w:eastAsia="zh-CN"/>
        </w:rPr>
        <w:t xml:space="preserve">, 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Plin2</w:t>
      </w:r>
      <w:r>
        <w:rPr>
          <w:rFonts w:hint="eastAsia" w:ascii="Arial" w:hAnsi="Arial" w:cs="Arial"/>
          <w:i/>
          <w:iCs/>
          <w:szCs w:val="21"/>
          <w:vertAlign w:val="superscript"/>
          <w:lang w:val="en-US" w:eastAsia="zh-CN"/>
        </w:rPr>
        <w:t>+</w:t>
      </w:r>
      <w:r>
        <w:rPr>
          <w:rFonts w:hint="eastAsia" w:ascii="Arial" w:hAnsi="Arial" w:cs="Arial"/>
          <w:szCs w:val="21"/>
          <w:lang w:val="en-US" w:eastAsia="zh-CN"/>
        </w:rPr>
        <w:t xml:space="preserve">, 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Sall1</w:t>
      </w:r>
      <w:r>
        <w:rPr>
          <w:rFonts w:hint="eastAsia" w:ascii="Arial" w:hAnsi="Arial" w:cs="Arial"/>
          <w:i/>
          <w:iCs/>
          <w:szCs w:val="21"/>
          <w:vertAlign w:val="superscript"/>
          <w:lang w:val="en-US" w:eastAsia="zh-CN"/>
        </w:rPr>
        <w:t>+</w:t>
      </w:r>
      <w:r>
        <w:rPr>
          <w:rFonts w:hint="eastAsia" w:ascii="Arial" w:hAnsi="Arial" w:cs="Arial"/>
          <w:szCs w:val="21"/>
          <w:lang w:val="en-US" w:eastAsia="zh-CN"/>
        </w:rPr>
        <w:t xml:space="preserve">, 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Pparg</w:t>
      </w:r>
      <w:r>
        <w:rPr>
          <w:rFonts w:hint="eastAsia" w:ascii="Arial" w:hAnsi="Arial" w:cs="Arial"/>
          <w:i/>
          <w:iCs/>
          <w:szCs w:val="21"/>
          <w:vertAlign w:val="superscript"/>
          <w:lang w:val="en-US" w:eastAsia="zh-CN"/>
        </w:rPr>
        <w:t>+</w:t>
      </w:r>
      <w:r>
        <w:rPr>
          <w:rFonts w:hint="eastAsia" w:ascii="Arial" w:hAnsi="Arial" w:cs="Arial"/>
          <w:szCs w:val="21"/>
          <w:lang w:val="en-US" w:eastAsia="zh-CN"/>
        </w:rPr>
        <w:t xml:space="preserve">, and </w:t>
      </w:r>
      <w:r>
        <w:rPr>
          <w:rFonts w:hint="eastAsia" w:ascii="Arial" w:hAnsi="Arial" w:cs="Arial"/>
          <w:i/>
          <w:iCs/>
          <w:szCs w:val="21"/>
          <w:lang w:val="en-US" w:eastAsia="zh-CN"/>
        </w:rPr>
        <w:t>Mxd1</w:t>
      </w:r>
      <w:r>
        <w:rPr>
          <w:rFonts w:hint="eastAsia" w:ascii="Arial" w:hAnsi="Arial" w:cs="Arial"/>
          <w:i/>
          <w:iCs/>
          <w:szCs w:val="21"/>
          <w:vertAlign w:val="superscript"/>
          <w:lang w:val="en-US" w:eastAsia="zh-CN"/>
        </w:rPr>
        <w:t>+</w:t>
      </w:r>
      <w:r>
        <w:rPr>
          <w:rFonts w:hint="eastAsia" w:ascii="Arial" w:hAnsi="Arial" w:cs="Arial"/>
          <w:szCs w:val="21"/>
          <w:lang w:val="en-US" w:eastAsia="zh-CN"/>
        </w:rPr>
        <w:t>).</w:t>
      </w:r>
    </w:p>
    <w:p w14:paraId="04158552">
      <w:pPr>
        <w:rPr>
          <w:rFonts w:hint="eastAsia" w:ascii="Arial" w:hAnsi="Arial" w:cs="Arial"/>
          <w:szCs w:val="21"/>
          <w:lang w:val="en-US" w:eastAsia="zh-CN"/>
        </w:rPr>
      </w:pPr>
      <w:r>
        <w:rPr>
          <w:rFonts w:hint="eastAsia" w:ascii="Arial" w:hAnsi="Arial" w:cs="Arial"/>
          <w:szCs w:val="21"/>
          <w:lang w:val="en-US" w:eastAsia="zh-CN"/>
        </w:rPr>
        <w:t xml:space="preserve">(g) </w:t>
      </w:r>
      <w:r>
        <w:rPr>
          <w:rFonts w:hint="eastAsia" w:ascii="Arial" w:hAnsi="Arial" w:cs="Arial"/>
          <w:szCs w:val="21"/>
        </w:rPr>
        <w:t xml:space="preserve">GSEA plot showing differential enrichment of </w:t>
      </w:r>
      <w:r>
        <w:rPr>
          <w:rFonts w:hint="eastAsia" w:ascii="Arial" w:hAnsi="Arial" w:cs="Arial"/>
          <w:szCs w:val="21"/>
          <w:lang w:val="en-US" w:eastAsia="zh-CN"/>
        </w:rPr>
        <w:t>autophagosome pathway between</w:t>
      </w:r>
      <w:r>
        <w:rPr>
          <w:rFonts w:ascii="Arial" w:hAnsi="Arial" w:cs="Arial"/>
          <w:szCs w:val="21"/>
        </w:rPr>
        <w:t xml:space="preserve"> Gel@N2a </w:t>
      </w:r>
      <w:r>
        <w:rPr>
          <w:rFonts w:hint="eastAsia" w:ascii="Arial" w:hAnsi="Arial" w:cs="Arial"/>
          <w:szCs w:val="21"/>
          <w:lang w:val="en-US" w:eastAsia="zh-CN"/>
        </w:rPr>
        <w:t>and</w:t>
      </w:r>
      <w:r>
        <w:rPr>
          <w:rFonts w:ascii="Arial" w:hAnsi="Arial" w:cs="Arial"/>
          <w:szCs w:val="21"/>
        </w:rPr>
        <w:t xml:space="preserve"> </w:t>
      </w:r>
      <w:r>
        <w:rPr>
          <w:rFonts w:hint="eastAsia" w:ascii="Arial" w:hAnsi="Arial" w:cs="Arial"/>
          <w:szCs w:val="21"/>
          <w:lang w:val="en-US" w:eastAsia="zh-CN"/>
        </w:rPr>
        <w:t>Injury</w:t>
      </w:r>
      <w:r>
        <w:rPr>
          <w:rFonts w:ascii="Arial" w:hAnsi="Arial" w:cs="Arial"/>
          <w:szCs w:val="21"/>
        </w:rPr>
        <w:t xml:space="preserve"> groups</w:t>
      </w:r>
      <w:r>
        <w:rPr>
          <w:rFonts w:hint="eastAsia" w:ascii="Arial" w:hAnsi="Arial" w:cs="Arial"/>
          <w:szCs w:val="21"/>
          <w:lang w:val="en-US" w:eastAsia="zh-CN"/>
        </w:rPr>
        <w:t>.</w:t>
      </w:r>
    </w:p>
    <w:p w14:paraId="75D8AB33">
      <w:pPr>
        <w:rPr>
          <w:rFonts w:hint="default" w:ascii="Arial" w:hAnsi="Arial" w:cs="Arial" w:eastAsiaTheme="minorEastAsia"/>
          <w:szCs w:val="21"/>
          <w:lang w:val="en-US" w:eastAsia="zh-CN"/>
        </w:rPr>
      </w:pPr>
      <w:r>
        <w:rPr>
          <w:rFonts w:hint="eastAsia" w:ascii="Arial" w:hAnsi="Arial" w:cs="Arial"/>
        </w:rPr>
        <w:t>Data</w:t>
      </w:r>
      <w:r>
        <w:rPr>
          <w:rFonts w:ascii="Arial" w:hAnsi="Arial" w:cs="Arial"/>
        </w:rPr>
        <w:t xml:space="preserve"> was </w:t>
      </w:r>
      <w:r>
        <w:rPr>
          <w:rFonts w:hint="eastAsia" w:ascii="Arial" w:hAnsi="Arial" w:cs="Arial"/>
        </w:rPr>
        <w:t>analyzed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by </w:t>
      </w:r>
      <w:r>
        <w:rPr>
          <w:rFonts w:ascii="Arial" w:hAnsi="Arial" w:cs="Arial"/>
        </w:rPr>
        <w:t xml:space="preserve">Wilcoxon </w:t>
      </w:r>
      <w:r>
        <w:rPr>
          <w:rFonts w:hint="eastAsia" w:ascii="Arial" w:hAnsi="Arial" w:cs="Arial"/>
        </w:rPr>
        <w:t>r</w:t>
      </w:r>
      <w:r>
        <w:rPr>
          <w:rFonts w:ascii="Arial" w:hAnsi="Arial" w:cs="Arial"/>
        </w:rPr>
        <w:t>ank-</w:t>
      </w:r>
      <w:r>
        <w:rPr>
          <w:rFonts w:hint="eastAsia" w:ascii="Arial" w:hAnsi="Arial" w:cs="Arial"/>
        </w:rPr>
        <w:t>s</w:t>
      </w:r>
      <w:r>
        <w:rPr>
          <w:rFonts w:ascii="Arial" w:hAnsi="Arial" w:cs="Arial"/>
        </w:rPr>
        <w:t xml:space="preserve">um </w:t>
      </w:r>
      <w:r>
        <w:rPr>
          <w:rFonts w:hint="eastAsia" w:ascii="Arial" w:hAnsi="Arial" w:cs="Arial"/>
        </w:rPr>
        <w:t>t</w:t>
      </w:r>
      <w:r>
        <w:rPr>
          <w:rFonts w:ascii="Arial" w:hAnsi="Arial" w:cs="Arial"/>
        </w:rPr>
        <w:t>est</w:t>
      </w:r>
      <w:r>
        <w:rPr>
          <w:rFonts w:hint="eastAsia" w:ascii="Arial" w:hAnsi="Arial" w:cs="Arial"/>
        </w:rPr>
        <w:t xml:space="preserve"> (</w:t>
      </w:r>
      <w:r>
        <w:rPr>
          <w:rFonts w:hint="eastAsia" w:ascii="Arial" w:hAnsi="Arial" w:cs="Arial"/>
          <w:lang w:val="en-US" w:eastAsia="zh-CN"/>
        </w:rPr>
        <w:t>f</w:t>
      </w:r>
      <w:r>
        <w:rPr>
          <w:rFonts w:hint="eastAsia" w:ascii="Arial" w:hAnsi="Arial" w:cs="Arial"/>
        </w:rPr>
        <w:t>)</w:t>
      </w:r>
      <w:r>
        <w:rPr>
          <w:rFonts w:hint="eastAsia" w:ascii="Arial" w:hAnsi="Arial" w:cs="Arial"/>
          <w:lang w:val="en-US" w:eastAsia="zh-CN"/>
        </w:rPr>
        <w:t>.</w:t>
      </w:r>
      <w:r>
        <w:rPr>
          <w:rFonts w:hint="eastAsia" w:ascii="Arial" w:hAnsi="Arial" w:cs="Arial"/>
        </w:rPr>
        <w:t xml:space="preserve"> *</w:t>
      </w:r>
      <w:r>
        <w:rPr>
          <w:rFonts w:hint="eastAsia" w:ascii="Arial" w:hAnsi="Arial" w:cs="Arial"/>
          <w:i/>
          <w:iCs/>
        </w:rPr>
        <w:t>p</w:t>
      </w:r>
      <w:r>
        <w:rPr>
          <w:rFonts w:hint="eastAsia" w:ascii="Arial" w:hAnsi="Arial" w:cs="Arial"/>
        </w:rPr>
        <w:t xml:space="preserve"> &lt; 0.05, </w:t>
      </w:r>
      <w:r>
        <w:rPr>
          <w:rFonts w:ascii="Arial" w:hAnsi="Arial" w:cs="Arial"/>
        </w:rPr>
        <w:t>**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&lt; 0.01,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</w:rPr>
        <w:t>****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&lt; 0.0001</w:t>
      </w:r>
      <w:r>
        <w:rPr>
          <w:rFonts w:hint="eastAsia" w:ascii="Arial" w:hAnsi="Arial" w:cs="Arial"/>
        </w:rPr>
        <w:t xml:space="preserve">. </w:t>
      </w:r>
      <w:r>
        <w:rPr>
          <w:rFonts w:ascii="Arial" w:hAnsi="Arial" w:cs="Arial"/>
        </w:rPr>
        <w:t>ns, not significant</w:t>
      </w:r>
      <w:r>
        <w:rPr>
          <w:rFonts w:hint="eastAsia" w:ascii="Arial" w:hAnsi="Arial" w:cs="Arial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old">
    <w:panose1 w:val="020B0604020202090204"/>
    <w:charset w:val="00"/>
    <w:family w:val="auto"/>
    <w:pitch w:val="default"/>
    <w:sig w:usb0="00000000" w:usb1="00000000" w:usb2="00000001" w:usb3="00000000" w:csb0="400001BF" w:csb1="DFF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99583B"/>
    <w:rsid w:val="027D48F9"/>
    <w:rsid w:val="032A08BF"/>
    <w:rsid w:val="05AB0F0F"/>
    <w:rsid w:val="0751338B"/>
    <w:rsid w:val="0974105E"/>
    <w:rsid w:val="0CFF554A"/>
    <w:rsid w:val="111138AD"/>
    <w:rsid w:val="11665123"/>
    <w:rsid w:val="13B80DF2"/>
    <w:rsid w:val="147010BF"/>
    <w:rsid w:val="14E86739"/>
    <w:rsid w:val="18FB0BA0"/>
    <w:rsid w:val="1A505C0C"/>
    <w:rsid w:val="1C271779"/>
    <w:rsid w:val="2121363B"/>
    <w:rsid w:val="2689309A"/>
    <w:rsid w:val="27CE635B"/>
    <w:rsid w:val="280A144A"/>
    <w:rsid w:val="32D8292F"/>
    <w:rsid w:val="36EB6EC9"/>
    <w:rsid w:val="375470B8"/>
    <w:rsid w:val="38917E3B"/>
    <w:rsid w:val="391349EB"/>
    <w:rsid w:val="395850A3"/>
    <w:rsid w:val="3A323B26"/>
    <w:rsid w:val="3B18159A"/>
    <w:rsid w:val="404C68FB"/>
    <w:rsid w:val="46553C57"/>
    <w:rsid w:val="46982B2B"/>
    <w:rsid w:val="4899583B"/>
    <w:rsid w:val="4B09298A"/>
    <w:rsid w:val="5020290D"/>
    <w:rsid w:val="503D1388"/>
    <w:rsid w:val="52EF6909"/>
    <w:rsid w:val="53CF7082"/>
    <w:rsid w:val="58B932A3"/>
    <w:rsid w:val="59DA4E40"/>
    <w:rsid w:val="5A9B4380"/>
    <w:rsid w:val="5BCC7B7E"/>
    <w:rsid w:val="63F6448F"/>
    <w:rsid w:val="64330AA5"/>
    <w:rsid w:val="67C14EFB"/>
    <w:rsid w:val="682B40A8"/>
    <w:rsid w:val="6949654A"/>
    <w:rsid w:val="6BCB0899"/>
    <w:rsid w:val="6F7E5390"/>
    <w:rsid w:val="724F4299"/>
    <w:rsid w:val="76F55828"/>
    <w:rsid w:val="7892597A"/>
    <w:rsid w:val="CFDF8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526</Words>
  <Characters>3148</Characters>
  <Lines>0</Lines>
  <Paragraphs>0</Paragraphs>
  <TotalTime>45</TotalTime>
  <ScaleCrop>false</ScaleCrop>
  <LinksUpToDate>false</LinksUpToDate>
  <CharactersWithSpaces>3647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2026-03-10T20:22:00Z</dcterms:created>
  <dc:creator>Liangyuyun</dc:creator>
  <cp:lastModifiedBy>Mortimer</cp:lastModifiedBy>
  <dcterms:modified xsi:type="dcterms:W3CDTF">2026-07-01T14:39:04Z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3883867213F64EDD9ECDBB72FB563EA3_13</vt:lpwstr>
  </property>
  <property fmtid="{D5CDD505-2E9C-101B-9397-08002B2CF9AE}" pid="4" name="KSOTemplateDocerSaveRecord">
    <vt:lpwstr>eyJoZGlkIjoiNDkzYmI1Y2VlZjViYzdmMTIyMzljNmU3ZWY2NWFhNDMiLCJ1c2VySWQiOiIyMTgwNTYyNjAifQ==</vt:lpwstr>
  </property>
</Properties>
</file>