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E5774" w14:textId="307625E1" w:rsidR="00C45260" w:rsidRPr="00794B09" w:rsidRDefault="00C45260" w:rsidP="00C45260">
      <w:pPr>
        <w:pStyle w:val="Caption"/>
        <w:keepNext/>
        <w:rPr>
          <w:rFonts w:ascii="Times New Roman" w:hAnsi="Times New Roman" w:cs="Times New Roman"/>
          <w:i w:val="0"/>
          <w:iCs w:val="0"/>
          <w:sz w:val="24"/>
          <w:szCs w:val="24"/>
        </w:rPr>
      </w:pPr>
      <w:r w:rsidRPr="00794B09">
        <w:rPr>
          <w:rFonts w:ascii="Times New Roman" w:hAnsi="Times New Roman" w:cs="Times New Roman"/>
          <w:i w:val="0"/>
          <w:iCs w:val="0"/>
          <w:sz w:val="24"/>
          <w:szCs w:val="24"/>
        </w:rPr>
        <w:t>Supplement Table 1. Bonferroni-Adjusted Comparisons of Calendar-Year Effects Relative to 2014</w:t>
      </w:r>
    </w:p>
    <w:tbl>
      <w:tblPr>
        <w:tblStyle w:val="TableGrid"/>
        <w:tblW w:w="9579" w:type="dxa"/>
        <w:tblLook w:val="04A0" w:firstRow="1" w:lastRow="0" w:firstColumn="1" w:lastColumn="0" w:noHBand="0" w:noVBand="1"/>
      </w:tblPr>
      <w:tblGrid>
        <w:gridCol w:w="4009"/>
        <w:gridCol w:w="2229"/>
        <w:gridCol w:w="3341"/>
      </w:tblGrid>
      <w:tr w:rsidR="00C45260" w:rsidRPr="00794B09" w14:paraId="3230C557" w14:textId="77777777" w:rsidTr="00C45260">
        <w:trPr>
          <w:trHeight w:val="411"/>
        </w:trPr>
        <w:tc>
          <w:tcPr>
            <w:tcW w:w="0" w:type="auto"/>
            <w:hideMark/>
          </w:tcPr>
          <w:p w14:paraId="5C5CC439" w14:textId="77777777" w:rsidR="00C45260" w:rsidRPr="00794B09" w:rsidRDefault="00C45260" w:rsidP="00C45260">
            <w:pPr>
              <w:spacing w:after="160" w:line="278" w:lineRule="auto"/>
              <w:rPr>
                <w:rFonts w:ascii="Times New Roman" w:hAnsi="Times New Roman" w:cs="Times New Roman"/>
                <w:b/>
                <w:bCs/>
              </w:rPr>
            </w:pPr>
            <w:r w:rsidRPr="00794B09">
              <w:rPr>
                <w:rFonts w:ascii="Times New Roman" w:hAnsi="Times New Roman" w:cs="Times New Roman"/>
                <w:b/>
                <w:bCs/>
              </w:rPr>
              <w:t>Year Comparison</w:t>
            </w:r>
          </w:p>
        </w:tc>
        <w:tc>
          <w:tcPr>
            <w:tcW w:w="0" w:type="auto"/>
            <w:hideMark/>
          </w:tcPr>
          <w:p w14:paraId="6DE09E17" w14:textId="77777777" w:rsidR="00C45260" w:rsidRPr="00794B09" w:rsidRDefault="00C45260" w:rsidP="00C45260">
            <w:pPr>
              <w:spacing w:after="160" w:line="278" w:lineRule="auto"/>
              <w:rPr>
                <w:rFonts w:ascii="Times New Roman" w:hAnsi="Times New Roman" w:cs="Times New Roman"/>
                <w:b/>
                <w:bCs/>
              </w:rPr>
            </w:pPr>
            <w:r w:rsidRPr="00794B09">
              <w:rPr>
                <w:rFonts w:ascii="Times New Roman" w:hAnsi="Times New Roman" w:cs="Times New Roman"/>
                <w:b/>
                <w:bCs/>
              </w:rPr>
              <w:t>Contrast</w:t>
            </w:r>
          </w:p>
        </w:tc>
        <w:tc>
          <w:tcPr>
            <w:tcW w:w="0" w:type="auto"/>
            <w:hideMark/>
          </w:tcPr>
          <w:p w14:paraId="5D1DBAF6" w14:textId="77777777" w:rsidR="00C45260" w:rsidRPr="00794B09" w:rsidRDefault="00C45260" w:rsidP="00C45260">
            <w:pPr>
              <w:spacing w:after="160" w:line="278" w:lineRule="auto"/>
              <w:rPr>
                <w:rFonts w:ascii="Times New Roman" w:hAnsi="Times New Roman" w:cs="Times New Roman"/>
                <w:b/>
                <w:bCs/>
              </w:rPr>
            </w:pPr>
            <w:r w:rsidRPr="00794B09">
              <w:rPr>
                <w:rFonts w:ascii="Times New Roman" w:hAnsi="Times New Roman" w:cs="Times New Roman"/>
                <w:b/>
                <w:bCs/>
              </w:rPr>
              <w:t>95% CI</w:t>
            </w:r>
          </w:p>
        </w:tc>
      </w:tr>
      <w:tr w:rsidR="00C45260" w:rsidRPr="00794B09" w14:paraId="10874184" w14:textId="77777777" w:rsidTr="00C45260">
        <w:trPr>
          <w:trHeight w:val="411"/>
        </w:trPr>
        <w:tc>
          <w:tcPr>
            <w:tcW w:w="0" w:type="auto"/>
            <w:hideMark/>
          </w:tcPr>
          <w:p w14:paraId="140F6E4E"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2015 vs 2014</w:t>
            </w:r>
          </w:p>
        </w:tc>
        <w:tc>
          <w:tcPr>
            <w:tcW w:w="0" w:type="auto"/>
            <w:hideMark/>
          </w:tcPr>
          <w:p w14:paraId="2F0755B1"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0.371</w:t>
            </w:r>
          </w:p>
        </w:tc>
        <w:tc>
          <w:tcPr>
            <w:tcW w:w="0" w:type="auto"/>
            <w:hideMark/>
          </w:tcPr>
          <w:p w14:paraId="476F3959"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-0.382 to 1.124</w:t>
            </w:r>
          </w:p>
        </w:tc>
      </w:tr>
      <w:tr w:rsidR="00C45260" w:rsidRPr="00794B09" w14:paraId="62CC615B" w14:textId="77777777" w:rsidTr="00C45260">
        <w:trPr>
          <w:trHeight w:val="411"/>
        </w:trPr>
        <w:tc>
          <w:tcPr>
            <w:tcW w:w="0" w:type="auto"/>
            <w:hideMark/>
          </w:tcPr>
          <w:p w14:paraId="2FE90C38"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2016 vs 2014</w:t>
            </w:r>
          </w:p>
        </w:tc>
        <w:tc>
          <w:tcPr>
            <w:tcW w:w="0" w:type="auto"/>
            <w:hideMark/>
          </w:tcPr>
          <w:p w14:paraId="1A867AB7"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0.336</w:t>
            </w:r>
          </w:p>
        </w:tc>
        <w:tc>
          <w:tcPr>
            <w:tcW w:w="0" w:type="auto"/>
            <w:hideMark/>
          </w:tcPr>
          <w:p w14:paraId="341E8510"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-0.316 to 0.988</w:t>
            </w:r>
          </w:p>
        </w:tc>
      </w:tr>
      <w:tr w:rsidR="00C45260" w:rsidRPr="00794B09" w14:paraId="01B760E6" w14:textId="77777777" w:rsidTr="00C45260">
        <w:trPr>
          <w:trHeight w:val="411"/>
        </w:trPr>
        <w:tc>
          <w:tcPr>
            <w:tcW w:w="0" w:type="auto"/>
            <w:hideMark/>
          </w:tcPr>
          <w:p w14:paraId="55BFC117"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2017 vs 2014</w:t>
            </w:r>
          </w:p>
        </w:tc>
        <w:tc>
          <w:tcPr>
            <w:tcW w:w="0" w:type="auto"/>
            <w:hideMark/>
          </w:tcPr>
          <w:p w14:paraId="385F71D0"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0.525</w:t>
            </w:r>
          </w:p>
        </w:tc>
        <w:tc>
          <w:tcPr>
            <w:tcW w:w="0" w:type="auto"/>
            <w:hideMark/>
          </w:tcPr>
          <w:p w14:paraId="409E05F7"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-0.214 to 1.264</w:t>
            </w:r>
          </w:p>
        </w:tc>
      </w:tr>
      <w:tr w:rsidR="00C45260" w:rsidRPr="00794B09" w14:paraId="335C5434" w14:textId="77777777" w:rsidTr="00C45260">
        <w:trPr>
          <w:trHeight w:val="411"/>
        </w:trPr>
        <w:tc>
          <w:tcPr>
            <w:tcW w:w="0" w:type="auto"/>
            <w:hideMark/>
          </w:tcPr>
          <w:p w14:paraId="730D0DF3"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2018 vs 2014</w:t>
            </w:r>
          </w:p>
        </w:tc>
        <w:tc>
          <w:tcPr>
            <w:tcW w:w="0" w:type="auto"/>
            <w:hideMark/>
          </w:tcPr>
          <w:p w14:paraId="56DD1E89"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0.640</w:t>
            </w:r>
          </w:p>
        </w:tc>
        <w:tc>
          <w:tcPr>
            <w:tcW w:w="0" w:type="auto"/>
            <w:hideMark/>
          </w:tcPr>
          <w:p w14:paraId="7BE956E4"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-0.039 to 1.318</w:t>
            </w:r>
          </w:p>
        </w:tc>
      </w:tr>
      <w:tr w:rsidR="00C45260" w:rsidRPr="00794B09" w14:paraId="1ABCED39" w14:textId="77777777" w:rsidTr="00C45260">
        <w:trPr>
          <w:trHeight w:val="411"/>
        </w:trPr>
        <w:tc>
          <w:tcPr>
            <w:tcW w:w="0" w:type="auto"/>
            <w:hideMark/>
          </w:tcPr>
          <w:p w14:paraId="78172AC0"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2019 vs 2014</w:t>
            </w:r>
          </w:p>
        </w:tc>
        <w:tc>
          <w:tcPr>
            <w:tcW w:w="0" w:type="auto"/>
            <w:hideMark/>
          </w:tcPr>
          <w:p w14:paraId="2BCFFC1D"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0.624</w:t>
            </w:r>
          </w:p>
        </w:tc>
        <w:tc>
          <w:tcPr>
            <w:tcW w:w="0" w:type="auto"/>
            <w:hideMark/>
          </w:tcPr>
          <w:p w14:paraId="6507C1D2"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-0.134 to 1.382</w:t>
            </w:r>
          </w:p>
        </w:tc>
      </w:tr>
      <w:tr w:rsidR="00C45260" w:rsidRPr="00794B09" w14:paraId="1AC4551D" w14:textId="77777777" w:rsidTr="00C45260">
        <w:trPr>
          <w:trHeight w:val="411"/>
        </w:trPr>
        <w:tc>
          <w:tcPr>
            <w:tcW w:w="0" w:type="auto"/>
            <w:hideMark/>
          </w:tcPr>
          <w:p w14:paraId="5CE55CE0"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2020 vs 2014</w:t>
            </w:r>
          </w:p>
        </w:tc>
        <w:tc>
          <w:tcPr>
            <w:tcW w:w="0" w:type="auto"/>
            <w:hideMark/>
          </w:tcPr>
          <w:p w14:paraId="6628EDEA"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0.772</w:t>
            </w:r>
          </w:p>
        </w:tc>
        <w:tc>
          <w:tcPr>
            <w:tcW w:w="0" w:type="auto"/>
            <w:hideMark/>
          </w:tcPr>
          <w:p w14:paraId="4B3C2377"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-0.104 to 1.648</w:t>
            </w:r>
          </w:p>
        </w:tc>
      </w:tr>
      <w:tr w:rsidR="00C45260" w:rsidRPr="00794B09" w14:paraId="62A9ECA5" w14:textId="77777777" w:rsidTr="00C45260">
        <w:trPr>
          <w:trHeight w:val="411"/>
        </w:trPr>
        <w:tc>
          <w:tcPr>
            <w:tcW w:w="0" w:type="auto"/>
            <w:hideMark/>
          </w:tcPr>
          <w:p w14:paraId="79020C67"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2021 vs 2014</w:t>
            </w:r>
          </w:p>
        </w:tc>
        <w:tc>
          <w:tcPr>
            <w:tcW w:w="0" w:type="auto"/>
            <w:hideMark/>
          </w:tcPr>
          <w:p w14:paraId="5EA2C793"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0.896</w:t>
            </w:r>
          </w:p>
        </w:tc>
        <w:tc>
          <w:tcPr>
            <w:tcW w:w="0" w:type="auto"/>
            <w:hideMark/>
          </w:tcPr>
          <w:p w14:paraId="25CF2B7E"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-0.023 to 1.814</w:t>
            </w:r>
          </w:p>
        </w:tc>
      </w:tr>
      <w:tr w:rsidR="00C45260" w:rsidRPr="00794B09" w14:paraId="00F92F57" w14:textId="77777777" w:rsidTr="00C45260">
        <w:trPr>
          <w:trHeight w:val="411"/>
        </w:trPr>
        <w:tc>
          <w:tcPr>
            <w:tcW w:w="0" w:type="auto"/>
            <w:hideMark/>
          </w:tcPr>
          <w:p w14:paraId="2BE866C9"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2022 vs 2014</w:t>
            </w:r>
          </w:p>
        </w:tc>
        <w:tc>
          <w:tcPr>
            <w:tcW w:w="0" w:type="auto"/>
            <w:hideMark/>
          </w:tcPr>
          <w:p w14:paraId="0DBBF5A1"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0.830</w:t>
            </w:r>
          </w:p>
        </w:tc>
        <w:tc>
          <w:tcPr>
            <w:tcW w:w="0" w:type="auto"/>
            <w:hideMark/>
          </w:tcPr>
          <w:p w14:paraId="7ECAD556"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-0.143 to 1.804</w:t>
            </w:r>
          </w:p>
        </w:tc>
      </w:tr>
      <w:tr w:rsidR="00C45260" w:rsidRPr="00794B09" w14:paraId="67229F3D" w14:textId="77777777" w:rsidTr="00C45260">
        <w:trPr>
          <w:trHeight w:val="399"/>
        </w:trPr>
        <w:tc>
          <w:tcPr>
            <w:tcW w:w="0" w:type="auto"/>
            <w:hideMark/>
          </w:tcPr>
          <w:p w14:paraId="7299CD4E"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2023 vs 2014</w:t>
            </w:r>
          </w:p>
        </w:tc>
        <w:tc>
          <w:tcPr>
            <w:tcW w:w="0" w:type="auto"/>
            <w:hideMark/>
          </w:tcPr>
          <w:p w14:paraId="11662C17"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0.890</w:t>
            </w:r>
          </w:p>
        </w:tc>
        <w:tc>
          <w:tcPr>
            <w:tcW w:w="0" w:type="auto"/>
            <w:hideMark/>
          </w:tcPr>
          <w:p w14:paraId="17B62C06" w14:textId="77777777" w:rsidR="00C45260" w:rsidRPr="00794B09" w:rsidRDefault="00C45260" w:rsidP="00C45260">
            <w:pPr>
              <w:spacing w:after="160" w:line="278" w:lineRule="auto"/>
              <w:rPr>
                <w:rFonts w:ascii="Times New Roman" w:hAnsi="Times New Roman" w:cs="Times New Roman"/>
              </w:rPr>
            </w:pPr>
            <w:r w:rsidRPr="00794B09">
              <w:rPr>
                <w:rFonts w:ascii="Times New Roman" w:hAnsi="Times New Roman" w:cs="Times New Roman"/>
              </w:rPr>
              <w:t>-0.030 to 1.810</w:t>
            </w:r>
          </w:p>
        </w:tc>
      </w:tr>
    </w:tbl>
    <w:p w14:paraId="6472A0E1" w14:textId="2521CC2E" w:rsidR="00C3068A" w:rsidRPr="00794B09" w:rsidRDefault="00C45260">
      <w:pPr>
        <w:rPr>
          <w:rFonts w:ascii="Times New Roman" w:hAnsi="Times New Roman" w:cs="Times New Roman"/>
        </w:rPr>
      </w:pPr>
      <w:r w:rsidRPr="00794B09">
        <w:rPr>
          <w:rFonts w:ascii="Times New Roman" w:hAnsi="Times New Roman" w:cs="Times New Roman"/>
          <w:b/>
          <w:bCs/>
        </w:rPr>
        <w:t>Note:</w:t>
      </w:r>
      <w:r w:rsidRPr="00794B09">
        <w:rPr>
          <w:rFonts w:ascii="Times New Roman" w:hAnsi="Times New Roman" w:cs="Times New Roman"/>
        </w:rPr>
        <w:t xml:space="preserve"> Pairwise Bonferroni-adjusted comparisons of calendar-year fixed effects from the fully adjusted difference-in-differences model. Calendar year 2014 was selected as the reference year because it corresponds to the initial implementation period of Medicaid expansion under the Affordable Care Act. None of the adjusted comparisons reached statistical significance after Bonferroni correction for multiple testing.</w:t>
      </w:r>
    </w:p>
    <w:sectPr w:rsidR="00C3068A" w:rsidRPr="00794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60"/>
    <w:rsid w:val="0058306F"/>
    <w:rsid w:val="00794B09"/>
    <w:rsid w:val="00B87B14"/>
    <w:rsid w:val="00BA5DF8"/>
    <w:rsid w:val="00BB3D38"/>
    <w:rsid w:val="00C3068A"/>
    <w:rsid w:val="00C4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B9B9E"/>
  <w15:chartTrackingRefBased/>
  <w15:docId w15:val="{304B9099-C985-41B2-9FFF-38EB7100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260"/>
    <w:rPr>
      <w:rFonts w:eastAsiaTheme="majorEastAsia" w:cstheme="majorBidi"/>
      <w:color w:val="272727" w:themeColor="text1" w:themeTint="D8"/>
    </w:rPr>
  </w:style>
  <w:style w:type="paragraph" w:styleId="Title">
    <w:name w:val="Title"/>
    <w:basedOn w:val="Normal"/>
    <w:next w:val="Normal"/>
    <w:link w:val="TitleChar"/>
    <w:uiPriority w:val="10"/>
    <w:qFormat/>
    <w:rsid w:val="00C45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260"/>
    <w:pPr>
      <w:spacing w:before="160"/>
      <w:jc w:val="center"/>
    </w:pPr>
    <w:rPr>
      <w:i/>
      <w:iCs/>
      <w:color w:val="404040" w:themeColor="text1" w:themeTint="BF"/>
    </w:rPr>
  </w:style>
  <w:style w:type="character" w:customStyle="1" w:styleId="QuoteChar">
    <w:name w:val="Quote Char"/>
    <w:basedOn w:val="DefaultParagraphFont"/>
    <w:link w:val="Quote"/>
    <w:uiPriority w:val="29"/>
    <w:rsid w:val="00C45260"/>
    <w:rPr>
      <w:i/>
      <w:iCs/>
      <w:color w:val="404040" w:themeColor="text1" w:themeTint="BF"/>
    </w:rPr>
  </w:style>
  <w:style w:type="paragraph" w:styleId="ListParagraph">
    <w:name w:val="List Paragraph"/>
    <w:basedOn w:val="Normal"/>
    <w:uiPriority w:val="34"/>
    <w:qFormat/>
    <w:rsid w:val="00C45260"/>
    <w:pPr>
      <w:ind w:left="720"/>
      <w:contextualSpacing/>
    </w:pPr>
  </w:style>
  <w:style w:type="character" w:styleId="IntenseEmphasis">
    <w:name w:val="Intense Emphasis"/>
    <w:basedOn w:val="DefaultParagraphFont"/>
    <w:uiPriority w:val="21"/>
    <w:qFormat/>
    <w:rsid w:val="00C45260"/>
    <w:rPr>
      <w:i/>
      <w:iCs/>
      <w:color w:val="0F4761" w:themeColor="accent1" w:themeShade="BF"/>
    </w:rPr>
  </w:style>
  <w:style w:type="paragraph" w:styleId="IntenseQuote">
    <w:name w:val="Intense Quote"/>
    <w:basedOn w:val="Normal"/>
    <w:next w:val="Normal"/>
    <w:link w:val="IntenseQuoteChar"/>
    <w:uiPriority w:val="30"/>
    <w:qFormat/>
    <w:rsid w:val="00C45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260"/>
    <w:rPr>
      <w:i/>
      <w:iCs/>
      <w:color w:val="0F4761" w:themeColor="accent1" w:themeShade="BF"/>
    </w:rPr>
  </w:style>
  <w:style w:type="character" w:styleId="IntenseReference">
    <w:name w:val="Intense Reference"/>
    <w:basedOn w:val="DefaultParagraphFont"/>
    <w:uiPriority w:val="32"/>
    <w:qFormat/>
    <w:rsid w:val="00C45260"/>
    <w:rPr>
      <w:b/>
      <w:bCs/>
      <w:smallCaps/>
      <w:color w:val="0F4761" w:themeColor="accent1" w:themeShade="BF"/>
      <w:spacing w:val="5"/>
    </w:rPr>
  </w:style>
  <w:style w:type="table" w:styleId="TableGrid">
    <w:name w:val="Table Grid"/>
    <w:basedOn w:val="TableNormal"/>
    <w:uiPriority w:val="39"/>
    <w:rsid w:val="00C45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5260"/>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756</Characters>
  <Application>Microsoft Office Word</Application>
  <DocSecurity>0</DocSecurity>
  <Lines>10</Lines>
  <Paragraphs>2</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Suparna (HRSA)</dc:creator>
  <cp:keywords/>
  <dc:description/>
  <cp:lastModifiedBy>Das, Suparna (HRSA)</cp:lastModifiedBy>
  <cp:revision>2</cp:revision>
  <dcterms:created xsi:type="dcterms:W3CDTF">2026-06-16T16:46:00Z</dcterms:created>
  <dcterms:modified xsi:type="dcterms:W3CDTF">2026-06-22T16:13:00Z</dcterms:modified>
</cp:coreProperties>
</file>