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A3A0A" w14:textId="77777777" w:rsidR="00593B94" w:rsidRDefault="00593B94" w:rsidP="00593B94">
      <w:pPr>
        <w:spacing w:line="360" w:lineRule="auto"/>
        <w:jc w:val="center"/>
        <w:rPr>
          <w:rFonts w:ascii="Times New Roman" w:hAnsi="Times New Roman" w:cs="Times New Roman"/>
          <w:b/>
          <w:bCs/>
          <w:sz w:val="28"/>
        </w:rPr>
      </w:pPr>
      <w:r w:rsidRPr="00D74790">
        <w:rPr>
          <w:rFonts w:ascii="Times New Roman" w:hAnsi="Times New Roman" w:cs="Times New Roman"/>
          <w:b/>
          <w:bCs/>
          <w:sz w:val="28"/>
        </w:rPr>
        <w:t>Formation charging reveals hidden manufacturing defects in lithium-ion batteries</w:t>
      </w:r>
    </w:p>
    <w:p w14:paraId="06164E00" w14:textId="3D07322A" w:rsidR="0010708F" w:rsidRPr="00593B94" w:rsidRDefault="0010708F" w:rsidP="00AE1737">
      <w:pPr>
        <w:spacing w:line="360" w:lineRule="auto"/>
      </w:pPr>
    </w:p>
    <w:p w14:paraId="581C5324" w14:textId="77777777" w:rsidR="00593B94" w:rsidRDefault="00593B94" w:rsidP="00AE1737">
      <w:pPr>
        <w:spacing w:line="360" w:lineRule="auto"/>
      </w:pPr>
    </w:p>
    <w:p w14:paraId="708D3A3D" w14:textId="77493F2D" w:rsidR="0060538B" w:rsidRPr="00AE1737" w:rsidRDefault="0060538B" w:rsidP="00AE1737">
      <w:pPr>
        <w:spacing w:line="360" w:lineRule="auto"/>
        <w:jc w:val="center"/>
        <w:rPr>
          <w:rFonts w:ascii="Times New Roman" w:hAnsi="Times New Roman" w:cs="Times New Roman"/>
        </w:rPr>
      </w:pPr>
      <w:r w:rsidRPr="00AE1737">
        <w:rPr>
          <w:rFonts w:ascii="Times New Roman" w:hAnsi="Times New Roman" w:cs="Times New Roman"/>
        </w:rPr>
        <w:t>Table S1. 71 electric-vehicle fire incidents attributed to manufacturing defects from 2019 to 2025.</w:t>
      </w:r>
    </w:p>
    <w:tbl>
      <w:tblPr>
        <w:tblStyle w:val="a7"/>
        <w:tblW w:w="82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417"/>
        <w:gridCol w:w="1701"/>
        <w:gridCol w:w="1701"/>
        <w:gridCol w:w="1701"/>
        <w:gridCol w:w="1701"/>
      </w:tblGrid>
      <w:tr w:rsidR="0060538B" w:rsidRPr="0060538B" w14:paraId="229A0EB1" w14:textId="77777777" w:rsidTr="00F20D04">
        <w:trPr>
          <w:trHeight w:val="850"/>
          <w:jc w:val="center"/>
        </w:trPr>
        <w:tc>
          <w:tcPr>
            <w:tcW w:w="1417" w:type="dxa"/>
            <w:tcBorders>
              <w:top w:val="single" w:sz="8" w:space="0" w:color="auto"/>
              <w:bottom w:val="single" w:sz="4" w:space="0" w:color="auto"/>
            </w:tcBorders>
            <w:vAlign w:val="center"/>
            <w:hideMark/>
          </w:tcPr>
          <w:p w14:paraId="1C59A0C7" w14:textId="5306EDCC"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b/>
                <w:bCs/>
                <w:sz w:val="21"/>
                <w:szCs w:val="22"/>
              </w:rPr>
              <w:t>Time and location</w:t>
            </w:r>
          </w:p>
        </w:tc>
        <w:tc>
          <w:tcPr>
            <w:tcW w:w="1701" w:type="dxa"/>
            <w:tcBorders>
              <w:top w:val="single" w:sz="8" w:space="0" w:color="auto"/>
              <w:bottom w:val="single" w:sz="4" w:space="0" w:color="auto"/>
            </w:tcBorders>
            <w:vAlign w:val="center"/>
            <w:hideMark/>
          </w:tcPr>
          <w:p w14:paraId="3579B6C8" w14:textId="31A78410"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b/>
                <w:bCs/>
                <w:sz w:val="21"/>
                <w:szCs w:val="22"/>
              </w:rPr>
              <w:t>Vehicle model</w:t>
            </w:r>
          </w:p>
        </w:tc>
        <w:tc>
          <w:tcPr>
            <w:tcW w:w="1701" w:type="dxa"/>
            <w:tcBorders>
              <w:top w:val="single" w:sz="8" w:space="0" w:color="auto"/>
              <w:bottom w:val="single" w:sz="4" w:space="0" w:color="auto"/>
            </w:tcBorders>
            <w:vAlign w:val="center"/>
            <w:hideMark/>
          </w:tcPr>
          <w:p w14:paraId="1965E1E3" w14:textId="7AB64593"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b/>
                <w:bCs/>
                <w:sz w:val="21"/>
                <w:szCs w:val="22"/>
              </w:rPr>
              <w:t>Incident description</w:t>
            </w:r>
          </w:p>
        </w:tc>
        <w:tc>
          <w:tcPr>
            <w:tcW w:w="1701" w:type="dxa"/>
            <w:tcBorders>
              <w:top w:val="single" w:sz="8" w:space="0" w:color="auto"/>
              <w:bottom w:val="single" w:sz="4" w:space="0" w:color="auto"/>
            </w:tcBorders>
            <w:vAlign w:val="center"/>
            <w:hideMark/>
          </w:tcPr>
          <w:p w14:paraId="74978306" w14:textId="08365E36"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b/>
                <w:bCs/>
                <w:sz w:val="21"/>
                <w:szCs w:val="22"/>
              </w:rPr>
              <w:t>Defect type</w:t>
            </w:r>
          </w:p>
        </w:tc>
        <w:tc>
          <w:tcPr>
            <w:tcW w:w="1701" w:type="dxa"/>
            <w:tcBorders>
              <w:top w:val="single" w:sz="8" w:space="0" w:color="auto"/>
              <w:bottom w:val="single" w:sz="4" w:space="0" w:color="auto"/>
            </w:tcBorders>
            <w:vAlign w:val="center"/>
            <w:hideMark/>
          </w:tcPr>
          <w:p w14:paraId="738A7AE8" w14:textId="0AA281BE"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b/>
                <w:bCs/>
                <w:sz w:val="21"/>
                <w:szCs w:val="22"/>
              </w:rPr>
              <w:t>Estimated loss or recall scale</w:t>
            </w:r>
          </w:p>
        </w:tc>
      </w:tr>
      <w:tr w:rsidR="0060538B" w:rsidRPr="0060538B" w14:paraId="543AC9E1" w14:textId="77777777" w:rsidTr="00F20D04">
        <w:trPr>
          <w:trHeight w:val="850"/>
          <w:jc w:val="center"/>
        </w:trPr>
        <w:tc>
          <w:tcPr>
            <w:tcW w:w="1417" w:type="dxa"/>
            <w:tcBorders>
              <w:top w:val="single" w:sz="4" w:space="0" w:color="auto"/>
            </w:tcBorders>
            <w:hideMark/>
          </w:tcPr>
          <w:p w14:paraId="29559B7A" w14:textId="72C4B006"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2019–2021, United States</w:t>
            </w:r>
          </w:p>
        </w:tc>
        <w:tc>
          <w:tcPr>
            <w:tcW w:w="1701" w:type="dxa"/>
            <w:tcBorders>
              <w:top w:val="single" w:sz="4" w:space="0" w:color="auto"/>
            </w:tcBorders>
            <w:hideMark/>
          </w:tcPr>
          <w:p w14:paraId="543A60D3" w14:textId="072BA783"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Chevrolet Bolt EV</w:t>
            </w:r>
          </w:p>
        </w:tc>
        <w:tc>
          <w:tcPr>
            <w:tcW w:w="1701" w:type="dxa"/>
            <w:tcBorders>
              <w:top w:val="single" w:sz="4" w:space="0" w:color="auto"/>
            </w:tcBorders>
            <w:hideMark/>
          </w:tcPr>
          <w:p w14:paraId="5EA15FC2" w14:textId="3B60FF8F"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13 publicly reported fire incidents</w:t>
            </w:r>
          </w:p>
        </w:tc>
        <w:tc>
          <w:tcPr>
            <w:tcW w:w="1701" w:type="dxa"/>
            <w:tcBorders>
              <w:top w:val="single" w:sz="4" w:space="0" w:color="auto"/>
            </w:tcBorders>
            <w:hideMark/>
          </w:tcPr>
          <w:p w14:paraId="6FE37EE6" w14:textId="7012F19A" w:rsidR="0060538B" w:rsidRPr="0060538B" w:rsidRDefault="004165F0" w:rsidP="00AE1737">
            <w:pPr>
              <w:spacing w:line="360" w:lineRule="auto"/>
              <w:jc w:val="center"/>
              <w:rPr>
                <w:rFonts w:ascii="Times New Roman" w:hAnsi="Times New Roman" w:cs="Times New Roman"/>
                <w:sz w:val="21"/>
                <w:szCs w:val="22"/>
              </w:rPr>
            </w:pPr>
            <w:r>
              <w:rPr>
                <w:rFonts w:ascii="Times New Roman" w:hAnsi="Times New Roman" w:cs="Times New Roman"/>
                <w:sz w:val="21"/>
                <w:szCs w:val="22"/>
              </w:rPr>
              <w:t xml:space="preserve">Anode </w:t>
            </w:r>
            <w:r w:rsidR="0060538B" w:rsidRPr="0060538B">
              <w:rPr>
                <w:rFonts w:ascii="Times New Roman" w:hAnsi="Times New Roman" w:cs="Times New Roman"/>
                <w:sz w:val="21"/>
                <w:szCs w:val="22"/>
              </w:rPr>
              <w:t>tab tearing and separator folding</w:t>
            </w:r>
          </w:p>
        </w:tc>
        <w:tc>
          <w:tcPr>
            <w:tcW w:w="1701" w:type="dxa"/>
            <w:tcBorders>
              <w:top w:val="single" w:sz="4" w:space="0" w:color="auto"/>
            </w:tcBorders>
            <w:hideMark/>
          </w:tcPr>
          <w:p w14:paraId="05882D34" w14:textId="52BB79B1"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Approximately US$</w:t>
            </w:r>
            <w:r w:rsidR="004165F0">
              <w:rPr>
                <w:rFonts w:ascii="Times New Roman" w:hAnsi="Times New Roman" w:cs="Times New Roman"/>
                <w:sz w:val="21"/>
                <w:szCs w:val="22"/>
              </w:rPr>
              <w:t xml:space="preserve"> </w:t>
            </w:r>
            <w:r w:rsidRPr="0060538B">
              <w:rPr>
                <w:rFonts w:ascii="Times New Roman" w:hAnsi="Times New Roman" w:cs="Times New Roman"/>
                <w:sz w:val="21"/>
                <w:szCs w:val="22"/>
              </w:rPr>
              <w:t>2 billion</w:t>
            </w:r>
          </w:p>
        </w:tc>
      </w:tr>
      <w:tr w:rsidR="0060538B" w:rsidRPr="0060538B" w14:paraId="67D51B53" w14:textId="77777777" w:rsidTr="00F20D04">
        <w:trPr>
          <w:trHeight w:val="850"/>
          <w:jc w:val="center"/>
        </w:trPr>
        <w:tc>
          <w:tcPr>
            <w:tcW w:w="1417" w:type="dxa"/>
            <w:hideMark/>
          </w:tcPr>
          <w:p w14:paraId="64A7975B" w14:textId="5721FF31"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2019–2021, Korea and Europe</w:t>
            </w:r>
          </w:p>
        </w:tc>
        <w:tc>
          <w:tcPr>
            <w:tcW w:w="1701" w:type="dxa"/>
            <w:hideMark/>
          </w:tcPr>
          <w:p w14:paraId="0C667C04" w14:textId="7F8C374C"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Hyundai Kona Electric</w:t>
            </w:r>
          </w:p>
        </w:tc>
        <w:tc>
          <w:tcPr>
            <w:tcW w:w="1701" w:type="dxa"/>
            <w:hideMark/>
          </w:tcPr>
          <w:p w14:paraId="52B065E4" w14:textId="2A52F7A9"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At least 13 fire incidents</w:t>
            </w:r>
          </w:p>
        </w:tc>
        <w:tc>
          <w:tcPr>
            <w:tcW w:w="1701" w:type="dxa"/>
            <w:hideMark/>
          </w:tcPr>
          <w:p w14:paraId="5441BDC2" w14:textId="5A8E28B4" w:rsidR="0060538B" w:rsidRPr="0060538B" w:rsidRDefault="004165F0" w:rsidP="00AE1737">
            <w:pPr>
              <w:spacing w:line="360" w:lineRule="auto"/>
              <w:jc w:val="center"/>
              <w:rPr>
                <w:rFonts w:ascii="Times New Roman" w:hAnsi="Times New Roman" w:cs="Times New Roman"/>
                <w:sz w:val="21"/>
                <w:szCs w:val="22"/>
              </w:rPr>
            </w:pPr>
            <w:r>
              <w:rPr>
                <w:rFonts w:ascii="Times New Roman" w:hAnsi="Times New Roman" w:cs="Times New Roman"/>
                <w:sz w:val="21"/>
                <w:szCs w:val="22"/>
              </w:rPr>
              <w:t xml:space="preserve">Anode </w:t>
            </w:r>
            <w:r w:rsidR="0060538B" w:rsidRPr="0060538B">
              <w:rPr>
                <w:rFonts w:ascii="Times New Roman" w:hAnsi="Times New Roman" w:cs="Times New Roman"/>
                <w:sz w:val="21"/>
                <w:szCs w:val="22"/>
              </w:rPr>
              <w:t>tab folding</w:t>
            </w:r>
          </w:p>
        </w:tc>
        <w:tc>
          <w:tcPr>
            <w:tcW w:w="1701" w:type="dxa"/>
            <w:hideMark/>
          </w:tcPr>
          <w:p w14:paraId="7919A4D3" w14:textId="7D38635F"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Approximately US$</w:t>
            </w:r>
            <w:r w:rsidR="004165F0">
              <w:rPr>
                <w:rFonts w:ascii="Times New Roman" w:hAnsi="Times New Roman" w:cs="Times New Roman"/>
                <w:sz w:val="21"/>
                <w:szCs w:val="22"/>
              </w:rPr>
              <w:t xml:space="preserve"> </w:t>
            </w:r>
            <w:r w:rsidRPr="0060538B">
              <w:rPr>
                <w:rFonts w:ascii="Times New Roman" w:hAnsi="Times New Roman" w:cs="Times New Roman"/>
                <w:sz w:val="21"/>
                <w:szCs w:val="22"/>
              </w:rPr>
              <w:t>0.9 billion</w:t>
            </w:r>
          </w:p>
        </w:tc>
      </w:tr>
      <w:tr w:rsidR="0060538B" w:rsidRPr="0060538B" w14:paraId="70066899" w14:textId="77777777" w:rsidTr="00F20D04">
        <w:trPr>
          <w:trHeight w:val="850"/>
          <w:jc w:val="center"/>
        </w:trPr>
        <w:tc>
          <w:tcPr>
            <w:tcW w:w="1417" w:type="dxa"/>
            <w:hideMark/>
          </w:tcPr>
          <w:p w14:paraId="38CF2807" w14:textId="21C4DE53"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2020, Europe</w:t>
            </w:r>
          </w:p>
        </w:tc>
        <w:tc>
          <w:tcPr>
            <w:tcW w:w="1701" w:type="dxa"/>
            <w:hideMark/>
          </w:tcPr>
          <w:p w14:paraId="7E3F5C19" w14:textId="0C234BE8"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Ford Kuga PHEV</w:t>
            </w:r>
          </w:p>
        </w:tc>
        <w:tc>
          <w:tcPr>
            <w:tcW w:w="1701" w:type="dxa"/>
            <w:hideMark/>
          </w:tcPr>
          <w:p w14:paraId="5FBD16D4" w14:textId="5E4C8EAC"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7 publicly reported fire incidents</w:t>
            </w:r>
          </w:p>
        </w:tc>
        <w:tc>
          <w:tcPr>
            <w:tcW w:w="1701" w:type="dxa"/>
            <w:hideMark/>
          </w:tcPr>
          <w:p w14:paraId="7421A4A5" w14:textId="340AC2C1"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Partic</w:t>
            </w:r>
            <w:r w:rsidR="004165F0">
              <w:rPr>
                <w:rFonts w:ascii="Times New Roman" w:hAnsi="Times New Roman" w:cs="Times New Roman"/>
                <w:sz w:val="21"/>
                <w:szCs w:val="22"/>
              </w:rPr>
              <w:t>le</w:t>
            </w:r>
            <w:r w:rsidRPr="0060538B">
              <w:rPr>
                <w:rFonts w:ascii="Times New Roman" w:hAnsi="Times New Roman" w:cs="Times New Roman"/>
                <w:sz w:val="21"/>
                <w:szCs w:val="22"/>
              </w:rPr>
              <w:t xml:space="preserve"> contamination</w:t>
            </w:r>
          </w:p>
        </w:tc>
        <w:tc>
          <w:tcPr>
            <w:tcW w:w="1701" w:type="dxa"/>
            <w:hideMark/>
          </w:tcPr>
          <w:p w14:paraId="49B641C8" w14:textId="67CB019A"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More than 20,000 vehicles recalled</w:t>
            </w:r>
          </w:p>
        </w:tc>
      </w:tr>
      <w:tr w:rsidR="0060538B" w:rsidRPr="0060538B" w14:paraId="3489E4B6" w14:textId="77777777" w:rsidTr="00F20D04">
        <w:trPr>
          <w:trHeight w:val="850"/>
          <w:jc w:val="center"/>
        </w:trPr>
        <w:tc>
          <w:tcPr>
            <w:tcW w:w="1417" w:type="dxa"/>
            <w:hideMark/>
          </w:tcPr>
          <w:p w14:paraId="14A5CCCD" w14:textId="694401A0"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2022–2024, North America</w:t>
            </w:r>
          </w:p>
        </w:tc>
        <w:tc>
          <w:tcPr>
            <w:tcW w:w="1701" w:type="dxa"/>
            <w:hideMark/>
          </w:tcPr>
          <w:p w14:paraId="37AE8E2B" w14:textId="4BAFD896"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Chrysler Pacifica PHEV</w:t>
            </w:r>
          </w:p>
        </w:tc>
        <w:tc>
          <w:tcPr>
            <w:tcW w:w="1701" w:type="dxa"/>
            <w:hideMark/>
          </w:tcPr>
          <w:p w14:paraId="3E90DC37" w14:textId="6C065E24"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At least 19 fire incidents</w:t>
            </w:r>
          </w:p>
        </w:tc>
        <w:tc>
          <w:tcPr>
            <w:tcW w:w="1701" w:type="dxa"/>
            <w:hideMark/>
          </w:tcPr>
          <w:p w14:paraId="565D0697" w14:textId="48B494C1" w:rsidR="0060538B" w:rsidRPr="0060538B" w:rsidRDefault="004165F0" w:rsidP="00AE1737">
            <w:pPr>
              <w:spacing w:line="360" w:lineRule="auto"/>
              <w:jc w:val="center"/>
              <w:rPr>
                <w:rFonts w:ascii="Times New Roman" w:hAnsi="Times New Roman" w:cs="Times New Roman"/>
                <w:sz w:val="21"/>
                <w:szCs w:val="22"/>
              </w:rPr>
            </w:pPr>
            <w:r>
              <w:rPr>
                <w:rFonts w:ascii="Times New Roman" w:hAnsi="Times New Roman" w:cs="Times New Roman"/>
                <w:sz w:val="21"/>
                <w:szCs w:val="22"/>
              </w:rPr>
              <w:t xml:space="preserve">Anode </w:t>
            </w:r>
            <w:r w:rsidR="0060538B" w:rsidRPr="0060538B">
              <w:rPr>
                <w:rFonts w:ascii="Times New Roman" w:hAnsi="Times New Roman" w:cs="Times New Roman"/>
                <w:sz w:val="21"/>
                <w:szCs w:val="22"/>
              </w:rPr>
              <w:t>tab tearing and tab folding</w:t>
            </w:r>
          </w:p>
        </w:tc>
        <w:tc>
          <w:tcPr>
            <w:tcW w:w="1701" w:type="dxa"/>
            <w:hideMark/>
          </w:tcPr>
          <w:p w14:paraId="49D2BC2D" w14:textId="6D880F50"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More than 43,000 vehicles recalled</w:t>
            </w:r>
          </w:p>
        </w:tc>
      </w:tr>
      <w:tr w:rsidR="0060538B" w:rsidRPr="0060538B" w14:paraId="5EF70BA1" w14:textId="77777777" w:rsidTr="00F20D04">
        <w:trPr>
          <w:trHeight w:val="850"/>
          <w:jc w:val="center"/>
        </w:trPr>
        <w:tc>
          <w:tcPr>
            <w:tcW w:w="1417" w:type="dxa"/>
            <w:tcBorders>
              <w:bottom w:val="single" w:sz="8" w:space="0" w:color="auto"/>
            </w:tcBorders>
            <w:hideMark/>
          </w:tcPr>
          <w:p w14:paraId="174D0BCC" w14:textId="7EA1DDB9"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2024–2025, United States</w:t>
            </w:r>
          </w:p>
        </w:tc>
        <w:tc>
          <w:tcPr>
            <w:tcW w:w="1701" w:type="dxa"/>
            <w:tcBorders>
              <w:bottom w:val="single" w:sz="8" w:space="0" w:color="auto"/>
            </w:tcBorders>
            <w:hideMark/>
          </w:tcPr>
          <w:p w14:paraId="4C1CCD78" w14:textId="32F1580B"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Jeep Wrangler 4xe and Grand Cherokee 4xe</w:t>
            </w:r>
          </w:p>
        </w:tc>
        <w:tc>
          <w:tcPr>
            <w:tcW w:w="1701" w:type="dxa"/>
            <w:tcBorders>
              <w:bottom w:val="single" w:sz="8" w:space="0" w:color="auto"/>
            </w:tcBorders>
            <w:hideMark/>
          </w:tcPr>
          <w:p w14:paraId="080349CB" w14:textId="15ED853B"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At least 19 fire incidents</w:t>
            </w:r>
          </w:p>
        </w:tc>
        <w:tc>
          <w:tcPr>
            <w:tcW w:w="1701" w:type="dxa"/>
            <w:tcBorders>
              <w:bottom w:val="single" w:sz="8" w:space="0" w:color="auto"/>
            </w:tcBorders>
            <w:hideMark/>
          </w:tcPr>
          <w:p w14:paraId="0132A905" w14:textId="30B460B9"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Separator damage</w:t>
            </w:r>
          </w:p>
        </w:tc>
        <w:tc>
          <w:tcPr>
            <w:tcW w:w="1701" w:type="dxa"/>
            <w:tcBorders>
              <w:bottom w:val="single" w:sz="8" w:space="0" w:color="auto"/>
            </w:tcBorders>
            <w:hideMark/>
          </w:tcPr>
          <w:p w14:paraId="0F8AE81B" w14:textId="1FCB94A8" w:rsidR="0060538B" w:rsidRPr="0060538B" w:rsidRDefault="0060538B" w:rsidP="00AE1737">
            <w:pPr>
              <w:spacing w:line="360" w:lineRule="auto"/>
              <w:jc w:val="center"/>
              <w:rPr>
                <w:rFonts w:ascii="Times New Roman" w:hAnsi="Times New Roman" w:cs="Times New Roman"/>
                <w:sz w:val="21"/>
                <w:szCs w:val="22"/>
              </w:rPr>
            </w:pPr>
            <w:r w:rsidRPr="0060538B">
              <w:rPr>
                <w:rFonts w:ascii="Times New Roman" w:hAnsi="Times New Roman" w:cs="Times New Roman"/>
                <w:sz w:val="21"/>
                <w:szCs w:val="22"/>
              </w:rPr>
              <w:t>More than 375,000 vehicles recalled</w:t>
            </w:r>
          </w:p>
        </w:tc>
      </w:tr>
    </w:tbl>
    <w:p w14:paraId="0251EF65" w14:textId="6DF6899D" w:rsidR="0060538B" w:rsidRDefault="0060538B" w:rsidP="00AE1737">
      <w:pPr>
        <w:spacing w:line="360" w:lineRule="auto"/>
        <w:rPr>
          <w:rFonts w:ascii="Times New Roman" w:hAnsi="Times New Roman" w:cs="Times New Roman"/>
        </w:rPr>
      </w:pPr>
    </w:p>
    <w:p w14:paraId="260A5142" w14:textId="5A37A57C" w:rsidR="00AE1737" w:rsidRDefault="00AE1737" w:rsidP="00AE1737">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23D469DA" wp14:editId="7ABAD018">
            <wp:extent cx="5274310" cy="35972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97275"/>
                    </a:xfrm>
                    <a:prstGeom prst="rect">
                      <a:avLst/>
                    </a:prstGeom>
                  </pic:spPr>
                </pic:pic>
              </a:graphicData>
            </a:graphic>
          </wp:inline>
        </w:drawing>
      </w:r>
    </w:p>
    <w:p w14:paraId="3D29E82F" w14:textId="33864186" w:rsidR="00AE1737" w:rsidRDefault="00AE1737" w:rsidP="00593B94">
      <w:pPr>
        <w:spacing w:line="360" w:lineRule="auto"/>
        <w:jc w:val="both"/>
        <w:rPr>
          <w:rFonts w:ascii="Times New Roman" w:hAnsi="Times New Roman" w:cs="Times New Roman"/>
        </w:rPr>
      </w:pPr>
      <w:r w:rsidRPr="00593B94">
        <w:rPr>
          <w:rFonts w:ascii="Times New Roman" w:hAnsi="Times New Roman" w:cs="Times New Roman" w:hint="eastAsia"/>
          <w:b/>
          <w:bCs/>
        </w:rPr>
        <w:t>F</w:t>
      </w:r>
      <w:r w:rsidRPr="00593B94">
        <w:rPr>
          <w:rFonts w:ascii="Times New Roman" w:hAnsi="Times New Roman" w:cs="Times New Roman"/>
          <w:b/>
          <w:bCs/>
        </w:rPr>
        <w:t>igure S1</w:t>
      </w:r>
      <w:r>
        <w:rPr>
          <w:rFonts w:ascii="Times New Roman" w:hAnsi="Times New Roman" w:cs="Times New Roman"/>
        </w:rPr>
        <w:t xml:space="preserve">. Recent progress in battery defect detection. </w:t>
      </w:r>
      <w:r w:rsidRPr="00AE1737">
        <w:rPr>
          <w:rFonts w:ascii="Times New Roman" w:hAnsi="Times New Roman" w:cs="Times New Roman"/>
        </w:rPr>
        <w:t xml:space="preserve">We searched the Web of Science and the China Patent Network using the keywords </w:t>
      </w:r>
      <w:r>
        <w:rPr>
          <w:rFonts w:ascii="Times New Roman" w:hAnsi="Times New Roman" w:cs="Times New Roman"/>
        </w:rPr>
        <w:t>“</w:t>
      </w:r>
      <w:r w:rsidRPr="00AE1737">
        <w:rPr>
          <w:rFonts w:ascii="Times New Roman" w:hAnsi="Times New Roman" w:cs="Times New Roman"/>
        </w:rPr>
        <w:t xml:space="preserve">battery </w:t>
      </w:r>
      <w:r>
        <w:rPr>
          <w:rFonts w:ascii="Times New Roman" w:hAnsi="Times New Roman" w:cs="Times New Roman"/>
        </w:rPr>
        <w:t>sorting”</w:t>
      </w:r>
      <w:r w:rsidRPr="00AE1737">
        <w:rPr>
          <w:rFonts w:ascii="Times New Roman" w:hAnsi="Times New Roman" w:cs="Times New Roman"/>
        </w:rPr>
        <w:t xml:space="preserve"> and </w:t>
      </w:r>
      <w:r>
        <w:rPr>
          <w:rFonts w:ascii="Times New Roman" w:hAnsi="Times New Roman" w:cs="Times New Roman"/>
        </w:rPr>
        <w:t>“</w:t>
      </w:r>
      <w:r w:rsidRPr="00AE1737">
        <w:rPr>
          <w:rFonts w:ascii="Times New Roman" w:hAnsi="Times New Roman" w:cs="Times New Roman"/>
        </w:rPr>
        <w:t>defect detection</w:t>
      </w:r>
      <w:r>
        <w:rPr>
          <w:rFonts w:ascii="Times New Roman" w:hAnsi="Times New Roman" w:cs="Times New Roman"/>
        </w:rPr>
        <w:t>”</w:t>
      </w:r>
      <w:r w:rsidRPr="00AE1737">
        <w:rPr>
          <w:rFonts w:ascii="Times New Roman" w:hAnsi="Times New Roman" w:cs="Times New Roman"/>
        </w:rPr>
        <w:t xml:space="preserve"> from 2021 to March 2026, and identified 113 papers and patents. In recent years, attention to this issue has been steadily growing in both academia and industry. Overall, existing methods for detecting manufacturing defects can be broadly classified into two categories: one relies on multi‑dimensional inspection equipment, and the other relies on electrical response features during battery charge–discharge processes.</w:t>
      </w:r>
    </w:p>
    <w:p w14:paraId="464A7AD8" w14:textId="0922BA94" w:rsidR="00AE1737" w:rsidRDefault="00AE1737" w:rsidP="00593B94">
      <w:pPr>
        <w:spacing w:line="360" w:lineRule="auto"/>
        <w:jc w:val="both"/>
        <w:rPr>
          <w:rFonts w:ascii="Times New Roman" w:hAnsi="Times New Roman" w:cs="Times New Roman"/>
        </w:rPr>
      </w:pPr>
    </w:p>
    <w:p w14:paraId="145C7FD5" w14:textId="3BA0CD78" w:rsidR="005D3078" w:rsidRDefault="005D3078" w:rsidP="00593B94">
      <w:pPr>
        <w:spacing w:line="360" w:lineRule="auto"/>
        <w:jc w:val="both"/>
        <w:rPr>
          <w:rFonts w:ascii="Times New Roman" w:hAnsi="Times New Roman" w:cs="Times New Roman"/>
        </w:rPr>
      </w:pPr>
    </w:p>
    <w:p w14:paraId="22F74C30" w14:textId="7074D24C" w:rsidR="005D3078" w:rsidRDefault="005D3078" w:rsidP="00593B94">
      <w:pPr>
        <w:spacing w:line="360" w:lineRule="auto"/>
        <w:jc w:val="both"/>
        <w:rPr>
          <w:rFonts w:ascii="Times New Roman" w:hAnsi="Times New Roman" w:cs="Times New Roman"/>
        </w:rPr>
      </w:pPr>
      <w:r>
        <w:rPr>
          <w:rFonts w:ascii="Times New Roman" w:hAnsi="Times New Roman" w:cs="Times New Roman" w:hint="eastAsia"/>
          <w:noProof/>
        </w:rPr>
        <w:lastRenderedPageBreak/>
        <w:drawing>
          <wp:inline distT="0" distB="0" distL="0" distR="0" wp14:anchorId="30D415B0" wp14:editId="3C1799D2">
            <wp:extent cx="5274310" cy="23964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2396490"/>
                    </a:xfrm>
                    <a:prstGeom prst="rect">
                      <a:avLst/>
                    </a:prstGeom>
                  </pic:spPr>
                </pic:pic>
              </a:graphicData>
            </a:graphic>
          </wp:inline>
        </w:drawing>
      </w:r>
    </w:p>
    <w:p w14:paraId="4CB4929D" w14:textId="6BDE94D0" w:rsidR="005D3078" w:rsidRDefault="005D3078" w:rsidP="00593B94">
      <w:pPr>
        <w:spacing w:line="360" w:lineRule="auto"/>
        <w:jc w:val="both"/>
        <w:rPr>
          <w:rFonts w:ascii="Times New Roman" w:hAnsi="Times New Roman" w:cs="Times New Roman"/>
        </w:rPr>
      </w:pPr>
      <w:r w:rsidRPr="005D3078">
        <w:rPr>
          <w:rFonts w:ascii="Times New Roman" w:hAnsi="Times New Roman" w:cs="Times New Roman" w:hint="eastAsia"/>
          <w:b/>
          <w:bCs/>
        </w:rPr>
        <w:t>Fi</w:t>
      </w:r>
      <w:r w:rsidRPr="005D3078">
        <w:rPr>
          <w:rFonts w:ascii="Times New Roman" w:hAnsi="Times New Roman" w:cs="Times New Roman"/>
          <w:b/>
          <w:bCs/>
        </w:rPr>
        <w:t>gure S2.</w:t>
      </w:r>
      <w:r>
        <w:rPr>
          <w:rFonts w:ascii="Times New Roman" w:hAnsi="Times New Roman" w:cs="Times New Roman"/>
        </w:rPr>
        <w:t xml:space="preserve"> The voltage-time curves of 55 cells during </w:t>
      </w:r>
      <w:r w:rsidRPr="00A60200">
        <w:rPr>
          <w:rFonts w:ascii="Times New Roman" w:hAnsi="Times New Roman" w:cs="Times New Roman"/>
          <w:szCs w:val="24"/>
        </w:rPr>
        <w:t xml:space="preserve">three-stage </w:t>
      </w:r>
      <w:r>
        <w:rPr>
          <w:rFonts w:ascii="Times New Roman" w:hAnsi="Times New Roman" w:cs="Times New Roman"/>
          <w:szCs w:val="24"/>
        </w:rPr>
        <w:t>CC</w:t>
      </w:r>
      <w:r w:rsidRPr="00A60200">
        <w:rPr>
          <w:rFonts w:ascii="Times New Roman" w:hAnsi="Times New Roman" w:cs="Times New Roman"/>
          <w:szCs w:val="24"/>
        </w:rPr>
        <w:t xml:space="preserve"> charge </w:t>
      </w:r>
      <w:r>
        <w:rPr>
          <w:rFonts w:ascii="Times New Roman" w:hAnsi="Times New Roman" w:cs="Times New Roman"/>
          <w:szCs w:val="24"/>
        </w:rPr>
        <w:t>and</w:t>
      </w:r>
      <w:r w:rsidRPr="00A60200">
        <w:rPr>
          <w:rFonts w:ascii="Times New Roman" w:hAnsi="Times New Roman" w:cs="Times New Roman"/>
          <w:szCs w:val="24"/>
        </w:rPr>
        <w:t xml:space="preserve"> CCCV</w:t>
      </w:r>
      <w:r>
        <w:rPr>
          <w:rFonts w:ascii="Times New Roman" w:hAnsi="Times New Roman" w:cs="Times New Roman"/>
          <w:szCs w:val="24"/>
        </w:rPr>
        <w:t xml:space="preserve"> </w:t>
      </w:r>
      <w:r w:rsidRPr="00A60200">
        <w:rPr>
          <w:rFonts w:ascii="Times New Roman" w:hAnsi="Times New Roman" w:cs="Times New Roman"/>
          <w:szCs w:val="24"/>
        </w:rPr>
        <w:t xml:space="preserve">charge </w:t>
      </w:r>
      <w:r>
        <w:rPr>
          <w:rFonts w:ascii="Times New Roman" w:hAnsi="Times New Roman" w:cs="Times New Roman"/>
          <w:szCs w:val="24"/>
        </w:rPr>
        <w:t>+</w:t>
      </w:r>
      <w:r w:rsidRPr="00A60200">
        <w:rPr>
          <w:rFonts w:ascii="Times New Roman" w:hAnsi="Times New Roman" w:cs="Times New Roman"/>
          <w:szCs w:val="24"/>
        </w:rPr>
        <w:t xml:space="preserve"> </w:t>
      </w:r>
      <w:r>
        <w:rPr>
          <w:rFonts w:ascii="Times New Roman" w:hAnsi="Times New Roman" w:cs="Times New Roman"/>
          <w:szCs w:val="24"/>
        </w:rPr>
        <w:t>CC</w:t>
      </w:r>
      <w:r w:rsidRPr="00A60200">
        <w:rPr>
          <w:rFonts w:ascii="Times New Roman" w:hAnsi="Times New Roman" w:cs="Times New Roman"/>
          <w:szCs w:val="24"/>
        </w:rPr>
        <w:t xml:space="preserve"> discharge </w:t>
      </w:r>
      <w:r>
        <w:rPr>
          <w:rFonts w:ascii="Times New Roman" w:hAnsi="Times New Roman" w:cs="Times New Roman"/>
          <w:szCs w:val="24"/>
        </w:rPr>
        <w:t>stages</w:t>
      </w:r>
      <w:r>
        <w:rPr>
          <w:rFonts w:ascii="Times New Roman" w:hAnsi="Times New Roman" w:cs="Times New Roman"/>
        </w:rPr>
        <w:t xml:space="preserve">. </w:t>
      </w:r>
      <w:r w:rsidRPr="005D3078">
        <w:rPr>
          <w:rFonts w:ascii="Times New Roman" w:hAnsi="Times New Roman" w:cs="Times New Roman"/>
        </w:rPr>
        <w:t>Although the curves of batteries with Class G metallic foreign</w:t>
      </w:r>
      <w:r>
        <w:rPr>
          <w:rFonts w:ascii="Times New Roman" w:hAnsi="Times New Roman" w:cs="Times New Roman"/>
        </w:rPr>
        <w:t xml:space="preserve"> matter</w:t>
      </w:r>
      <w:r w:rsidRPr="005D3078">
        <w:rPr>
          <w:rFonts w:ascii="Times New Roman" w:hAnsi="Times New Roman" w:cs="Times New Roman"/>
        </w:rPr>
        <w:t xml:space="preserve"> defects exhibit a certain deviation from those of normal batteries, the differences for batteries with other types of defects are not pronounced. Overall</w:t>
      </w:r>
      <w:r>
        <w:rPr>
          <w:rFonts w:ascii="Times New Roman" w:hAnsi="Times New Roman" w:cs="Times New Roman"/>
        </w:rPr>
        <w:t xml:space="preserve">, </w:t>
      </w:r>
      <w:r>
        <w:rPr>
          <w:rFonts w:ascii="Times New Roman" w:hAnsi="Times New Roman" w:cs="Times New Roman"/>
          <w:szCs w:val="24"/>
        </w:rPr>
        <w:t>t</w:t>
      </w:r>
      <w:r w:rsidRPr="00BA56E8">
        <w:rPr>
          <w:rFonts w:ascii="Times New Roman" w:hAnsi="Times New Roman" w:cs="Times New Roman"/>
          <w:szCs w:val="24"/>
        </w:rPr>
        <w:t>he charge–discharge curves of defective cells were similar to those of normal cells, without any significant differences or abnormal phenomena such as sudden voltage drops</w:t>
      </w:r>
      <w:r>
        <w:rPr>
          <w:rFonts w:ascii="Times New Roman" w:hAnsi="Times New Roman" w:cs="Times New Roman"/>
          <w:szCs w:val="24"/>
        </w:rPr>
        <w:t>.</w:t>
      </w:r>
    </w:p>
    <w:p w14:paraId="5AA4BF87" w14:textId="77777777" w:rsidR="005D3078" w:rsidRPr="005D3078" w:rsidRDefault="005D3078" w:rsidP="00593B94">
      <w:pPr>
        <w:spacing w:line="360" w:lineRule="auto"/>
        <w:jc w:val="both"/>
        <w:rPr>
          <w:rFonts w:ascii="Times New Roman" w:hAnsi="Times New Roman" w:cs="Times New Roman" w:hint="eastAsia"/>
        </w:rPr>
      </w:pPr>
    </w:p>
    <w:p w14:paraId="2A571BFD" w14:textId="77777777" w:rsidR="00593B94" w:rsidRDefault="00593B94" w:rsidP="00593B94">
      <w:pPr>
        <w:spacing w:line="360" w:lineRule="auto"/>
        <w:jc w:val="both"/>
        <w:rPr>
          <w:rFonts w:ascii="Times New Roman" w:hAnsi="Times New Roman" w:cs="Times New Roman"/>
        </w:rPr>
      </w:pPr>
    </w:p>
    <w:p w14:paraId="648F9CCA" w14:textId="6A5A4E14" w:rsidR="00AE1737" w:rsidRDefault="00C66CF0" w:rsidP="00593B94">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257232B4" wp14:editId="5A890274">
            <wp:extent cx="5274310" cy="234696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346960"/>
                    </a:xfrm>
                    <a:prstGeom prst="rect">
                      <a:avLst/>
                    </a:prstGeom>
                  </pic:spPr>
                </pic:pic>
              </a:graphicData>
            </a:graphic>
          </wp:inline>
        </w:drawing>
      </w:r>
    </w:p>
    <w:p w14:paraId="435A8C6F" w14:textId="752EC4F9" w:rsidR="00AE1737" w:rsidRDefault="00C66CF0" w:rsidP="00593B94">
      <w:pPr>
        <w:spacing w:line="360" w:lineRule="auto"/>
        <w:jc w:val="both"/>
        <w:rPr>
          <w:rFonts w:ascii="Times New Roman" w:hAnsi="Times New Roman" w:cs="Times New Roman"/>
        </w:rPr>
      </w:pPr>
      <w:r w:rsidRPr="00593B94">
        <w:rPr>
          <w:rFonts w:ascii="Times New Roman" w:hAnsi="Times New Roman" w:cs="Times New Roman"/>
          <w:b/>
          <w:bCs/>
        </w:rPr>
        <w:t>Figure S3</w:t>
      </w:r>
      <w:r>
        <w:rPr>
          <w:rFonts w:ascii="Times New Roman" w:hAnsi="Times New Roman" w:cs="Times New Roman"/>
        </w:rPr>
        <w:t xml:space="preserve">. </w:t>
      </w:r>
      <w:r w:rsidRPr="00C66CF0">
        <w:rPr>
          <w:rFonts w:ascii="Times New Roman" w:hAnsi="Times New Roman" w:cs="Times New Roman"/>
        </w:rPr>
        <w:t xml:space="preserve">SEM characterization after cell disassembly. (a) Central anode and cathode regions of a normal cell. (b) Central anode region of a metallic-foreign-matter cell. (c) Edge anode region of an edge active-material-loss cell. (d) Tab-side anode region of a tab-tearing cell. (e) Central anode region of an electrode-cracking cell. (f) Central anode </w:t>
      </w:r>
      <w:r w:rsidRPr="00C66CF0">
        <w:rPr>
          <w:rFonts w:ascii="Times New Roman" w:hAnsi="Times New Roman" w:cs="Times New Roman"/>
        </w:rPr>
        <w:lastRenderedPageBreak/>
        <w:t>region of a separator-pore-closure cell.</w:t>
      </w:r>
      <w:r>
        <w:rPr>
          <w:rFonts w:ascii="Times New Roman" w:hAnsi="Times New Roman" w:cs="Times New Roman"/>
        </w:rPr>
        <w:t xml:space="preserve"> </w:t>
      </w:r>
      <w:r w:rsidRPr="00ED511A">
        <w:rPr>
          <w:rFonts w:ascii="Times New Roman" w:hAnsi="Times New Roman" w:cs="Times New Roman"/>
          <w:szCs w:val="24"/>
        </w:rPr>
        <w:t xml:space="preserve">These observations indicate that the common </w:t>
      </w:r>
      <m:oMath>
        <m:sSub>
          <m:sSubPr>
            <m:ctrlPr>
              <w:rPr>
                <w:rFonts w:ascii="Cambria Math" w:hAnsi="Cambria Math"/>
                <w:i/>
              </w:rPr>
            </m:ctrlPr>
          </m:sSubPr>
          <m:e>
            <m:r>
              <w:rPr>
                <w:rFonts w:ascii="Cambria Math" w:hAnsi="Cambria Math"/>
              </w:rPr>
              <m:t>r</m:t>
            </m:r>
          </m:e>
          <m:sub>
            <m:r>
              <w:rPr>
                <w:rFonts w:ascii="Cambria Math" w:hAnsi="Cambria Math"/>
              </w:rPr>
              <m:t>CV</m:t>
            </m:r>
          </m:sub>
        </m:sSub>
      </m:oMath>
      <w:r>
        <w:rPr>
          <w:rFonts w:ascii="Times New Roman" w:hAnsi="Times New Roman" w:cs="Times New Roman" w:hint="eastAsia"/>
        </w:rPr>
        <w:t xml:space="preserve"> </w:t>
      </w:r>
      <w:r w:rsidRPr="00ED511A">
        <w:rPr>
          <w:rFonts w:ascii="Times New Roman" w:hAnsi="Times New Roman" w:cs="Times New Roman"/>
          <w:szCs w:val="24"/>
        </w:rPr>
        <w:t>shift does not arise from a single defect morphology.</w:t>
      </w:r>
    </w:p>
    <w:p w14:paraId="049F5531" w14:textId="4670A2E4" w:rsidR="00AE1737" w:rsidRDefault="00AE1737" w:rsidP="00593B94">
      <w:pPr>
        <w:spacing w:line="360" w:lineRule="auto"/>
        <w:jc w:val="both"/>
        <w:rPr>
          <w:rFonts w:ascii="Times New Roman" w:hAnsi="Times New Roman" w:cs="Times New Roman"/>
        </w:rPr>
      </w:pPr>
    </w:p>
    <w:p w14:paraId="6A25CC88" w14:textId="7115EC64" w:rsidR="00593B94" w:rsidRDefault="00593B94" w:rsidP="00593B94">
      <w:pPr>
        <w:spacing w:line="360" w:lineRule="auto"/>
        <w:jc w:val="both"/>
        <w:rPr>
          <w:rFonts w:ascii="Times New Roman" w:hAnsi="Times New Roman" w:cs="Times New Roman"/>
        </w:rPr>
      </w:pPr>
      <w:r w:rsidRPr="00ED511A">
        <w:rPr>
          <w:rFonts w:ascii="Times New Roman" w:hAnsi="Times New Roman" w:cs="Times New Roman"/>
          <w:szCs w:val="24"/>
        </w:rPr>
        <w:t>The central regions of the normal anode and cathode showed relatively uniform particle distributions and continuous electrode morphology</w:t>
      </w:r>
      <w:r>
        <w:rPr>
          <w:rFonts w:ascii="Times New Roman" w:hAnsi="Times New Roman" w:cs="Times New Roman"/>
          <w:szCs w:val="24"/>
        </w:rPr>
        <w:t xml:space="preserve"> </w:t>
      </w:r>
      <w:r w:rsidRPr="00ED511A">
        <w:rPr>
          <w:rFonts w:ascii="Times New Roman" w:hAnsi="Times New Roman" w:cs="Times New Roman"/>
          <w:szCs w:val="24"/>
        </w:rPr>
        <w:t xml:space="preserve">(Fig. </w:t>
      </w:r>
      <w:r>
        <w:rPr>
          <w:rFonts w:ascii="Times New Roman" w:hAnsi="Times New Roman" w:cs="Times New Roman"/>
          <w:szCs w:val="24"/>
        </w:rPr>
        <w:t>S</w:t>
      </w:r>
      <w:r w:rsidRPr="00ED511A">
        <w:rPr>
          <w:rFonts w:ascii="Times New Roman" w:hAnsi="Times New Roman" w:cs="Times New Roman"/>
          <w:szCs w:val="24"/>
        </w:rPr>
        <w:t>3</w:t>
      </w:r>
      <w:r>
        <w:rPr>
          <w:rFonts w:ascii="Times New Roman" w:hAnsi="Times New Roman" w:cs="Times New Roman"/>
          <w:szCs w:val="24"/>
        </w:rPr>
        <w:t>a</w:t>
      </w:r>
      <w:r w:rsidRPr="00ED511A">
        <w:rPr>
          <w:rFonts w:ascii="Times New Roman" w:hAnsi="Times New Roman" w:cs="Times New Roman"/>
          <w:szCs w:val="24"/>
        </w:rPr>
        <w:t>).</w:t>
      </w:r>
      <w:r>
        <w:rPr>
          <w:rFonts w:ascii="Times New Roman" w:hAnsi="Times New Roman" w:cs="Times New Roman" w:hint="eastAsia"/>
          <w:szCs w:val="24"/>
        </w:rPr>
        <w:t xml:space="preserve"> </w:t>
      </w:r>
      <w:r w:rsidRPr="00ED511A">
        <w:rPr>
          <w:rFonts w:ascii="Times New Roman" w:hAnsi="Times New Roman" w:cs="Times New Roman"/>
          <w:szCs w:val="24"/>
        </w:rPr>
        <w:t>Metallic foreign matter, such as copper particles on the cathode, can dissolve at high potential, migrate as metal ions, deposit on the anode and increase the risk of internal</w:t>
      </w:r>
      <w:r>
        <w:rPr>
          <w:rFonts w:ascii="Times New Roman" w:hAnsi="Times New Roman" w:cs="Times New Roman"/>
          <w:szCs w:val="24"/>
        </w:rPr>
        <w:t xml:space="preserve"> </w:t>
      </w:r>
      <w:r w:rsidRPr="00ED511A">
        <w:rPr>
          <w:rFonts w:ascii="Times New Roman" w:hAnsi="Times New Roman" w:cs="Times New Roman"/>
          <w:szCs w:val="24"/>
        </w:rPr>
        <w:t xml:space="preserve">short circuits. Consistent with this pathway, the anode center of the metallic-foreign-matter cell showed local roughening and deposition-like features (Fig. </w:t>
      </w:r>
      <w:r>
        <w:rPr>
          <w:rFonts w:ascii="Times New Roman" w:hAnsi="Times New Roman" w:cs="Times New Roman"/>
          <w:szCs w:val="24"/>
        </w:rPr>
        <w:t>S</w:t>
      </w:r>
      <w:r w:rsidRPr="00ED511A">
        <w:rPr>
          <w:rFonts w:ascii="Times New Roman" w:hAnsi="Times New Roman" w:cs="Times New Roman"/>
          <w:szCs w:val="24"/>
        </w:rPr>
        <w:t>3b). Edge active-material loss disrupts local electrode continuity, creates fresh reactive interfaces and increases the risk of edge lithium plating</w:t>
      </w:r>
      <w:r>
        <w:rPr>
          <w:rFonts w:ascii="Times New Roman" w:hAnsi="Times New Roman" w:cs="Times New Roman"/>
          <w:szCs w:val="24"/>
        </w:rPr>
        <w:t>.</w:t>
      </w:r>
      <w:r w:rsidRPr="00ED511A">
        <w:rPr>
          <w:rFonts w:ascii="Times New Roman" w:hAnsi="Times New Roman" w:cs="Times New Roman"/>
          <w:szCs w:val="24"/>
        </w:rPr>
        <w:t xml:space="preserve"> </w:t>
      </w:r>
      <w:r>
        <w:rPr>
          <w:rFonts w:ascii="Times New Roman" w:hAnsi="Times New Roman" w:cs="Times New Roman"/>
          <w:szCs w:val="24"/>
        </w:rPr>
        <w:t>C</w:t>
      </w:r>
      <w:r w:rsidRPr="00ED511A">
        <w:rPr>
          <w:rFonts w:ascii="Times New Roman" w:hAnsi="Times New Roman" w:cs="Times New Roman"/>
          <w:szCs w:val="24"/>
        </w:rPr>
        <w:t xml:space="preserve">orrespondingly, morphological non-uniformity and fractured interfaces were observed near the detached edge (Fig. </w:t>
      </w:r>
      <w:r>
        <w:rPr>
          <w:rFonts w:ascii="Times New Roman" w:hAnsi="Times New Roman" w:cs="Times New Roman"/>
          <w:szCs w:val="24"/>
        </w:rPr>
        <w:t>S</w:t>
      </w:r>
      <w:r w:rsidRPr="00ED511A">
        <w:rPr>
          <w:rFonts w:ascii="Times New Roman" w:hAnsi="Times New Roman" w:cs="Times New Roman"/>
          <w:szCs w:val="24"/>
        </w:rPr>
        <w:t>3c). Tab tearing alters the boundary condition of the anode solid-phase potential and can induce non-uniform current distribution and reaction-state heterogeneity</w:t>
      </w:r>
      <w:r>
        <w:rPr>
          <w:rFonts w:ascii="Times New Roman" w:hAnsi="Times New Roman" w:cs="Times New Roman"/>
          <w:szCs w:val="24"/>
        </w:rPr>
        <w:t>.</w:t>
      </w:r>
      <w:r w:rsidRPr="00ED511A">
        <w:rPr>
          <w:rFonts w:ascii="Times New Roman" w:hAnsi="Times New Roman" w:cs="Times New Roman"/>
          <w:szCs w:val="24"/>
        </w:rPr>
        <w:t xml:space="preserve"> </w:t>
      </w:r>
      <w:r>
        <w:rPr>
          <w:rFonts w:ascii="Times New Roman" w:hAnsi="Times New Roman" w:cs="Times New Roman"/>
          <w:szCs w:val="24"/>
        </w:rPr>
        <w:t>L</w:t>
      </w:r>
      <w:r w:rsidRPr="00ED511A">
        <w:rPr>
          <w:rFonts w:ascii="Times New Roman" w:hAnsi="Times New Roman" w:cs="Times New Roman"/>
          <w:szCs w:val="24"/>
        </w:rPr>
        <w:t xml:space="preserve">inear damage and heterogeneous morphology appeared near the tab side (Fig. </w:t>
      </w:r>
      <w:r>
        <w:rPr>
          <w:rFonts w:ascii="Times New Roman" w:hAnsi="Times New Roman" w:cs="Times New Roman"/>
          <w:szCs w:val="24"/>
        </w:rPr>
        <w:t>S</w:t>
      </w:r>
      <w:r w:rsidRPr="00ED511A">
        <w:rPr>
          <w:rFonts w:ascii="Times New Roman" w:hAnsi="Times New Roman" w:cs="Times New Roman"/>
          <w:szCs w:val="24"/>
        </w:rPr>
        <w:t xml:space="preserve">3d). Anode cracking interrupts local active regions and creates abnormal lithiation pathways, as evidenced by a clear material-discontinuity region in the anode center (Fig. </w:t>
      </w:r>
      <w:r>
        <w:rPr>
          <w:rFonts w:ascii="Times New Roman" w:hAnsi="Times New Roman" w:cs="Times New Roman"/>
          <w:szCs w:val="24"/>
        </w:rPr>
        <w:t>S</w:t>
      </w:r>
      <w:r w:rsidRPr="00ED511A">
        <w:rPr>
          <w:rFonts w:ascii="Times New Roman" w:hAnsi="Times New Roman" w:cs="Times New Roman"/>
          <w:szCs w:val="24"/>
        </w:rPr>
        <w:t xml:space="preserve">3e). Separator pore closure impedes local ion transport, thereby increasing polarization and lithium-plating risk. Although the overall morphological change was less pronounced in this group, local non-uniform features were still observed (Fig. </w:t>
      </w:r>
      <w:r>
        <w:rPr>
          <w:rFonts w:ascii="Times New Roman" w:hAnsi="Times New Roman" w:cs="Times New Roman"/>
          <w:szCs w:val="24"/>
        </w:rPr>
        <w:t>S</w:t>
      </w:r>
      <w:r w:rsidRPr="00ED511A">
        <w:rPr>
          <w:rFonts w:ascii="Times New Roman" w:hAnsi="Times New Roman" w:cs="Times New Roman"/>
          <w:szCs w:val="24"/>
        </w:rPr>
        <w:t>3f).</w:t>
      </w:r>
    </w:p>
    <w:p w14:paraId="429D6E80" w14:textId="45F26B67" w:rsidR="00593B94" w:rsidRDefault="00593B94" w:rsidP="00593B94">
      <w:pPr>
        <w:spacing w:line="360" w:lineRule="auto"/>
        <w:jc w:val="both"/>
        <w:rPr>
          <w:rFonts w:ascii="Times New Roman" w:hAnsi="Times New Roman" w:cs="Times New Roman"/>
        </w:rPr>
      </w:pPr>
    </w:p>
    <w:p w14:paraId="674F67FF" w14:textId="77777777" w:rsidR="00593B94" w:rsidRDefault="00593B94" w:rsidP="00593B94">
      <w:pPr>
        <w:spacing w:line="360" w:lineRule="auto"/>
        <w:jc w:val="both"/>
        <w:rPr>
          <w:rFonts w:ascii="Times New Roman" w:hAnsi="Times New Roman" w:cs="Times New Roman"/>
        </w:rPr>
      </w:pPr>
    </w:p>
    <w:p w14:paraId="0446D34E" w14:textId="208643BF" w:rsidR="00AB4BFA" w:rsidRPr="00AB4BFA" w:rsidRDefault="009F7613" w:rsidP="009F7613">
      <w:pPr>
        <w:spacing w:line="360" w:lineRule="auto"/>
        <w:jc w:val="center"/>
        <w:rPr>
          <w:rFonts w:ascii="Times New Roman" w:hAnsi="Times New Roman" w:cs="Times New Roman"/>
        </w:rPr>
      </w:pPr>
      <w:r w:rsidRPr="009F7613">
        <w:rPr>
          <w:rFonts w:ascii="Times New Roman" w:hAnsi="Times New Roman" w:cs="Times New Roman"/>
          <w:noProof/>
        </w:rPr>
        <w:lastRenderedPageBreak/>
        <w:drawing>
          <wp:inline distT="0" distB="0" distL="0" distR="0" wp14:anchorId="59E1BAF2" wp14:editId="35AF4995">
            <wp:extent cx="1723292" cy="2425864"/>
            <wp:effectExtent l="0" t="0" r="0" b="0"/>
            <wp:docPr id="6" name="图片 5">
              <a:extLst xmlns:a="http://schemas.openxmlformats.org/drawingml/2006/main">
                <a:ext uri="{FF2B5EF4-FFF2-40B4-BE49-F238E27FC236}">
                  <a16:creationId xmlns:a16="http://schemas.microsoft.com/office/drawing/2014/main" id="{A76CAE4F-AAB1-4D51-B9B8-1A524DD99A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76CAE4F-AAB1-4D51-B9B8-1A524DD99A77}"/>
                        </a:ext>
                      </a:extLst>
                    </pic:cNvPr>
                    <pic:cNvPicPr>
                      <a:picLocks noChangeAspect="1"/>
                    </pic:cNvPicPr>
                  </pic:nvPicPr>
                  <pic:blipFill rotWithShape="1">
                    <a:blip r:embed="rId9"/>
                    <a:srcRect t="2310" r="11577" b="4336"/>
                    <a:stretch/>
                  </pic:blipFill>
                  <pic:spPr>
                    <a:xfrm>
                      <a:off x="0" y="0"/>
                      <a:ext cx="1724990" cy="2428254"/>
                    </a:xfrm>
                    <a:prstGeom prst="rect">
                      <a:avLst/>
                    </a:prstGeom>
                  </pic:spPr>
                </pic:pic>
              </a:graphicData>
            </a:graphic>
          </wp:inline>
        </w:drawing>
      </w:r>
    </w:p>
    <w:p w14:paraId="62D1D4F4" w14:textId="79B7D900" w:rsidR="00AB4BFA" w:rsidRDefault="009F7613" w:rsidP="00593B94">
      <w:pPr>
        <w:spacing w:line="360" w:lineRule="auto"/>
        <w:jc w:val="both"/>
        <w:rPr>
          <w:rFonts w:ascii="Times New Roman" w:hAnsi="Times New Roman" w:cs="Times New Roman"/>
        </w:rPr>
      </w:pPr>
      <w:r w:rsidRPr="00593B94">
        <w:rPr>
          <w:rFonts w:ascii="Times New Roman" w:hAnsi="Times New Roman" w:cs="Times New Roman"/>
          <w:b/>
          <w:bCs/>
        </w:rPr>
        <w:t>Figure S</w:t>
      </w:r>
      <w:r>
        <w:rPr>
          <w:rFonts w:ascii="Times New Roman" w:hAnsi="Times New Roman" w:cs="Times New Roman"/>
          <w:b/>
          <w:bCs/>
        </w:rPr>
        <w:t>4</w:t>
      </w:r>
      <w:r>
        <w:rPr>
          <w:rFonts w:ascii="Times New Roman" w:hAnsi="Times New Roman" w:cs="Times New Roman"/>
        </w:rPr>
        <w:t>. One of the fabricated pouch cells.</w:t>
      </w:r>
      <w:r>
        <w:rPr>
          <w:rFonts w:ascii="Times New Roman" w:hAnsi="Times New Roman" w:cs="Times New Roman" w:hint="eastAsia"/>
        </w:rPr>
        <w:t xml:space="preserve"> </w:t>
      </w:r>
      <w:r w:rsidR="00AB4BFA" w:rsidRPr="00AB4BFA">
        <w:rPr>
          <w:rFonts w:ascii="Times New Roman" w:hAnsi="Times New Roman" w:cs="Times New Roman"/>
        </w:rPr>
        <w:t>For the metallic foreign</w:t>
      </w:r>
      <w:r>
        <w:rPr>
          <w:rFonts w:ascii="Times New Roman" w:hAnsi="Times New Roman" w:cs="Times New Roman"/>
        </w:rPr>
        <w:t xml:space="preserve"> matter</w:t>
      </w:r>
      <w:r w:rsidR="00AB4BFA" w:rsidRPr="00AB4BFA">
        <w:rPr>
          <w:rFonts w:ascii="Times New Roman" w:hAnsi="Times New Roman" w:cs="Times New Roman"/>
        </w:rPr>
        <w:t xml:space="preserve"> defect, a copper particle with a diameter of 300 </w:t>
      </w:r>
      <m:oMath>
        <m:r>
          <w:rPr>
            <w:rFonts w:ascii="Cambria Math" w:hAnsi="Cambria Math" w:cs="Times New Roman"/>
          </w:rPr>
          <m:t>μ</m:t>
        </m:r>
        <m:r>
          <w:rPr>
            <w:rFonts w:ascii="Cambria Math" w:hAnsi="Cambria Math" w:cs="Times New Roman" w:hint="eastAsia"/>
          </w:rPr>
          <m:t>m</m:t>
        </m:r>
      </m:oMath>
      <w:r w:rsidR="00AB4BFA" w:rsidRPr="00AB4BFA">
        <w:rPr>
          <w:rFonts w:ascii="Times New Roman" w:hAnsi="Times New Roman" w:cs="Times New Roman"/>
        </w:rPr>
        <w:t xml:space="preserve"> was implanted in the cathode. For the edge active</w:t>
      </w:r>
      <w:r>
        <w:rPr>
          <w:rFonts w:ascii="Times New Roman" w:hAnsi="Times New Roman" w:cs="Times New Roman"/>
        </w:rPr>
        <w:t xml:space="preserve"> </w:t>
      </w:r>
      <w:r w:rsidR="00AB4BFA" w:rsidRPr="00AB4BFA">
        <w:rPr>
          <w:rFonts w:ascii="Times New Roman" w:hAnsi="Times New Roman" w:cs="Times New Roman"/>
        </w:rPr>
        <w:t>material loss defect, half of the active-material thickness was removed from a region covering approximately one tenth of the anode edge. For the tab</w:t>
      </w:r>
      <w:r>
        <w:rPr>
          <w:rFonts w:ascii="Times New Roman" w:hAnsi="Times New Roman" w:cs="Times New Roman"/>
        </w:rPr>
        <w:t xml:space="preserve"> </w:t>
      </w:r>
      <w:r w:rsidR="00AB4BFA" w:rsidRPr="00AB4BFA">
        <w:rPr>
          <w:rFonts w:ascii="Times New Roman" w:hAnsi="Times New Roman" w:cs="Times New Roman"/>
        </w:rPr>
        <w:t>tearing defect, half of the width of the middle three anode tabs was cut off in the transverse direction. For the electrode</w:t>
      </w:r>
      <w:r>
        <w:rPr>
          <w:rFonts w:ascii="Times New Roman" w:hAnsi="Times New Roman" w:cs="Times New Roman"/>
        </w:rPr>
        <w:t xml:space="preserve"> </w:t>
      </w:r>
      <w:r w:rsidR="00AB4BFA" w:rsidRPr="00AB4BFA">
        <w:rPr>
          <w:rFonts w:ascii="Times New Roman" w:hAnsi="Times New Roman" w:cs="Times New Roman"/>
        </w:rPr>
        <w:t xml:space="preserve">cracking defect, an approximately 5 mm × 5 mm region was removed from the </w:t>
      </w:r>
      <w:r w:rsidRPr="00AB4BFA">
        <w:rPr>
          <w:rFonts w:ascii="Times New Roman" w:hAnsi="Times New Roman" w:cs="Times New Roman"/>
        </w:rPr>
        <w:t>center</w:t>
      </w:r>
      <w:r w:rsidR="00AB4BFA" w:rsidRPr="00AB4BFA">
        <w:rPr>
          <w:rFonts w:ascii="Times New Roman" w:hAnsi="Times New Roman" w:cs="Times New Roman"/>
        </w:rPr>
        <w:t xml:space="preserve"> of the anode. For the separator pore</w:t>
      </w:r>
      <w:r>
        <w:rPr>
          <w:rFonts w:ascii="Times New Roman" w:hAnsi="Times New Roman" w:cs="Times New Roman"/>
        </w:rPr>
        <w:t xml:space="preserve"> </w:t>
      </w:r>
      <w:r w:rsidR="00AB4BFA" w:rsidRPr="00AB4BFA">
        <w:rPr>
          <w:rFonts w:ascii="Times New Roman" w:hAnsi="Times New Roman" w:cs="Times New Roman"/>
        </w:rPr>
        <w:t>closure defect, PET tape was applied near the anode side to transversely block approximately one tenth of the separator length. Apart from these target defects, all other manufacturing conditions were kept unchanged.</w:t>
      </w:r>
    </w:p>
    <w:p w14:paraId="00625BB8" w14:textId="77777777" w:rsidR="00AB4BFA" w:rsidRPr="0060538B" w:rsidRDefault="00AB4BFA" w:rsidP="00593B94">
      <w:pPr>
        <w:spacing w:line="360" w:lineRule="auto"/>
        <w:jc w:val="both"/>
        <w:rPr>
          <w:rFonts w:ascii="Times New Roman" w:hAnsi="Times New Roman" w:cs="Times New Roman"/>
        </w:rPr>
      </w:pPr>
    </w:p>
    <w:sectPr w:rsidR="00AB4BFA" w:rsidRPr="006053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3593B" w14:textId="77777777" w:rsidR="004C5EDE" w:rsidRDefault="004C5EDE" w:rsidP="0060538B">
      <w:pPr>
        <w:spacing w:line="240" w:lineRule="auto"/>
      </w:pPr>
      <w:r>
        <w:separator/>
      </w:r>
    </w:p>
  </w:endnote>
  <w:endnote w:type="continuationSeparator" w:id="0">
    <w:p w14:paraId="12331886" w14:textId="77777777" w:rsidR="004C5EDE" w:rsidRDefault="004C5EDE" w:rsidP="006053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E2F3F" w14:textId="77777777" w:rsidR="004C5EDE" w:rsidRDefault="004C5EDE" w:rsidP="0060538B">
      <w:pPr>
        <w:spacing w:line="240" w:lineRule="auto"/>
      </w:pPr>
      <w:r>
        <w:separator/>
      </w:r>
    </w:p>
  </w:footnote>
  <w:footnote w:type="continuationSeparator" w:id="0">
    <w:p w14:paraId="71087D49" w14:textId="77777777" w:rsidR="004C5EDE" w:rsidRDefault="004C5EDE" w:rsidP="0060538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363"/>
    <w:rsid w:val="0010708F"/>
    <w:rsid w:val="00186016"/>
    <w:rsid w:val="001B35CD"/>
    <w:rsid w:val="004165F0"/>
    <w:rsid w:val="004C5EDE"/>
    <w:rsid w:val="00593B94"/>
    <w:rsid w:val="005D3078"/>
    <w:rsid w:val="0060538B"/>
    <w:rsid w:val="009F7613"/>
    <w:rsid w:val="00AB4BFA"/>
    <w:rsid w:val="00AE1737"/>
    <w:rsid w:val="00BA4363"/>
    <w:rsid w:val="00C66CF0"/>
    <w:rsid w:val="00F47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CBF4DE"/>
  <w15:chartTrackingRefBased/>
  <w15:docId w15:val="{8EBE17EB-DF34-4FCC-BE91-48BCCB946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宋体" w:cstheme="minorBidi"/>
        <w:kern w:val="2"/>
        <w:sz w:val="24"/>
        <w:szCs w:val="28"/>
        <w:lang w:val="en-US" w:eastAsia="zh-CN"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0538B"/>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60538B"/>
    <w:rPr>
      <w:sz w:val="18"/>
      <w:szCs w:val="18"/>
    </w:rPr>
  </w:style>
  <w:style w:type="paragraph" w:styleId="a5">
    <w:name w:val="footer"/>
    <w:basedOn w:val="a"/>
    <w:link w:val="a6"/>
    <w:uiPriority w:val="99"/>
    <w:unhideWhenUsed/>
    <w:rsid w:val="0060538B"/>
    <w:pPr>
      <w:tabs>
        <w:tab w:val="center" w:pos="4153"/>
        <w:tab w:val="right" w:pos="8306"/>
      </w:tabs>
      <w:snapToGrid w:val="0"/>
      <w:spacing w:line="240" w:lineRule="auto"/>
    </w:pPr>
    <w:rPr>
      <w:sz w:val="18"/>
      <w:szCs w:val="18"/>
    </w:rPr>
  </w:style>
  <w:style w:type="character" w:customStyle="1" w:styleId="a6">
    <w:name w:val="页脚 字符"/>
    <w:basedOn w:val="a0"/>
    <w:link w:val="a5"/>
    <w:uiPriority w:val="99"/>
    <w:rsid w:val="0060538B"/>
    <w:rPr>
      <w:sz w:val="18"/>
      <w:szCs w:val="18"/>
    </w:rPr>
  </w:style>
  <w:style w:type="table" w:styleId="a7">
    <w:name w:val="Table Grid"/>
    <w:basedOn w:val="a1"/>
    <w:uiPriority w:val="39"/>
    <w:rsid w:val="006053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laceholder Text"/>
    <w:basedOn w:val="a0"/>
    <w:uiPriority w:val="99"/>
    <w:semiHidden/>
    <w:rsid w:val="009F76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88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85</TotalTime>
  <Pages>5</Pages>
  <Words>673</Words>
  <Characters>4134</Characters>
  <Application>Microsoft Office Word</Application>
  <DocSecurity>0</DocSecurity>
  <Lines>70</Lines>
  <Paragraphs>20</Paragraphs>
  <ScaleCrop>false</ScaleCrop>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巍</dc:creator>
  <cp:keywords/>
  <dc:description/>
  <cp:lastModifiedBy>巍</cp:lastModifiedBy>
  <cp:revision>7</cp:revision>
  <dcterms:created xsi:type="dcterms:W3CDTF">2026-07-01T01:11:00Z</dcterms:created>
  <dcterms:modified xsi:type="dcterms:W3CDTF">2026-07-04T08:54:00Z</dcterms:modified>
</cp:coreProperties>
</file>