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2DE6E">
      <w:pPr>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drawing>
          <wp:inline distT="0" distB="0" distL="114300" distR="114300">
            <wp:extent cx="3855085" cy="4251325"/>
            <wp:effectExtent l="0" t="0" r="5715" b="0"/>
            <wp:docPr id="5" name="图片 5"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1"/>
                    <pic:cNvPicPr>
                      <a:picLocks noChangeAspect="1"/>
                    </pic:cNvPicPr>
                  </pic:nvPicPr>
                  <pic:blipFill>
                    <a:blip r:embed="rId4"/>
                    <a:srcRect l="19460" t="886" r="19593" b="-1699"/>
                    <a:stretch>
                      <a:fillRect/>
                    </a:stretch>
                  </pic:blipFill>
                  <pic:spPr>
                    <a:xfrm>
                      <a:off x="0" y="0"/>
                      <a:ext cx="3855085" cy="4251325"/>
                    </a:xfrm>
                    <a:prstGeom prst="rect">
                      <a:avLst/>
                    </a:prstGeom>
                  </pic:spPr>
                </pic:pic>
              </a:graphicData>
            </a:graphic>
          </wp:inline>
        </w:drawing>
      </w:r>
    </w:p>
    <w:p w14:paraId="16299F42">
      <w:pPr>
        <w:keepNext w:val="0"/>
        <w:keepLines w:val="0"/>
        <w:pageBreakBefore w:val="0"/>
        <w:widowControl/>
        <w:tabs>
          <w:tab w:val="left" w:pos="2410"/>
        </w:tabs>
        <w:kinsoku/>
        <w:wordWrap/>
        <w:overflowPunct/>
        <w:topLinePunct w:val="0"/>
        <w:autoSpaceDE/>
        <w:autoSpaceDN/>
        <w:bidi w:val="0"/>
        <w:adjustRightInd w:val="0"/>
        <w:snapToGrid w:val="0"/>
        <w:spacing w:before="120" w:after="240" w:line="280" w:lineRule="atLeast"/>
        <w:ind w:left="0" w:firstLine="0" w:firstLineChars="0"/>
        <w:jc w:val="both"/>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b/>
          <w:bCs/>
          <w:sz w:val="18"/>
          <w:szCs w:val="18"/>
          <w:lang w:val="en-US" w:eastAsia="zh-CN"/>
        </w:rPr>
        <w:t>Fig.</w:t>
      </w:r>
      <w:r>
        <w:rPr>
          <w:rFonts w:hint="default" w:ascii="Times New Roman" w:hAnsi="Times New Roman" w:cs="Times New Roman"/>
          <w:b/>
          <w:bCs/>
          <w:sz w:val="18"/>
          <w:szCs w:val="18"/>
          <w:lang w:val="en-US" w:eastAsia="zh-CN"/>
        </w:rPr>
        <w:t xml:space="preserve"> S1.</w:t>
      </w:r>
      <w:r>
        <w:rPr>
          <w:rFonts w:hint="default" w:ascii="Times New Roman" w:hAnsi="Times New Roman" w:cs="Times New Roman"/>
          <w:sz w:val="18"/>
          <w:szCs w:val="18"/>
          <w:lang w:val="en-US" w:eastAsia="zh-CN"/>
        </w:rPr>
        <w:t xml:space="preserve"> Phylogenetic and sequence alignment analyses of DMR6 orthologs. A. </w:t>
      </w:r>
      <w:r>
        <w:rPr>
          <w:rFonts w:hint="default" w:ascii="Times New Roman" w:hAnsi="Times New Roman" w:cs="Times New Roman"/>
          <w:sz w:val="18"/>
          <w:szCs w:val="18"/>
        </w:rPr>
        <w:t>Phylogenetic tree of DMR6 orthologs in different plant species, including proteins from</w:t>
      </w:r>
      <w:r>
        <w:rPr>
          <w:rFonts w:hint="default" w:ascii="Times New Roman" w:hAnsi="Times New Roman" w:cs="Times New Roman"/>
          <w:sz w:val="18"/>
          <w:szCs w:val="18"/>
          <w:lang w:val="en-US" w:eastAsia="zh-CN"/>
        </w:rPr>
        <w:t xml:space="preserve"> </w:t>
      </w:r>
      <w:r>
        <w:rPr>
          <w:rFonts w:hint="default" w:ascii="Times New Roman" w:hAnsi="Times New Roman" w:cs="Times New Roman"/>
          <w:i/>
          <w:iCs/>
          <w:sz w:val="18"/>
          <w:szCs w:val="18"/>
        </w:rPr>
        <w:t>N. tabacum</w:t>
      </w:r>
      <w:r>
        <w:rPr>
          <w:rFonts w:hint="default" w:ascii="Times New Roman" w:hAnsi="Times New Roman" w:cs="Times New Roman"/>
          <w:sz w:val="18"/>
          <w:szCs w:val="18"/>
        </w:rPr>
        <w:t xml:space="preserve">, </w:t>
      </w:r>
      <w:r>
        <w:rPr>
          <w:rFonts w:hint="default" w:ascii="Times New Roman" w:hAnsi="Times New Roman" w:cs="Times New Roman"/>
          <w:i/>
          <w:iCs/>
          <w:sz w:val="18"/>
          <w:szCs w:val="18"/>
        </w:rPr>
        <w:t>N. tomentosiformis</w:t>
      </w:r>
      <w:r>
        <w:rPr>
          <w:rFonts w:hint="default" w:ascii="Times New Roman" w:hAnsi="Times New Roman" w:cs="Times New Roman"/>
          <w:sz w:val="18"/>
          <w:szCs w:val="18"/>
        </w:rPr>
        <w:t xml:space="preserve">, </w:t>
      </w:r>
      <w:r>
        <w:rPr>
          <w:rFonts w:hint="default" w:ascii="Times New Roman" w:hAnsi="Times New Roman" w:cs="Times New Roman"/>
          <w:i/>
          <w:iCs/>
          <w:sz w:val="18"/>
          <w:szCs w:val="18"/>
        </w:rPr>
        <w:t>N. sylvestris</w:t>
      </w:r>
      <w:r>
        <w:rPr>
          <w:rFonts w:hint="default" w:ascii="Times New Roman" w:hAnsi="Times New Roman" w:cs="Times New Roman"/>
          <w:sz w:val="18"/>
          <w:szCs w:val="18"/>
        </w:rPr>
        <w:t xml:space="preserve">, </w:t>
      </w:r>
      <w:r>
        <w:rPr>
          <w:rFonts w:hint="default" w:ascii="Times New Roman" w:hAnsi="Times New Roman" w:cs="Times New Roman"/>
          <w:i/>
          <w:iCs/>
          <w:sz w:val="18"/>
          <w:szCs w:val="18"/>
        </w:rPr>
        <w:t>S. lycopersicum</w:t>
      </w:r>
      <w:r>
        <w:rPr>
          <w:rFonts w:hint="default" w:ascii="Times New Roman" w:hAnsi="Times New Roman" w:cs="Times New Roman"/>
          <w:i/>
          <w:iCs/>
          <w:sz w:val="18"/>
          <w:szCs w:val="18"/>
          <w:lang w:val="en-US" w:eastAsia="zh-CN"/>
        </w:rPr>
        <w:t xml:space="preserve">, S. </w:t>
      </w:r>
      <w:r>
        <w:rPr>
          <w:rFonts w:hint="default" w:ascii="Times New Roman" w:hAnsi="Times New Roman" w:cs="Times New Roman"/>
          <w:i/>
          <w:iCs/>
          <w:sz w:val="18"/>
          <w:szCs w:val="18"/>
        </w:rPr>
        <w:t>tuberosum</w:t>
      </w:r>
      <w:r>
        <w:rPr>
          <w:rFonts w:hint="default" w:ascii="Times New Roman" w:hAnsi="Times New Roman" w:cs="Times New Roman"/>
          <w:i w:val="0"/>
          <w:iCs w:val="0"/>
          <w:sz w:val="18"/>
          <w:szCs w:val="18"/>
          <w:lang w:val="en-US" w:eastAsia="zh-CN"/>
        </w:rPr>
        <w:t>,</w:t>
      </w:r>
      <w:r>
        <w:rPr>
          <w:rFonts w:hint="default" w:ascii="Times New Roman" w:hAnsi="Times New Roman" w:cs="Times New Roman"/>
          <w:sz w:val="18"/>
          <w:szCs w:val="18"/>
        </w:rPr>
        <w:t xml:space="preserve"> and</w:t>
      </w:r>
      <w:r>
        <w:rPr>
          <w:rFonts w:hint="default" w:ascii="Times New Roman" w:hAnsi="Times New Roman" w:cs="Times New Roman"/>
          <w:i/>
          <w:iCs/>
          <w:sz w:val="18"/>
          <w:szCs w:val="18"/>
        </w:rPr>
        <w:t xml:space="preserve"> A</w:t>
      </w:r>
      <w:r>
        <w:rPr>
          <w:rFonts w:hint="default" w:ascii="Times New Roman" w:hAnsi="Times New Roman" w:cs="Times New Roman"/>
          <w:sz w:val="18"/>
          <w:szCs w:val="18"/>
        </w:rPr>
        <w:t xml:space="preserve">. </w:t>
      </w:r>
      <w:r>
        <w:rPr>
          <w:rFonts w:hint="default" w:ascii="Times New Roman" w:hAnsi="Times New Roman" w:cs="Times New Roman"/>
          <w:i/>
          <w:iCs/>
          <w:sz w:val="18"/>
          <w:szCs w:val="18"/>
        </w:rPr>
        <w:t>thaliana</w:t>
      </w:r>
      <w:r>
        <w:rPr>
          <w:rFonts w:hint="default" w:ascii="Times New Roman" w:hAnsi="Times New Roman" w:cs="Times New Roman"/>
          <w:sz w:val="18"/>
          <w:szCs w:val="18"/>
        </w:rPr>
        <w:t xml:space="preserve">. The scale bar indicates amino acid substitutions per site. Bootstrap support values based on 100 replicates are shown at the nodes. </w:t>
      </w:r>
      <w:r>
        <w:rPr>
          <w:rFonts w:hint="default" w:ascii="Times New Roman" w:hAnsi="Times New Roman" w:cs="Times New Roman"/>
          <w:sz w:val="18"/>
          <w:szCs w:val="18"/>
          <w:lang w:val="en-US" w:eastAsia="zh-CN"/>
        </w:rPr>
        <w:t>B.</w:t>
      </w:r>
      <w:r>
        <w:rPr>
          <w:rFonts w:hint="default" w:ascii="Times New Roman" w:hAnsi="Times New Roman" w:cs="Times New Roman"/>
          <w:sz w:val="18"/>
          <w:szCs w:val="18"/>
        </w:rPr>
        <w:t xml:space="preserve"> Protein sequence alignment of NtDMR6T and NtDMR6S with AtDMR6, SlDMR6-1, SlDMR6-2, StDMR6-1, and StDMR6-2. The conserved 2OG oxygenase domain (Pfam: PF03171) is indicated</w:t>
      </w:r>
      <w:r>
        <w:rPr>
          <w:rFonts w:hint="default" w:ascii="Times New Roman" w:hAnsi="Times New Roman" w:cs="Times New Roman"/>
          <w:sz w:val="18"/>
          <w:szCs w:val="18"/>
          <w:lang w:val="en-US" w:eastAsia="zh-CN"/>
        </w:rPr>
        <w:t>.</w:t>
      </w:r>
    </w:p>
    <w:p w14:paraId="2FCB512D">
      <w:pP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br w:type="page"/>
      </w:r>
    </w:p>
    <w:p w14:paraId="5C908E70">
      <w:pPr>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drawing>
          <wp:inline distT="0" distB="0" distL="114300" distR="114300">
            <wp:extent cx="5266690" cy="3855085"/>
            <wp:effectExtent l="0" t="0" r="3810" b="5715"/>
            <wp:docPr id="2" name="图片 2"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3"/>
                    <pic:cNvPicPr>
                      <a:picLocks noChangeAspect="1"/>
                    </pic:cNvPicPr>
                  </pic:nvPicPr>
                  <pic:blipFill>
                    <a:blip r:embed="rId5"/>
                    <a:stretch>
                      <a:fillRect/>
                    </a:stretch>
                  </pic:blipFill>
                  <pic:spPr>
                    <a:xfrm>
                      <a:off x="0" y="0"/>
                      <a:ext cx="5266690" cy="3855085"/>
                    </a:xfrm>
                    <a:prstGeom prst="rect">
                      <a:avLst/>
                    </a:prstGeom>
                  </pic:spPr>
                </pic:pic>
              </a:graphicData>
            </a:graphic>
          </wp:inline>
        </w:drawing>
      </w:r>
    </w:p>
    <w:p w14:paraId="339BFD44">
      <w:pPr>
        <w:spacing w:before="156" w:beforeLines="50" w:after="156" w:afterLines="50" w:line="300" w:lineRule="auto"/>
        <w:jc w:val="both"/>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b/>
          <w:bCs/>
          <w:color w:val="000000"/>
          <w:kern w:val="0"/>
          <w:sz w:val="18"/>
          <w:szCs w:val="18"/>
          <w:lang w:eastAsia="zh-CN"/>
        </w:rPr>
        <w:t>Fig.</w:t>
      </w:r>
      <w:r>
        <w:rPr>
          <w:rFonts w:hint="default" w:ascii="Times New Roman" w:hAnsi="Times New Roman" w:eastAsia="仿宋_GB2312" w:cs="Times New Roman"/>
          <w:b/>
          <w:bCs/>
          <w:color w:val="000000"/>
          <w:kern w:val="0"/>
          <w:sz w:val="18"/>
          <w:szCs w:val="18"/>
        </w:rPr>
        <w:t xml:space="preserve"> </w:t>
      </w:r>
      <w:r>
        <w:rPr>
          <w:rFonts w:hint="default" w:ascii="Times New Roman" w:hAnsi="Times New Roman" w:eastAsia="仿宋_GB2312" w:cs="Times New Roman"/>
          <w:b/>
          <w:bCs/>
          <w:color w:val="000000"/>
          <w:kern w:val="0"/>
          <w:sz w:val="18"/>
          <w:szCs w:val="18"/>
          <w:lang w:val="en-US" w:eastAsia="zh-CN"/>
        </w:rPr>
        <w:t>S2.</w:t>
      </w:r>
      <w:r>
        <w:rPr>
          <w:rFonts w:hint="eastAsia" w:ascii="Times New Roman" w:hAnsi="Times New Roman" w:eastAsia="仿宋_GB2312" w:cs="Times New Roman"/>
          <w:b/>
          <w:bCs/>
          <w:color w:val="000000"/>
          <w:kern w:val="0"/>
          <w:sz w:val="18"/>
          <w:szCs w:val="18"/>
          <w:lang w:val="en-US" w:eastAsia="zh-CN"/>
        </w:rPr>
        <w:t xml:space="preserve"> </w:t>
      </w:r>
      <w:r>
        <w:rPr>
          <w:rFonts w:hint="default" w:ascii="Times New Roman" w:hAnsi="Times New Roman" w:eastAsia="仿宋_GB2312" w:cs="Times New Roman"/>
          <w:color w:val="000000"/>
          <w:kern w:val="0"/>
          <w:sz w:val="18"/>
          <w:szCs w:val="18"/>
        </w:rPr>
        <w:t xml:space="preserve">DNA and predicted protein sequence alignments of </w:t>
      </w:r>
      <w:r>
        <w:rPr>
          <w:rFonts w:hint="default" w:ascii="Times New Roman" w:hAnsi="Times New Roman" w:eastAsia="仿宋_GB2312" w:cs="Times New Roman"/>
          <w:i/>
          <w:iCs/>
          <w:color w:val="000000"/>
          <w:kern w:val="0"/>
          <w:sz w:val="18"/>
          <w:szCs w:val="18"/>
        </w:rPr>
        <w:t xml:space="preserve">NtDMR6 </w:t>
      </w:r>
      <w:r>
        <w:rPr>
          <w:rFonts w:hint="default" w:ascii="Times New Roman" w:hAnsi="Times New Roman" w:eastAsia="仿宋_GB2312" w:cs="Times New Roman"/>
          <w:color w:val="000000"/>
          <w:kern w:val="0"/>
          <w:sz w:val="18"/>
          <w:szCs w:val="18"/>
        </w:rPr>
        <w:t xml:space="preserve">mutant lines. A. DNA sequence alignment of the </w:t>
      </w:r>
      <w:r>
        <w:rPr>
          <w:rFonts w:hint="default" w:ascii="Times New Roman" w:hAnsi="Times New Roman" w:eastAsia="仿宋_GB2312" w:cs="Times New Roman"/>
          <w:i/>
          <w:iCs/>
          <w:color w:val="000000"/>
          <w:kern w:val="0"/>
          <w:sz w:val="18"/>
          <w:szCs w:val="18"/>
        </w:rPr>
        <w:t xml:space="preserve">NtDMR6S </w:t>
      </w:r>
      <w:r>
        <w:rPr>
          <w:rFonts w:hint="default" w:ascii="Times New Roman" w:hAnsi="Times New Roman" w:eastAsia="仿宋_GB2312" w:cs="Times New Roman"/>
          <w:color w:val="000000"/>
          <w:kern w:val="0"/>
          <w:sz w:val="18"/>
          <w:szCs w:val="18"/>
        </w:rPr>
        <w:t xml:space="preserve">locus in DC6198L compared with the wild type, showing that the </w:t>
      </w:r>
      <w:r>
        <w:rPr>
          <w:rFonts w:hint="default" w:ascii="Times New Roman" w:hAnsi="Times New Roman" w:eastAsia="仿宋_GB2312" w:cs="Times New Roman"/>
          <w:i/>
          <w:iCs/>
          <w:color w:val="000000"/>
          <w:kern w:val="0"/>
          <w:sz w:val="18"/>
          <w:szCs w:val="18"/>
        </w:rPr>
        <w:t xml:space="preserve">NtDMR6S </w:t>
      </w:r>
      <w:r>
        <w:rPr>
          <w:rFonts w:hint="default" w:ascii="Times New Roman" w:hAnsi="Times New Roman" w:eastAsia="仿宋_GB2312" w:cs="Times New Roman"/>
          <w:color w:val="000000"/>
          <w:kern w:val="0"/>
          <w:sz w:val="18"/>
          <w:szCs w:val="18"/>
        </w:rPr>
        <w:t xml:space="preserve">homolog was not edited in this </w:t>
      </w:r>
      <w:r>
        <w:rPr>
          <w:rFonts w:hint="default" w:ascii="Times New Roman" w:hAnsi="Times New Roman" w:eastAsia="仿宋_GB2312" w:cs="Times New Roman"/>
          <w:i/>
          <w:iCs/>
          <w:color w:val="000000"/>
          <w:kern w:val="0"/>
          <w:sz w:val="18"/>
          <w:szCs w:val="18"/>
        </w:rPr>
        <w:t xml:space="preserve">NtDMR6T </w:t>
      </w:r>
      <w:r>
        <w:rPr>
          <w:rFonts w:hint="default" w:ascii="Times New Roman" w:hAnsi="Times New Roman" w:eastAsia="仿宋_GB2312" w:cs="Times New Roman"/>
          <w:color w:val="000000"/>
          <w:kern w:val="0"/>
          <w:sz w:val="18"/>
          <w:szCs w:val="18"/>
        </w:rPr>
        <w:t xml:space="preserve">single-mutant line. B. DNA sequence alignment of the </w:t>
      </w:r>
      <w:r>
        <w:rPr>
          <w:rFonts w:hint="default" w:ascii="Times New Roman" w:hAnsi="Times New Roman" w:eastAsia="仿宋_GB2312" w:cs="Times New Roman"/>
          <w:i/>
          <w:iCs/>
          <w:color w:val="000000"/>
          <w:kern w:val="0"/>
          <w:sz w:val="18"/>
          <w:szCs w:val="18"/>
        </w:rPr>
        <w:t xml:space="preserve">NtDMR6T </w:t>
      </w:r>
      <w:r>
        <w:rPr>
          <w:rFonts w:hint="default" w:ascii="Times New Roman" w:hAnsi="Times New Roman" w:eastAsia="仿宋_GB2312" w:cs="Times New Roman"/>
          <w:color w:val="000000"/>
          <w:kern w:val="0"/>
          <w:sz w:val="18"/>
          <w:szCs w:val="18"/>
        </w:rPr>
        <w:t xml:space="preserve">locus in DC6527L compared with the wild type, showing that the </w:t>
      </w:r>
      <w:r>
        <w:rPr>
          <w:rFonts w:hint="default" w:ascii="Times New Roman" w:hAnsi="Times New Roman" w:eastAsia="仿宋_GB2312" w:cs="Times New Roman"/>
          <w:i/>
          <w:iCs/>
          <w:color w:val="000000"/>
          <w:kern w:val="0"/>
          <w:sz w:val="18"/>
          <w:szCs w:val="18"/>
        </w:rPr>
        <w:t xml:space="preserve">NtDMR6T </w:t>
      </w:r>
      <w:r>
        <w:rPr>
          <w:rFonts w:hint="default" w:ascii="Times New Roman" w:hAnsi="Times New Roman" w:eastAsia="仿宋_GB2312" w:cs="Times New Roman"/>
          <w:color w:val="000000"/>
          <w:kern w:val="0"/>
          <w:sz w:val="18"/>
          <w:szCs w:val="18"/>
        </w:rPr>
        <w:t xml:space="preserve">homolog was not edited in this </w:t>
      </w:r>
      <w:r>
        <w:rPr>
          <w:rFonts w:hint="default" w:ascii="Times New Roman" w:hAnsi="Times New Roman" w:eastAsia="仿宋_GB2312" w:cs="Times New Roman"/>
          <w:i/>
          <w:iCs/>
          <w:color w:val="000000"/>
          <w:kern w:val="0"/>
          <w:sz w:val="18"/>
          <w:szCs w:val="18"/>
        </w:rPr>
        <w:t xml:space="preserve">NtDMR6S </w:t>
      </w:r>
      <w:r>
        <w:rPr>
          <w:rFonts w:hint="default" w:ascii="Times New Roman" w:hAnsi="Times New Roman" w:eastAsia="仿宋_GB2312" w:cs="Times New Roman"/>
          <w:color w:val="000000"/>
          <w:kern w:val="0"/>
          <w:sz w:val="18"/>
          <w:szCs w:val="18"/>
        </w:rPr>
        <w:t xml:space="preserve">single-mutant line. Dark blue shading indicates exon 3, gray shading indicates intron regions, red lines mark the gRNA target sites, and orange shading highlights the PAM sequences. C. Predicted protein sequence alignment of </w:t>
      </w:r>
      <w:r>
        <w:rPr>
          <w:rFonts w:hint="default" w:ascii="Times New Roman" w:hAnsi="Times New Roman" w:eastAsia="仿宋_GB2312" w:cs="Times New Roman"/>
          <w:i/>
          <w:iCs/>
          <w:color w:val="000000"/>
          <w:kern w:val="0"/>
          <w:sz w:val="18"/>
          <w:szCs w:val="18"/>
        </w:rPr>
        <w:t xml:space="preserve">NtDMR6T </w:t>
      </w:r>
      <w:r>
        <w:rPr>
          <w:rFonts w:hint="default" w:ascii="Times New Roman" w:hAnsi="Times New Roman" w:eastAsia="仿宋_GB2312" w:cs="Times New Roman"/>
          <w:color w:val="000000"/>
          <w:kern w:val="0"/>
          <w:sz w:val="18"/>
          <w:szCs w:val="18"/>
        </w:rPr>
        <w:t xml:space="preserve">among the three mutant lines, showing premature termination in DC6198L and DC6229L. D. Predicted protein sequence alignment of </w:t>
      </w:r>
      <w:r>
        <w:rPr>
          <w:rFonts w:hint="default" w:ascii="Times New Roman" w:hAnsi="Times New Roman" w:eastAsia="仿宋_GB2312" w:cs="Times New Roman"/>
          <w:i/>
          <w:iCs/>
          <w:color w:val="000000"/>
          <w:kern w:val="0"/>
          <w:sz w:val="18"/>
          <w:szCs w:val="18"/>
        </w:rPr>
        <w:t xml:space="preserve">NtDMR6S </w:t>
      </w:r>
      <w:r>
        <w:rPr>
          <w:rFonts w:hint="default" w:ascii="Times New Roman" w:hAnsi="Times New Roman" w:eastAsia="仿宋_GB2312" w:cs="Times New Roman"/>
          <w:color w:val="000000"/>
          <w:kern w:val="0"/>
          <w:sz w:val="18"/>
          <w:szCs w:val="18"/>
        </w:rPr>
        <w:t>among the three mutant lines, showing premature termination in DC6527L and DC6229L.</w:t>
      </w:r>
    </w:p>
    <w:p w14:paraId="4DCC915D">
      <w:pPr>
        <w:spacing w:before="156" w:beforeLines="50" w:after="156" w:afterLines="50" w:line="300" w:lineRule="auto"/>
        <w:jc w:val="both"/>
        <w:rPr>
          <w:rFonts w:hint="default" w:ascii="Times New Roman" w:hAnsi="Times New Roman" w:eastAsia="仿宋_GB2312" w:cs="Times New Roman"/>
          <w:color w:val="000000"/>
          <w:kern w:val="0"/>
          <w:sz w:val="18"/>
          <w:szCs w:val="18"/>
          <w:lang w:val="en-US" w:eastAsia="zh-CN"/>
        </w:rPr>
      </w:pPr>
    </w:p>
    <w:p w14:paraId="42F78C65">
      <w:pPr>
        <w:rPr>
          <w:rFonts w:hint="default" w:ascii="Times New Roman" w:hAnsi="Times New Roman" w:cs="Times New Roman" w:eastAsiaTheme="minorEastAsia"/>
          <w:sz w:val="18"/>
          <w:szCs w:val="18"/>
          <w:lang w:eastAsia="zh-CN"/>
        </w:rPr>
      </w:pPr>
    </w:p>
    <w:p w14:paraId="08BD40FC">
      <w:pPr>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drawing>
          <wp:inline distT="0" distB="0" distL="114300" distR="114300">
            <wp:extent cx="2985135" cy="2266950"/>
            <wp:effectExtent l="0" t="0" r="0" b="0"/>
            <wp:docPr id="3" name="图片 3"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2"/>
                    <pic:cNvPicPr>
                      <a:picLocks noChangeAspect="1"/>
                    </pic:cNvPicPr>
                  </pic:nvPicPr>
                  <pic:blipFill>
                    <a:blip r:embed="rId6"/>
                    <a:stretch>
                      <a:fillRect/>
                    </a:stretch>
                  </pic:blipFill>
                  <pic:spPr>
                    <a:xfrm>
                      <a:off x="0" y="0"/>
                      <a:ext cx="2985135" cy="2266950"/>
                    </a:xfrm>
                    <a:prstGeom prst="rect">
                      <a:avLst/>
                    </a:prstGeom>
                  </pic:spPr>
                </pic:pic>
              </a:graphicData>
            </a:graphic>
          </wp:inline>
        </w:drawing>
      </w:r>
    </w:p>
    <w:p w14:paraId="2CD123A0">
      <w:pPr>
        <w:spacing w:before="156" w:beforeLines="50" w:after="156" w:afterLines="50" w:line="300" w:lineRule="auto"/>
        <w:jc w:val="both"/>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b/>
          <w:bCs/>
          <w:color w:val="000000"/>
          <w:kern w:val="0"/>
          <w:sz w:val="18"/>
          <w:szCs w:val="18"/>
          <w:lang w:eastAsia="zh-CN"/>
        </w:rPr>
        <w:t>Fig.</w:t>
      </w:r>
      <w:r>
        <w:rPr>
          <w:rFonts w:hint="default" w:ascii="Times New Roman" w:hAnsi="Times New Roman" w:eastAsia="仿宋_GB2312" w:cs="Times New Roman"/>
          <w:b/>
          <w:bCs/>
          <w:color w:val="000000"/>
          <w:kern w:val="0"/>
          <w:sz w:val="18"/>
          <w:szCs w:val="18"/>
        </w:rPr>
        <w:t xml:space="preserve"> </w:t>
      </w:r>
      <w:r>
        <w:rPr>
          <w:rFonts w:hint="default" w:ascii="Times New Roman" w:hAnsi="Times New Roman" w:eastAsia="仿宋_GB2312" w:cs="Times New Roman"/>
          <w:b/>
          <w:bCs/>
          <w:color w:val="000000"/>
          <w:kern w:val="0"/>
          <w:sz w:val="18"/>
          <w:szCs w:val="18"/>
          <w:lang w:val="en-US" w:eastAsia="zh-CN"/>
        </w:rPr>
        <w:t>S3</w:t>
      </w:r>
      <w:r>
        <w:rPr>
          <w:rFonts w:hint="default" w:ascii="Times New Roman" w:hAnsi="Times New Roman" w:eastAsia="仿宋_GB2312" w:cs="Times New Roman"/>
          <w:b/>
          <w:bCs/>
          <w:color w:val="000000"/>
          <w:kern w:val="0"/>
          <w:sz w:val="18"/>
          <w:szCs w:val="18"/>
        </w:rPr>
        <w:t>.</w:t>
      </w:r>
      <w:r>
        <w:rPr>
          <w:rFonts w:hint="eastAsia" w:ascii="Times New Roman" w:hAnsi="Times New Roman" w:eastAsia="仿宋_GB2312" w:cs="Times New Roman"/>
          <w:b/>
          <w:bCs/>
          <w:color w:val="000000"/>
          <w:kern w:val="0"/>
          <w:sz w:val="18"/>
          <w:szCs w:val="18"/>
          <w:lang w:val="en-US" w:eastAsia="zh-CN"/>
        </w:rPr>
        <w:t xml:space="preserve"> </w:t>
      </w:r>
      <w:r>
        <w:rPr>
          <w:rFonts w:hint="default" w:ascii="Times New Roman" w:hAnsi="Times New Roman" w:eastAsia="仿宋_GB2312" w:cs="Times New Roman"/>
          <w:color w:val="000000"/>
          <w:kern w:val="0"/>
          <w:sz w:val="18"/>
          <w:szCs w:val="18"/>
        </w:rPr>
        <w:t xml:space="preserve">Comparison of plant height between wild-type HD and </w:t>
      </w:r>
      <w:r>
        <w:rPr>
          <w:rFonts w:hint="default" w:ascii="Times New Roman" w:hAnsi="Times New Roman" w:eastAsia="仿宋_GB2312" w:cs="Times New Roman"/>
          <w:i/>
          <w:iCs/>
          <w:color w:val="000000"/>
          <w:kern w:val="0"/>
          <w:sz w:val="18"/>
          <w:szCs w:val="18"/>
        </w:rPr>
        <w:t xml:space="preserve">NtDMR6 </w:t>
      </w:r>
      <w:r>
        <w:rPr>
          <w:rFonts w:hint="default" w:ascii="Times New Roman" w:hAnsi="Times New Roman" w:eastAsia="仿宋_GB2312" w:cs="Times New Roman"/>
          <w:color w:val="000000"/>
          <w:kern w:val="0"/>
          <w:sz w:val="18"/>
          <w:szCs w:val="18"/>
        </w:rPr>
        <w:t xml:space="preserve">mutant lines under greenhouse conditions. Height was measured from the base of the stem above the soil to the shoot apex. A total of 15 plants were measured for each mutant line and for the HD control. Data are presented as mean ± SD. ns indicates no significant difference based on one-way ANOVA followed by </w:t>
      </w:r>
      <w:r>
        <w:rPr>
          <w:rFonts w:hint="default" w:ascii="Times New Roman" w:hAnsi="Times New Roman" w:eastAsia="仿宋_GB2312" w:cs="Times New Roman"/>
          <w:i/>
          <w:iCs/>
          <w:color w:val="000000"/>
          <w:kern w:val="0"/>
          <w:sz w:val="18"/>
          <w:szCs w:val="18"/>
        </w:rPr>
        <w:t>Tukey</w:t>
      </w:r>
      <w:r>
        <w:rPr>
          <w:rFonts w:hint="default" w:ascii="Times New Roman" w:hAnsi="Times New Roman" w:eastAsia="仿宋_GB2312" w:cs="Times New Roman"/>
          <w:color w:val="000000"/>
          <w:kern w:val="0"/>
          <w:sz w:val="18"/>
          <w:szCs w:val="18"/>
        </w:rPr>
        <w:t>’s HSD.</w:t>
      </w:r>
    </w:p>
    <w:p w14:paraId="7EA13C90">
      <w:pP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br w:type="page"/>
      </w:r>
    </w:p>
    <w:p w14:paraId="668B6E5C">
      <w:pPr>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drawing>
          <wp:inline distT="0" distB="0" distL="114300" distR="114300">
            <wp:extent cx="4087495" cy="3867150"/>
            <wp:effectExtent l="0" t="0" r="1905" b="6350"/>
            <wp:docPr id="1" name="图片 1"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4"/>
                    <pic:cNvPicPr>
                      <a:picLocks noChangeAspect="1"/>
                    </pic:cNvPicPr>
                  </pic:nvPicPr>
                  <pic:blipFill>
                    <a:blip r:embed="rId7"/>
                    <a:stretch>
                      <a:fillRect/>
                    </a:stretch>
                  </pic:blipFill>
                  <pic:spPr>
                    <a:xfrm>
                      <a:off x="0" y="0"/>
                      <a:ext cx="4087495" cy="3867150"/>
                    </a:xfrm>
                    <a:prstGeom prst="rect">
                      <a:avLst/>
                    </a:prstGeom>
                  </pic:spPr>
                </pic:pic>
              </a:graphicData>
            </a:graphic>
          </wp:inline>
        </w:drawing>
      </w:r>
    </w:p>
    <w:p w14:paraId="491A656B">
      <w:pPr>
        <w:jc w:val="both"/>
        <w:rPr>
          <w:rFonts w:hint="default" w:ascii="Times New Roman" w:hAnsi="Times New Roman" w:cs="Times New Roman"/>
          <w:sz w:val="18"/>
          <w:szCs w:val="18"/>
          <w:lang w:val="en-US" w:eastAsia="zh-CN"/>
        </w:rPr>
      </w:pPr>
      <w:r>
        <w:rPr>
          <w:rFonts w:hint="eastAsia" w:ascii="Times New Roman" w:hAnsi="Times New Roman" w:cs="Times New Roman"/>
          <w:b/>
          <w:bCs/>
          <w:sz w:val="18"/>
          <w:szCs w:val="18"/>
          <w:lang w:val="en-US" w:eastAsia="zh-CN"/>
        </w:rPr>
        <w:t>Fig.</w:t>
      </w:r>
      <w:r>
        <w:rPr>
          <w:rFonts w:hint="default" w:ascii="Times New Roman" w:hAnsi="Times New Roman" w:cs="Times New Roman"/>
          <w:b/>
          <w:bCs/>
          <w:sz w:val="18"/>
          <w:szCs w:val="18"/>
          <w:lang w:val="en-US" w:eastAsia="zh-CN"/>
        </w:rPr>
        <w:t xml:space="preserve"> S4.</w:t>
      </w:r>
      <w:r>
        <w:rPr>
          <w:rFonts w:hint="default" w:ascii="Times New Roman" w:hAnsi="Times New Roman" w:cs="Times New Roman"/>
          <w:sz w:val="18"/>
          <w:szCs w:val="18"/>
          <w:lang w:val="en-US" w:eastAsia="zh-CN"/>
        </w:rPr>
        <w:t xml:space="preserve"> Relative expression levels of immune-related genes (</w:t>
      </w:r>
      <w:r>
        <w:rPr>
          <w:rFonts w:hint="default" w:ascii="Times New Roman" w:hAnsi="Times New Roman" w:cs="Times New Roman"/>
          <w:i/>
          <w:iCs/>
          <w:sz w:val="18"/>
          <w:szCs w:val="18"/>
          <w:lang w:val="en-US" w:eastAsia="zh-CN"/>
        </w:rPr>
        <w:t>WRKY6</w:t>
      </w:r>
      <w:r>
        <w:rPr>
          <w:rFonts w:hint="default" w:ascii="Times New Roman" w:hAnsi="Times New Roman" w:cs="Times New Roman"/>
          <w:sz w:val="18"/>
          <w:szCs w:val="18"/>
          <w:lang w:val="en-US" w:eastAsia="zh-CN"/>
        </w:rPr>
        <w:t xml:space="preserve">, </w:t>
      </w:r>
      <w:r>
        <w:rPr>
          <w:rFonts w:hint="default" w:ascii="Times New Roman" w:hAnsi="Times New Roman" w:cs="Times New Roman"/>
          <w:i/>
          <w:iCs/>
          <w:sz w:val="18"/>
          <w:szCs w:val="18"/>
          <w:lang w:val="en-US" w:eastAsia="zh-CN"/>
        </w:rPr>
        <w:t>WRKY46</w:t>
      </w:r>
      <w:r>
        <w:rPr>
          <w:rFonts w:hint="default" w:ascii="Times New Roman" w:hAnsi="Times New Roman" w:cs="Times New Roman"/>
          <w:sz w:val="18"/>
          <w:szCs w:val="18"/>
          <w:lang w:val="en-US" w:eastAsia="zh-CN"/>
        </w:rPr>
        <w:t xml:space="preserve">, </w:t>
      </w:r>
      <w:r>
        <w:rPr>
          <w:rFonts w:hint="default" w:ascii="Times New Roman" w:hAnsi="Times New Roman" w:cs="Times New Roman"/>
          <w:i/>
          <w:iCs/>
          <w:sz w:val="18"/>
          <w:szCs w:val="18"/>
          <w:lang w:val="en-US" w:eastAsia="zh-CN"/>
        </w:rPr>
        <w:t>PR1</w:t>
      </w:r>
      <w:r>
        <w:rPr>
          <w:rFonts w:hint="default" w:ascii="Times New Roman" w:hAnsi="Times New Roman" w:cs="Times New Roman"/>
          <w:sz w:val="18"/>
          <w:szCs w:val="18"/>
          <w:lang w:val="en-US" w:eastAsia="zh-CN"/>
        </w:rPr>
        <w:t xml:space="preserve">, </w:t>
      </w:r>
      <w:r>
        <w:rPr>
          <w:rFonts w:hint="default" w:ascii="Times New Roman" w:hAnsi="Times New Roman" w:cs="Times New Roman"/>
          <w:i/>
          <w:iCs/>
          <w:sz w:val="18"/>
          <w:szCs w:val="18"/>
          <w:lang w:val="en-US" w:eastAsia="zh-CN"/>
        </w:rPr>
        <w:t>NPR1</w:t>
      </w:r>
      <w:r>
        <w:rPr>
          <w:rFonts w:hint="default" w:ascii="Times New Roman" w:hAnsi="Times New Roman" w:cs="Times New Roman"/>
          <w:sz w:val="18"/>
          <w:szCs w:val="18"/>
          <w:lang w:val="en-US" w:eastAsia="zh-CN"/>
        </w:rPr>
        <w:t xml:space="preserve">, and </w:t>
      </w:r>
      <w:r>
        <w:rPr>
          <w:rFonts w:hint="default" w:ascii="Times New Roman" w:hAnsi="Times New Roman" w:cs="Times New Roman"/>
          <w:i/>
          <w:iCs/>
          <w:sz w:val="18"/>
          <w:szCs w:val="18"/>
          <w:lang w:val="en-US" w:eastAsia="zh-CN"/>
        </w:rPr>
        <w:t>RRS1</w:t>
      </w:r>
      <w:r>
        <w:rPr>
          <w:rFonts w:hint="default" w:ascii="Times New Roman" w:hAnsi="Times New Roman" w:cs="Times New Roman"/>
          <w:sz w:val="18"/>
          <w:szCs w:val="18"/>
          <w:lang w:val="en-US" w:eastAsia="zh-CN"/>
        </w:rPr>
        <w:t>) and plant development-related genes (</w:t>
      </w:r>
      <w:r>
        <w:rPr>
          <w:rFonts w:hint="default" w:ascii="Times New Roman" w:hAnsi="Times New Roman" w:cs="Times New Roman"/>
          <w:i/>
          <w:iCs/>
          <w:sz w:val="18"/>
          <w:szCs w:val="18"/>
          <w:lang w:val="en-US" w:eastAsia="zh-CN"/>
        </w:rPr>
        <w:t>PSAF</w:t>
      </w:r>
      <w:r>
        <w:rPr>
          <w:rFonts w:hint="default" w:ascii="Times New Roman" w:hAnsi="Times New Roman" w:cs="Times New Roman"/>
          <w:sz w:val="18"/>
          <w:szCs w:val="18"/>
          <w:lang w:val="en-US" w:eastAsia="zh-CN"/>
        </w:rPr>
        <w:t xml:space="preserve">, </w:t>
      </w:r>
      <w:r>
        <w:rPr>
          <w:rFonts w:hint="default" w:ascii="Times New Roman" w:hAnsi="Times New Roman" w:cs="Times New Roman"/>
          <w:i/>
          <w:iCs/>
          <w:sz w:val="18"/>
          <w:szCs w:val="18"/>
          <w:lang w:val="en-US" w:eastAsia="zh-CN"/>
        </w:rPr>
        <w:t>PNSL4</w:t>
      </w:r>
      <w:r>
        <w:rPr>
          <w:rFonts w:hint="default" w:ascii="Times New Roman" w:hAnsi="Times New Roman" w:cs="Times New Roman"/>
          <w:sz w:val="18"/>
          <w:szCs w:val="18"/>
          <w:lang w:val="en-US" w:eastAsia="zh-CN"/>
        </w:rPr>
        <w:t xml:space="preserve">, </w:t>
      </w:r>
      <w:r>
        <w:rPr>
          <w:rFonts w:hint="default" w:ascii="Times New Roman" w:hAnsi="Times New Roman" w:cs="Times New Roman"/>
          <w:i/>
          <w:iCs/>
          <w:sz w:val="18"/>
          <w:szCs w:val="18"/>
          <w:lang w:val="en-US" w:eastAsia="zh-CN"/>
        </w:rPr>
        <w:t>ARFA</w:t>
      </w:r>
      <w:r>
        <w:rPr>
          <w:rFonts w:hint="default" w:ascii="Times New Roman" w:hAnsi="Times New Roman" w:cs="Times New Roman"/>
          <w:sz w:val="18"/>
          <w:szCs w:val="18"/>
          <w:lang w:val="en-US" w:eastAsia="zh-CN"/>
        </w:rPr>
        <w:t xml:space="preserve">, and </w:t>
      </w:r>
      <w:r>
        <w:rPr>
          <w:rFonts w:hint="default" w:ascii="Times New Roman" w:hAnsi="Times New Roman" w:cs="Times New Roman"/>
          <w:i/>
          <w:iCs/>
          <w:sz w:val="18"/>
          <w:szCs w:val="18"/>
          <w:lang w:val="en-US" w:eastAsia="zh-CN"/>
        </w:rPr>
        <w:t>TCP4</w:t>
      </w:r>
      <w:r>
        <w:rPr>
          <w:rFonts w:hint="default" w:ascii="Times New Roman" w:hAnsi="Times New Roman" w:cs="Times New Roman"/>
          <w:sz w:val="18"/>
          <w:szCs w:val="18"/>
          <w:lang w:val="en-US" w:eastAsia="zh-CN"/>
        </w:rPr>
        <w:t>) in DC6229L and HD at 0 hpi, as determined by RT-qPCR. Data are presented as mean ± SD from t</w:t>
      </w:r>
      <w:bookmarkStart w:id="0" w:name="_GoBack"/>
      <w:bookmarkEnd w:id="0"/>
      <w:r>
        <w:rPr>
          <w:rFonts w:hint="default" w:ascii="Times New Roman" w:hAnsi="Times New Roman" w:cs="Times New Roman"/>
          <w:sz w:val="18"/>
          <w:szCs w:val="18"/>
          <w:lang w:val="en-US" w:eastAsia="zh-CN"/>
        </w:rPr>
        <w:t xml:space="preserve">hree biological replicates. Asterisks indicate significant differences between DC6229L and HD for each gene based on two-tailed Student’s </w:t>
      </w:r>
      <w:r>
        <w:rPr>
          <w:rFonts w:hint="default" w:ascii="Times New Roman" w:hAnsi="Times New Roman" w:cs="Times New Roman"/>
          <w:i/>
          <w:iCs/>
          <w:sz w:val="18"/>
          <w:szCs w:val="18"/>
          <w:lang w:val="en-US" w:eastAsia="zh-CN"/>
        </w:rPr>
        <w:t>t</w:t>
      </w:r>
      <w:r>
        <w:rPr>
          <w:rFonts w:hint="default" w:ascii="Times New Roman" w:hAnsi="Times New Roman" w:cs="Times New Roman"/>
          <w:sz w:val="18"/>
          <w:szCs w:val="18"/>
          <w:lang w:val="en-US" w:eastAsia="zh-CN"/>
        </w:rPr>
        <w:t>-test: **</w:t>
      </w:r>
      <w:r>
        <w:rPr>
          <w:rFonts w:hint="default" w:ascii="Times New Roman" w:hAnsi="Times New Roman" w:cs="Times New Roman"/>
          <w:i/>
          <w:iCs/>
          <w:sz w:val="18"/>
          <w:szCs w:val="18"/>
          <w:lang w:val="en-US" w:eastAsia="zh-CN"/>
        </w:rPr>
        <w:t>P</w:t>
      </w:r>
      <w:r>
        <w:rPr>
          <w:rFonts w:hint="default" w:ascii="Times New Roman" w:hAnsi="Times New Roman" w:cs="Times New Roman"/>
          <w:sz w:val="18"/>
          <w:szCs w:val="18"/>
          <w:lang w:val="en-US" w:eastAsia="zh-CN"/>
        </w:rPr>
        <w:t xml:space="preserve"> &lt; 0.01; ns, not significant.</w:t>
      </w:r>
    </w:p>
    <w:p w14:paraId="17E3F588">
      <w:pPr>
        <w:jc w:val="both"/>
        <w:rPr>
          <w:rFonts w:hint="default" w:ascii="Times New Roman" w:hAnsi="Times New Roman" w:cs="Times New Roman" w:eastAsiaTheme="minorEastAsia"/>
          <w:sz w:val="18"/>
          <w:szCs w:val="1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D5862"/>
    <w:rsid w:val="072C13E9"/>
    <w:rsid w:val="0E88686F"/>
    <w:rsid w:val="1B4F5700"/>
    <w:rsid w:val="32F511E6"/>
    <w:rsid w:val="45487742"/>
    <w:rsid w:val="57F0311A"/>
    <w:rsid w:val="58042652"/>
    <w:rsid w:val="5C3015DF"/>
    <w:rsid w:val="684A733D"/>
    <w:rsid w:val="71BD5BF9"/>
    <w:rsid w:val="78B52398"/>
    <w:rsid w:val="7BEB6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347</Words>
  <Characters>1904</Characters>
  <Lines>0</Lines>
  <Paragraphs>0</Paragraphs>
  <TotalTime>19</TotalTime>
  <ScaleCrop>false</ScaleCrop>
  <LinksUpToDate>false</LinksUpToDate>
  <CharactersWithSpaces>2247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2025-10-17T06:33:00Z</dcterms:created>
  <dc:creator>Administrator</dc:creator>
  <cp:lastModifiedBy>马冰</cp:lastModifiedBy>
  <dcterms:modified xsi:type="dcterms:W3CDTF">2026-07-07T02:05:26Z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eyJoZGlkIjoiODI4ZDA4NjE1YWVmNTFjNDY2MmZmYTNjMjZlNWRlNzIiLCJ1c2VySWQiOiIyNDk3MDgyMzcifQ==</vt:lpwstr>
  </property>
  <property fmtid="{D5CDD505-2E9C-101B-9397-08002B2CF9AE}" pid="4" name="ICV">
    <vt:lpwstr>6D3F0F95EAC6492092BE4BE9F722C93A_12</vt:lpwstr>
  </property>
</Properties>
</file>