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5B9B4" w14:textId="5B8BEA47" w:rsidR="000A4AF2" w:rsidRPr="00B62318" w:rsidRDefault="00DF5446" w:rsidP="000A4AF2">
      <w:pPr>
        <w:pStyle w:val="Heading1"/>
        <w:rPr>
          <w:lang w:val="en-US"/>
        </w:rPr>
      </w:pPr>
      <w:r w:rsidRPr="00B62318">
        <w:rPr>
          <w:lang w:val="en-US"/>
        </w:rPr>
        <w:t xml:space="preserve">Supplementary </w:t>
      </w:r>
      <w:r w:rsidR="00E60513">
        <w:rPr>
          <w:lang w:val="en-US"/>
        </w:rPr>
        <w:t>information - M</w:t>
      </w:r>
      <w:r w:rsidRPr="00B62318">
        <w:rPr>
          <w:lang w:val="en-US"/>
        </w:rPr>
        <w:t>ethods</w:t>
      </w:r>
    </w:p>
    <w:p w14:paraId="6ECC59EA" w14:textId="77777777" w:rsidR="00AC6722" w:rsidRPr="00B62318" w:rsidRDefault="00AC6722" w:rsidP="00AC6722">
      <w:pPr>
        <w:pStyle w:val="Heading2"/>
      </w:pPr>
      <w:r w:rsidRPr="00B62318">
        <w:t>Study area and datasets</w:t>
      </w:r>
    </w:p>
    <w:p w14:paraId="30A2532E" w14:textId="51CAA213" w:rsidR="00AC6722" w:rsidRPr="00B62318" w:rsidRDefault="00AC6722" w:rsidP="00AC6722">
      <w:r w:rsidRPr="00B62318">
        <w:t>We define the study area as the Greater Sydney region in New South Wales, Australia, encompassing all spatial locations for which consistent data are available across tree canopy cover, building footprints, land cover, urban land development projections, and climate projections (</w:t>
      </w:r>
      <w:r w:rsidR="00CE2720" w:rsidRPr="00CE2720">
        <w:t>Extended Data Fig. 1</w:t>
      </w:r>
      <w:r w:rsidRPr="00B62318">
        <w:t>a). The spatial extent is therefore determined by data availability rather than administrative boundaries and represents the maximum contiguous area over which all datasets could be jointly analyzed.</w:t>
      </w:r>
    </w:p>
    <w:p w14:paraId="5E5DD836" w14:textId="55D6CBA6" w:rsidR="00AC6722" w:rsidRPr="00B62318" w:rsidRDefault="00AC6722" w:rsidP="00AC6722">
      <w:r w:rsidRPr="00B62318">
        <w:t xml:space="preserve">To integrate datasets with different native resolutions and formats, we discretize the Greater Sydney region into a uniform grid of hexagonal microcells that constitute the unit of analysis </w:t>
      </w:r>
      <w:r w:rsidRPr="00BA175D">
        <w:t>(</w:t>
      </w:r>
      <w:r w:rsidR="00F17891" w:rsidRPr="00CE2720">
        <w:t>Extended Data Fig. 1</w:t>
      </w:r>
      <w:r w:rsidR="00F17891">
        <w:t>b</w:t>
      </w:r>
      <w:r w:rsidRPr="00BA175D">
        <w:t>). We</w:t>
      </w:r>
      <w:r w:rsidRPr="00B62318">
        <w:t xml:space="preserve"> construct the grid using the H3 hierarchical spatial indexing system, which is a geodesic discrete global grid designed to support multiscale spatial analysis through hexagonal cells </w:t>
      </w:r>
      <w:r w:rsidR="00DD75F7" w:rsidRPr="00B62318">
        <w:fldChar w:fldCharType="begin"/>
      </w:r>
      <w:r w:rsidR="00402049" w:rsidRPr="00B62318">
        <w:instrText xml:space="preserve"> ADDIN EN.CITE &lt;EndNote&gt;&lt;Cite&gt;&lt;Author&gt;Brodsky&lt;/Author&gt;&lt;Year&gt;2018&lt;/Year&gt;&lt;RecNum&gt;1449&lt;/RecNum&gt;&lt;DisplayText&gt;(Brodsky, 2018)&lt;/DisplayText&gt;&lt;record&gt;&lt;rec-number&gt;1449&lt;/rec-number&gt;&lt;foreign-keys&gt;&lt;key app="EN" db-id="ssraawt0aw9azuedz5b5pfszez0twxsdzpz2" timestamp="1769667175"&gt;1449&lt;/key&gt;&lt;/foreign-keys&gt;&lt;ref-type name="Web Page"&gt;12&lt;/ref-type&gt;&lt;contributors&gt;&lt;authors&gt;&lt;author&gt;Isaac Brodsky&lt;/author&gt;&lt;/authors&gt;&lt;/contributors&gt;&lt;titles&gt;&lt;title&gt;H3: Uber’s Hexagonal Hierarchical Spatial Index&lt;/title&gt;&lt;/titles&gt;&lt;volume&gt;2026&lt;/volume&gt;&lt;number&gt;29 January 2026&lt;/number&gt;&lt;dates&gt;&lt;year&gt;2018&lt;/year&gt;&lt;/dates&gt;&lt;urls&gt;&lt;related-urls&gt;&lt;url&gt;https://www.uber.com/en-AU/blog/h3/&lt;/url&gt;&lt;/related-urls&gt;&lt;/urls&gt;&lt;/record&gt;&lt;/Cite&gt;&lt;/EndNote&gt;</w:instrText>
      </w:r>
      <w:r w:rsidR="00DD75F7" w:rsidRPr="00B62318">
        <w:fldChar w:fldCharType="separate"/>
      </w:r>
      <w:r w:rsidR="00402049" w:rsidRPr="00B62318">
        <w:rPr>
          <w:noProof/>
        </w:rPr>
        <w:t>(</w:t>
      </w:r>
      <w:hyperlink w:anchor="_ENREF_13_9" w:tooltip="Brodsky, 2018 #1449" w:history="1">
        <w:r w:rsidR="00673035" w:rsidRPr="00B62318">
          <w:rPr>
            <w:noProof/>
          </w:rPr>
          <w:t>Brodsky, 2018</w:t>
        </w:r>
      </w:hyperlink>
      <w:r w:rsidR="00402049" w:rsidRPr="00B62318">
        <w:rPr>
          <w:noProof/>
        </w:rPr>
        <w:t>)</w:t>
      </w:r>
      <w:r w:rsidR="00DD75F7" w:rsidRPr="00B62318">
        <w:fldChar w:fldCharType="end"/>
      </w:r>
      <w:r w:rsidRPr="00B62318">
        <w:t xml:space="preserve">. Base-resolution H3 hexagons covering the study extent are obtained directly from the input datasets </w:t>
      </w:r>
      <w:r w:rsidR="00DD75F7" w:rsidRPr="00B62318">
        <w:fldChar w:fldCharType="begin"/>
      </w:r>
      <w:r w:rsidR="00402049" w:rsidRPr="00B62318">
        <w:instrText xml:space="preserve"> ADDIN EN.CITE &lt;EndNote&gt;&lt;Cite&gt;&lt;Author&gt;State Government of NSW and NSW Department of Planning Housing and Infrastructure&lt;/Author&gt;&lt;Year&gt;2025&lt;/Year&gt;&lt;RecNum&gt;1295&lt;/RecNum&gt;&lt;DisplayText&gt;(State Government of NSW and NSW Department of Planning Housing and Infrastructure, 2025)&lt;/DisplayText&gt;&lt;record&gt;&lt;rec-number&gt;1295&lt;/rec-number&gt;&lt;foreign-keys&gt;&lt;key app="EN" db-id="ssraawt0aw9azuedz5b5pfszez0twxsdzpz2" timestamp="1761262119"&gt;1295&lt;/key&gt;&lt;/foreign-keys&gt;&lt;ref-type name="Web Page"&gt;12&lt;/ref-type&gt;&lt;contributors&gt;&lt;authors&gt;&lt;author&gt;State Government of NSW and NSW Department of Planning Housing and Infrastructure,&lt;/author&gt;&lt;/authors&gt;&lt;/contributors&gt;&lt;titles&gt;&lt;title&gt;Greater Sydney Canopy Access 2022, accessed from The Sharing and Enabling Environmental Data Portal&lt;/title&gt;&lt;/titles&gt;&lt;volume&gt;2025&lt;/volume&gt;&lt;number&gt;24 October 2025&lt;/number&gt;&lt;dates&gt;&lt;year&gt;2025&lt;/year&gt;&lt;/dates&gt;&lt;urls&gt;&lt;related-urls&gt;&lt;url&gt;https://datasets.seed.nsw.gov.au/dataset/1aacf341-945d-4392-b53d-9d266468963f&lt;/url&gt;&lt;/related-urls&gt;&lt;/urls&gt;&lt;/record&gt;&lt;/Cite&gt;&lt;/EndNote&gt;</w:instrText>
      </w:r>
      <w:r w:rsidR="00DD75F7" w:rsidRPr="00B62318">
        <w:fldChar w:fldCharType="separate"/>
      </w:r>
      <w:r w:rsidR="00402049" w:rsidRPr="00B62318">
        <w:rPr>
          <w:noProof/>
        </w:rPr>
        <w:t>(</w:t>
      </w:r>
      <w:hyperlink w:anchor="_ENREF_13_57" w:tooltip="State Government of NSW and NSW Department of Planning Housing and Infrastructure, 2025 #1295" w:history="1">
        <w:r w:rsidR="00673035" w:rsidRPr="00B62318">
          <w:rPr>
            <w:noProof/>
          </w:rPr>
          <w:t>State Government of NSW and NSW Department of Planning Housing and Infrastructure, 2025</w:t>
        </w:r>
      </w:hyperlink>
      <w:r w:rsidR="00402049" w:rsidRPr="00B62318">
        <w:rPr>
          <w:noProof/>
        </w:rPr>
        <w:t>)</w:t>
      </w:r>
      <w:r w:rsidR="00DD75F7" w:rsidRPr="00B62318">
        <w:fldChar w:fldCharType="end"/>
      </w:r>
      <w:r w:rsidRPr="00B62318">
        <w:t>, each identified by a unique h3 index, and subsequently aggregated into level-1 microcells by merging each hexagon with its six immediate neighbors sharing a common edge using parent–child relationships defined within the H3 framework. This aggregation produces spatial units with an effective radius of approximately 75 m, yielding a grid of 279,965 microcells covering the analyzed extent of Greater Sydney.</w:t>
      </w:r>
    </w:p>
    <w:p w14:paraId="513C7AEA" w14:textId="0C5ECBBE" w:rsidR="00AC6722" w:rsidRPr="00B62318" w:rsidRDefault="00AC6722" w:rsidP="00AC6722">
      <w:r w:rsidRPr="00B62318">
        <w:t xml:space="preserve">The choice of the level-1 microcell scale reflects both methodological and empirical considerations. At the base-hexagon resolution, proportional measures of tree canopy and built coverage are highly sensitive to fine-scale geometric variation, whereas aggregation to the microcell scale yields more stable and interpretable estimates. The resulting microcells align closely to neighborhood-scale spatial relationships observed between tree canopy cover and near-surface air temperature, while remaining sufficiently fine-grained to capture intra-urban heterogeneity </w:t>
      </w:r>
      <w:r w:rsidR="00DD75F7" w:rsidRPr="00B62318">
        <w:fldChar w:fldCharType="begin"/>
      </w:r>
      <w:r w:rsidR="00402049" w:rsidRPr="00B62318">
        <w:instrText xml:space="preserve"> ADDIN EN.CITE &lt;EndNote&gt;&lt;Cite&gt;&lt;Author&gt;Ziter&lt;/Author&gt;&lt;Year&gt;2019&lt;/Year&gt;&lt;RecNum&gt;1070&lt;/RecNum&gt;&lt;DisplayText&gt;(Ziter et al., 2019)&lt;/DisplayText&gt;&lt;record&gt;&lt;rec-number&gt;1070&lt;/rec-number&gt;&lt;foreign-keys&gt;&lt;key app="EN" db-id="ssraawt0aw9azuedz5b5pfszez0twxsdzpz2" timestamp="1724112245"&gt;1070&lt;/key&gt;&lt;/foreign-keys&gt;&lt;ref-type name="Journal Article"&gt;17&lt;/ref-type&gt;&lt;contributors&gt;&lt;authors&gt;&lt;author&gt;Ziter, Carly D&lt;/author&gt;&lt;author&gt;Pedersen, Eric J&lt;/author&gt;&lt;author&gt;Kucharik, Christopher J&lt;/author&gt;&lt;author&gt;Turner, Monica G&lt;/author&gt;&lt;/authors&gt;&lt;/contributors&gt;&lt;titles&gt;&lt;title&gt;Scale-dependent interactions between tree canopy cover and impervious surfaces reduce daytime urban heat during summer&lt;/title&gt;&lt;secondary-title&gt;Proceedings of the National Academy of Sciences&lt;/secondary-title&gt;&lt;/titles&gt;&lt;periodical&gt;&lt;full-title&gt;Proceedings of the National Academy of Sciences&lt;/full-title&gt;&lt;/periodical&gt;&lt;pages&gt;7575-7580&lt;/pages&gt;&lt;volume&gt;116&lt;/volume&gt;&lt;number&gt;15&lt;/number&gt;&lt;dates&gt;&lt;year&gt;2019&lt;/year&gt;&lt;/dates&gt;&lt;isbn&gt;0027-8424&lt;/isbn&gt;&lt;urls&gt;&lt;/urls&gt;&lt;/record&gt;&lt;/Cite&gt;&lt;/EndNote&gt;</w:instrText>
      </w:r>
      <w:r w:rsidR="00DD75F7" w:rsidRPr="00B62318">
        <w:fldChar w:fldCharType="separate"/>
      </w:r>
      <w:r w:rsidR="00402049" w:rsidRPr="00B62318">
        <w:rPr>
          <w:noProof/>
        </w:rPr>
        <w:t>(</w:t>
      </w:r>
      <w:hyperlink w:anchor="_ENREF_13_73" w:tooltip="Ziter, 2019 #1070" w:history="1">
        <w:r w:rsidR="00673035" w:rsidRPr="00B62318">
          <w:rPr>
            <w:noProof/>
          </w:rPr>
          <w:t>Ziter et al., 2019</w:t>
        </w:r>
      </w:hyperlink>
      <w:r w:rsidR="00402049" w:rsidRPr="00B62318">
        <w:rPr>
          <w:noProof/>
        </w:rPr>
        <w:t>)</w:t>
      </w:r>
      <w:r w:rsidR="00DD75F7" w:rsidRPr="00B62318">
        <w:fldChar w:fldCharType="end"/>
      </w:r>
      <w:r w:rsidRPr="00B62318">
        <w:t>. For analytical purposes, land cover, built form, and climate exposure are assumed to be approximately homogeneous within each microcell, which enables consistent spatial integration across datasets with differing native resolutions.</w:t>
      </w:r>
    </w:p>
    <w:p w14:paraId="1844410C" w14:textId="3083FAEA" w:rsidR="00AC6722" w:rsidRPr="00B62318" w:rsidRDefault="00AC6722" w:rsidP="00AC6722">
      <w:r w:rsidRPr="00B62318">
        <w:t xml:space="preserve">We derive baseline tree canopy conditions from the Greater Sydney Canopy Access 2022 dataset produced by the </w:t>
      </w:r>
      <w:hyperlink w:anchor="_ENREF_13_57" w:tooltip="State Government of NSW and NSW Department of Planning Housing and Infrastructure, 2025 #1295" w:history="1">
        <w:r w:rsidR="00673035" w:rsidRPr="00B62318">
          <w:fldChar w:fldCharType="begin"/>
        </w:r>
        <w:r w:rsidR="00673035" w:rsidRPr="00B62318">
          <w:instrText xml:space="preserve"> ADDIN EN.CITE &lt;EndNote&gt;&lt;Cite AuthorYear="1"&gt;&lt;Author&gt;State Government of NSW and NSW Department of Planning Housing and Infrastructure&lt;/Author&gt;&lt;Year&gt;2025&lt;/Year&gt;&lt;RecNum&gt;1295&lt;/RecNum&gt;&lt;DisplayText&gt;State Government of NSW and NSW Department of Planning Housing and Infrastructure (2025)&lt;/DisplayText&gt;&lt;record&gt;&lt;rec-number&gt;1295&lt;/rec-number&gt;&lt;foreign-keys&gt;&lt;key app="EN" db-id="ssraawt0aw9azuedz5b5pfszez0twxsdzpz2" timestamp="1761262119"&gt;1295&lt;/key&gt;&lt;/foreign-keys&gt;&lt;ref-type name="Web Page"&gt;12&lt;/ref-type&gt;&lt;contributors&gt;&lt;authors&gt;&lt;author&gt;State Government of NSW and NSW Department of Planning Housing and Infrastructure,&lt;/author&gt;&lt;/authors&gt;&lt;/contributors&gt;&lt;titles&gt;&lt;title&gt;Greater Sydney Canopy Access 2022, accessed from The Sharing and Enabling Environmental Data Portal&lt;/title&gt;&lt;/titles&gt;&lt;volume&gt;2025&lt;/volume&gt;&lt;number&gt;24 October 2025&lt;/number&gt;&lt;dates&gt;&lt;year&gt;2025&lt;/year&gt;&lt;/dates&gt;&lt;urls&gt;&lt;related-urls&gt;&lt;url&gt;https://datasets.seed.nsw.gov.au/dataset/1aacf341-945d-4392-b53d-9d266468963f&lt;/url&gt;&lt;/related-urls&gt;&lt;/urls&gt;&lt;/record&gt;&lt;/Cite&gt;&lt;/EndNote&gt;</w:instrText>
        </w:r>
        <w:r w:rsidR="00673035" w:rsidRPr="00B62318">
          <w:fldChar w:fldCharType="separate"/>
        </w:r>
        <w:r w:rsidR="00673035" w:rsidRPr="00B62318">
          <w:rPr>
            <w:noProof/>
          </w:rPr>
          <w:t>State Government of NSW and NSW Department of Planning Housing and Infrastructure (2025)</w:t>
        </w:r>
        <w:r w:rsidR="00673035" w:rsidRPr="00B62318">
          <w:fldChar w:fldCharType="end"/>
        </w:r>
      </w:hyperlink>
      <w:r w:rsidRPr="00B62318">
        <w:t xml:space="preserve">. This dataset provides vegetation cover metrics in a hexagonal vector grid across the Greater Sydney region and classifies vegetation by height, with tree canopy defined as vegetation exceeding 3 m. Canopy cover is reported as the percentage of each hexagonal cell occupied by tree canopy. Because the dataset is supplied in a hexagonal grid compatible with the H3 base resolution, we calculate tree canopy percentage for each microcell </w:t>
      </w:r>
      <w:r w:rsidRPr="00B62318">
        <w:lastRenderedPageBreak/>
        <w:t>as an area-weighted mean across all constituent base hexagons. These values represent baseline canopy access conditions and serve as the initial state for subsequent analyses.</w:t>
      </w:r>
    </w:p>
    <w:p w14:paraId="0D801B44" w14:textId="3FED7CFA" w:rsidR="00AC6722" w:rsidRPr="00B62318" w:rsidRDefault="00AC6722" w:rsidP="00AC6722">
      <w:r w:rsidRPr="00B62318">
        <w:t xml:space="preserve">We characterize baseline urban land development using the ESA </w:t>
      </w:r>
      <w:proofErr w:type="spellStart"/>
      <w:r w:rsidRPr="00B62318">
        <w:t>WorldCover</w:t>
      </w:r>
      <w:proofErr w:type="spellEnd"/>
      <w:r w:rsidRPr="00B62318">
        <w:t xml:space="preserve"> 2021 dataset </w:t>
      </w:r>
      <w:r w:rsidR="00DD75F7" w:rsidRPr="00B62318">
        <w:fldChar w:fldCharType="begin"/>
      </w:r>
      <w:r w:rsidR="00402049" w:rsidRPr="00B62318">
        <w:instrText xml:space="preserve"> ADDIN EN.CITE &lt;EndNote&gt;&lt;Cite&gt;&lt;Author&gt;Zanaga&lt;/Author&gt;&lt;Year&gt;2022&lt;/Year&gt;&lt;RecNum&gt;1456&lt;/RecNum&gt;&lt;DisplayText&gt;(Zanaga et al., 2022)&lt;/DisplayText&gt;&lt;record&gt;&lt;rec-number&gt;1456&lt;/rec-number&gt;&lt;foreign-keys&gt;&lt;key app="EN" db-id="ssraawt0aw9azuedz5b5pfszez0twxsdzpz2" timestamp="1769741706"&gt;1456&lt;/key&gt;&lt;/foreign-keys&gt;&lt;ref-type name="Dataset"&gt;59&lt;/ref-type&gt;&lt;contributors&gt;&lt;authors&gt;&lt;author&gt;Zanaga, D.&lt;/author&gt;&lt;author&gt;Van De Kerchove, R.&lt;/author&gt;&lt;author&gt;Daems, D.&lt;/author&gt;&lt;author&gt;De Keersmaecker, W.&lt;/author&gt;&lt;author&gt;Brockmann, C.&lt;/author&gt;&lt;author&gt;Kirches, G.&lt;/author&gt;&lt;author&gt;Wevers, J.&lt;/author&gt;&lt;author&gt;Cartus, O.&lt;/author&gt;&lt;author&gt;Santoro, M.&lt;/author&gt;&lt;author&gt;Fritz, S.&lt;/author&gt;&lt;author&gt;Lesiv, M.&lt;/author&gt;&lt;author&gt;Herold, M.&lt;/author&gt;&lt;author&gt;Tsendbazar, N. E.&lt;/author&gt;&lt;author&gt;Xu, P.&lt;/author&gt;&lt;author&gt;Ramoino, F.&lt;/author&gt;&lt;author&gt;Arino, O.&lt;/author&gt;&lt;/authors&gt;&lt;/contributors&gt;&lt;titles&gt;&lt;title&gt;ESA WorldCover 10 m 2021 v200&lt;/title&gt;&lt;/titles&gt;&lt;dates&gt;&lt;year&gt;2022&lt;/year&gt;&lt;pub-dates&gt;&lt;date&gt;29 January 2026&lt;/date&gt;&lt;/pub-dates&gt;&lt;/dates&gt;&lt;publisher&gt;Zenodo&lt;/publisher&gt;&lt;urls&gt;&lt;related-urls&gt;&lt;url&gt;https://doi.org/10.5281/zenodo.7254221&lt;/url&gt;&lt;/related-urls&gt;&lt;/urls&gt;&lt;electronic-resource-num&gt;https://doi.org/10.5281/zenodo.7254221&lt;/electronic-resource-num&gt;&lt;/record&gt;&lt;/Cite&gt;&lt;/EndNote&gt;</w:instrText>
      </w:r>
      <w:r w:rsidR="00DD75F7" w:rsidRPr="00B62318">
        <w:fldChar w:fldCharType="separate"/>
      </w:r>
      <w:r w:rsidR="00402049" w:rsidRPr="00B62318">
        <w:rPr>
          <w:noProof/>
        </w:rPr>
        <w:t>(</w:t>
      </w:r>
      <w:hyperlink w:anchor="_ENREF_13_72" w:tooltip="Zanaga, 2022 #1456" w:history="1">
        <w:r w:rsidR="00673035" w:rsidRPr="00B62318">
          <w:rPr>
            <w:noProof/>
          </w:rPr>
          <w:t>Zanaga et al., 2022</w:t>
        </w:r>
      </w:hyperlink>
      <w:r w:rsidR="00402049" w:rsidRPr="00B62318">
        <w:rPr>
          <w:noProof/>
        </w:rPr>
        <w:t>)</w:t>
      </w:r>
      <w:r w:rsidR="00DD75F7" w:rsidRPr="00B62318">
        <w:fldChar w:fldCharType="end"/>
      </w:r>
      <w:r w:rsidRPr="00B62318">
        <w:t xml:space="preserve">. This global land-cover product provides categorical classifications at 10 m spatial resolution, with each pixel assigned to one of 11 mutually exclusive land-cover classes defined under the Food and Agriculture Organization of the United Nations land cover classification system </w:t>
      </w:r>
      <w:r w:rsidR="00DD75F7" w:rsidRPr="00B62318">
        <w:fldChar w:fldCharType="begin"/>
      </w:r>
      <w:r w:rsidR="00402049" w:rsidRPr="00B62318">
        <w:instrText xml:space="preserve"> ADDIN EN.CITE &lt;EndNote&gt;&lt;Cite&gt;&lt;Author&gt;Di Gregorio&lt;/Author&gt;&lt;Year&gt;2005&lt;/Year&gt;&lt;RecNum&gt;1457&lt;/RecNum&gt;&lt;DisplayText&gt;(Di Gregorio, 2005)&lt;/DisplayText&gt;&lt;record&gt;&lt;rec-number&gt;1457&lt;/rec-number&gt;&lt;foreign-keys&gt;&lt;key app="EN" db-id="ssraawt0aw9azuedz5b5pfszez0twxsdzpz2" timestamp="1769742189"&gt;1457&lt;/key&gt;&lt;/foreign-keys&gt;&lt;ref-type name="Book"&gt;6&lt;/ref-type&gt;&lt;contributors&gt;&lt;authors&gt;&lt;author&gt;Di Gregorio, Antonio&lt;/author&gt;&lt;/authors&gt;&lt;/contributors&gt;&lt;titles&gt;&lt;title&gt;Land cover classification system: classification concepts and user manual: LCCS&lt;/title&gt;&lt;/titles&gt;&lt;volume&gt;8&lt;/volume&gt;&lt;dates&gt;&lt;year&gt;2005&lt;/year&gt;&lt;/dates&gt;&lt;publisher&gt;Food &amp;amp; Agriculture Org.&lt;/publisher&gt;&lt;isbn&gt;9251053278&lt;/isbn&gt;&lt;urls&gt;&lt;/urls&gt;&lt;/record&gt;&lt;/Cite&gt;&lt;/EndNote&gt;</w:instrText>
      </w:r>
      <w:r w:rsidR="00DD75F7" w:rsidRPr="00B62318">
        <w:fldChar w:fldCharType="separate"/>
      </w:r>
      <w:r w:rsidR="00402049" w:rsidRPr="00B62318">
        <w:rPr>
          <w:noProof/>
        </w:rPr>
        <w:t>(</w:t>
      </w:r>
      <w:hyperlink w:anchor="_ENREF_13_15" w:tooltip="Di Gregorio, 2005 #1457" w:history="1">
        <w:r w:rsidR="00673035" w:rsidRPr="00B62318">
          <w:rPr>
            <w:noProof/>
          </w:rPr>
          <w:t>Di Gregorio, 2005</w:t>
        </w:r>
      </w:hyperlink>
      <w:r w:rsidR="00402049" w:rsidRPr="00B62318">
        <w:rPr>
          <w:noProof/>
        </w:rPr>
        <w:t>)</w:t>
      </w:r>
      <w:r w:rsidR="00DD75F7" w:rsidRPr="00B62318">
        <w:fldChar w:fldCharType="end"/>
      </w:r>
      <w:r w:rsidRPr="00B62318">
        <w:t>. Among these classes, the “built-up” category identifies areas dominated by buildings, roads, and other impervious urban surfaces. We extract the built-up class and intersect it with the microcells. For each microcell, we calculate the proportion of area classified as built-up by summing the area of built-up pixels within the microcell and dividing by the total microcell area. This proportion represents the observed baseline urban land development state against which future urban land expansion scenarios are downscaled and evaluated.</w:t>
      </w:r>
    </w:p>
    <w:p w14:paraId="06A2B222" w14:textId="59A92D6B" w:rsidR="00AC6722" w:rsidRPr="00B62318" w:rsidRDefault="00AC6722" w:rsidP="00AC6722">
      <w:r w:rsidRPr="00B62318">
        <w:t xml:space="preserve">Future urban land development projections, referred to here as projected built-up area, are obtained from the global 1-km downscaled urban land extent projection dataset developed by </w:t>
      </w:r>
      <w:r w:rsidRPr="00B62318">
        <w:fldChar w:fldCharType="begin"/>
      </w:r>
      <w:r w:rsidR="00402049" w:rsidRPr="00B62318">
        <w:instrText xml:space="preserve"> ADDIN EN.CITE &lt;EndNote&gt;&lt;Cite AuthorYear="1"&gt;&lt;Author&gt;Gao&lt;/Author&gt;&lt;Year&gt;2021&lt;/Year&gt;&lt;RecNum&gt;1294&lt;/RecNum&gt;&lt;DisplayText&gt;Gao and Pesaresi (2021a, 2021b)&lt;/DisplayText&gt;&lt;record&gt;&lt;rec-number&gt;1294&lt;/rec-number&gt;&lt;foreign-keys&gt;&lt;key app="EN" db-id="ssraawt0aw9azuedz5b5pfszez0twxsdzpz2" timestamp="1761107412"&gt;1294&lt;/key&gt;&lt;/foreign-keys&gt;&lt;ref-type name="Journal Article"&gt;17&lt;/ref-type&gt;&lt;contributors&gt;&lt;authors&gt;&lt;author&gt;Gao, Jing&lt;/author&gt;&lt;author&gt;Pesaresi, Martino&lt;/author&gt;&lt;/authors&gt;&lt;/contributors&gt;&lt;titles&gt;&lt;title&gt;Downscaling SSP-consistent global spatial urban land projections from 1/8-degree to 1-km resolution 2000–2100&lt;/title&gt;&lt;secondary-title&gt;Scientific Data&lt;/secondary-title&gt;&lt;/titles&gt;&lt;periodical&gt;&lt;full-title&gt;Scientific Data&lt;/full-title&gt;&lt;/periodical&gt;&lt;pages&gt;281&lt;/pages&gt;&lt;volume&gt;8&lt;/volume&gt;&lt;number&gt;1&lt;/number&gt;&lt;dates&gt;&lt;year&gt;2021&lt;/year&gt;&lt;/dates&gt;&lt;isbn&gt;2052-4463&lt;/isbn&gt;&lt;urls&gt;&lt;/urls&gt;&lt;/record&gt;&lt;/Cite&gt;&lt;Cite AuthorYear="1"&gt;&lt;Author&gt;Gao&lt;/Author&gt;&lt;Year&gt;2021&lt;/Year&gt;&lt;RecNum&gt;1459&lt;/RecNum&gt;&lt;record&gt;&lt;rec-number&gt;1459&lt;/rec-number&gt;&lt;foreign-keys&gt;&lt;key app="EN" db-id="ssraawt0aw9azuedz5b5pfszez0twxsdzpz2" timestamp="1769743492"&gt;1459&lt;/key&gt;&lt;/foreign-keys&gt;&lt;ref-type name="Dataset"&gt;59&lt;/ref-type&gt;&lt;contributors&gt;&lt;authors&gt;&lt;author&gt;Gao, Jing&lt;/author&gt;&lt;author&gt;Pesaresi, Martino&lt;/author&gt;&lt;/authors&gt;&lt;/contributors&gt;&lt;titles&gt;&lt;title&gt;Global 1-km Downscaled Urban Land Extent Projection and Base Year Grids by SSP Scenarios, 2000–2100&lt;/title&gt;&lt;/titles&gt;&lt;dates&gt;&lt;year&gt;2021&lt;/year&gt;&lt;pub-dates&gt;&lt;date&gt;29 January 2026&lt;/date&gt;&lt;/pub-dates&gt;&lt;/dates&gt;&lt;pub-location&gt;Palisades, NY&lt;/pub-location&gt;&lt;publisher&gt;NASA Socioeconomic Data and Applications Center (SEDAC)&lt;/publisher&gt;&lt;urls&gt;&lt;related-urls&gt;&lt;url&gt;https://doi.org/10.7927/1z4r-ez63&lt;/url&gt;&lt;/related-urls&gt;&lt;/urls&gt;&lt;electronic-resource-num&gt;https://doi.org/10.7927/1z4r-ez63&lt;/electronic-resource-num&gt;&lt;/record&gt;&lt;/Cite&gt;&lt;/EndNote&gt;</w:instrText>
      </w:r>
      <w:r w:rsidRPr="00B62318">
        <w:fldChar w:fldCharType="separate"/>
      </w:r>
      <w:hyperlink w:anchor="_ENREF_13_21" w:tooltip="Gao, 2021 #1294" w:history="1">
        <w:r w:rsidR="00673035" w:rsidRPr="00B62318">
          <w:rPr>
            <w:noProof/>
          </w:rPr>
          <w:t>Gao and Pesaresi (2021a</w:t>
        </w:r>
      </w:hyperlink>
      <w:r w:rsidR="00402049" w:rsidRPr="00B62318">
        <w:rPr>
          <w:noProof/>
        </w:rPr>
        <w:t xml:space="preserve">, </w:t>
      </w:r>
      <w:hyperlink w:anchor="_ENREF_13_22" w:tooltip="Gao, 2021 #1459" w:history="1">
        <w:r w:rsidR="00673035" w:rsidRPr="00B62318">
          <w:rPr>
            <w:noProof/>
          </w:rPr>
          <w:t>2021b)</w:t>
        </w:r>
      </w:hyperlink>
      <w:r w:rsidRPr="00B62318">
        <w:fldChar w:fldCharType="end"/>
      </w:r>
      <w:r w:rsidRPr="00B62318">
        <w:t>. This dataset provides decadal projections of urban land fractions from 2000 to 2100 under five shared socioeconomic pathways (SSP1–SSP5). In this study, we use projections corresponding to SSP1, SSP2, and SSP5 for decadal periods beginning in 2040. The projections are supplied at a spatial resolution of approximately 1 km and represent the fraction of each grid cell classified as urban land. These projections form the basis for modeling future urban land development trajectories in Greater Sydney and are further downscaled to the microcell level.</w:t>
      </w:r>
    </w:p>
    <w:p w14:paraId="2A987F32" w14:textId="1DC44C55" w:rsidR="00AC6722" w:rsidRPr="00B62318" w:rsidRDefault="00AC6722" w:rsidP="00AC6722">
      <w:r w:rsidRPr="00B62318">
        <w:t xml:space="preserve">Baseline building footprint is characterized using the Microsoft Bing Maps open building footprints dataset for Australia, which provides polygon geometries representing the spatial extent of individual buildings derived from automated extraction of high-resolution satellite imagery </w:t>
      </w:r>
      <w:r w:rsidR="00DD75F7" w:rsidRPr="00B62318">
        <w:fldChar w:fldCharType="begin"/>
      </w:r>
      <w:r w:rsidR="00402049" w:rsidRPr="00B62318">
        <w:instrText xml:space="preserve"> ADDIN EN.CITE &lt;EndNote&gt;&lt;Cite&gt;&lt;Author&gt;Microsoft&lt;/Author&gt;&lt;Year&gt;2018&lt;/Year&gt;&lt;RecNum&gt;1451&lt;/RecNum&gt;&lt;DisplayText&gt;(Microsoft, 2018)&lt;/DisplayText&gt;&lt;record&gt;&lt;rec-number&gt;1451&lt;/rec-number&gt;&lt;foreign-keys&gt;&lt;key app="EN" db-id="ssraawt0aw9azuedz5b5pfszez0twxsdzpz2" timestamp="1769669505"&gt;1451&lt;/key&gt;&lt;/foreign-keys&gt;&lt;ref-type name="Web Page"&gt;12&lt;/ref-type&gt;&lt;contributors&gt;&lt;authors&gt;&lt;author&gt;Microsoft&lt;/author&gt;&lt;/authors&gt;&lt;/contributors&gt;&lt;titles&gt;&lt;title&gt;Australia building footprints&lt;/title&gt;&lt;/titles&gt;&lt;volume&gt;2026&lt;/volume&gt;&lt;number&gt;29 January 2026&lt;/number&gt;&lt;dates&gt;&lt;year&gt;2018&lt;/year&gt;&lt;/dates&gt;&lt;publisher&gt;GitHub&lt;/publisher&gt;&lt;work-type&gt;Dataset&lt;/work-type&gt;&lt;urls&gt;&lt;related-urls&gt;&lt;url&gt;https://github.com/microsoft/AustraliaBuildingFootprints&lt;/url&gt;&lt;/related-urls&gt;&lt;/urls&gt;&lt;electronic-resource-num&gt;https://github.com/microsoft/AustraliaBuildingFootprints&lt;/electronic-resource-num&gt;&lt;language&gt;Online&lt;/language&gt;&lt;/record&gt;&lt;/Cite&gt;&lt;/EndNote&gt;</w:instrText>
      </w:r>
      <w:r w:rsidR="00DD75F7" w:rsidRPr="00B62318">
        <w:fldChar w:fldCharType="separate"/>
      </w:r>
      <w:r w:rsidR="00402049" w:rsidRPr="00B62318">
        <w:rPr>
          <w:noProof/>
        </w:rPr>
        <w:t>(</w:t>
      </w:r>
      <w:hyperlink w:anchor="_ENREF_13_45" w:tooltip="Microsoft, 2018 #1451" w:history="1">
        <w:r w:rsidR="00673035" w:rsidRPr="00B62318">
          <w:rPr>
            <w:noProof/>
          </w:rPr>
          <w:t>Microsoft, 2018</w:t>
        </w:r>
      </w:hyperlink>
      <w:r w:rsidR="00402049" w:rsidRPr="00B62318">
        <w:rPr>
          <w:noProof/>
        </w:rPr>
        <w:t>)</w:t>
      </w:r>
      <w:r w:rsidR="00DD75F7" w:rsidRPr="00B62318">
        <w:fldChar w:fldCharType="end"/>
      </w:r>
      <w:r w:rsidRPr="00B62318">
        <w:t>. We align the building footprint layer with the microcell grid and calculate, for each microcell, the total area of building footprints contained within its boundary. This area is expressed as a proportion of total microcell area, yielding a baseline measure of building footprint coverage at the neighborhood scale. These estimates of baseline building footprint are subsequently combined with downscaled projections of urban land development under different SSPs to estimate future building footprint extents within each microcell and to inform upper bounds on feasible tree canopy expansion in future decades.</w:t>
      </w:r>
    </w:p>
    <w:p w14:paraId="37546786" w14:textId="653AC3C5" w:rsidR="00AC6722" w:rsidRPr="00B62318" w:rsidRDefault="00AC6722" w:rsidP="00AC6722">
      <w:r w:rsidRPr="00B62318">
        <w:t xml:space="preserve">Projected climate data are obtained from the coupled model intercomparison project phase 6 (CMIP6) application-ready gridded datasets </w:t>
      </w:r>
      <w:r w:rsidR="00DD75F7" w:rsidRPr="00B62318">
        <w:fldChar w:fldCharType="begin"/>
      </w:r>
      <w:r w:rsidR="00402049" w:rsidRPr="00B62318">
        <w:instrText xml:space="preserve"> ADDIN EN.CITE &lt;EndNote&gt;&lt;Cite&gt;&lt;Author&gt;Irving&lt;/Author&gt;&lt;Year&gt;2024&lt;/Year&gt;&lt;RecNum&gt;1460&lt;/RecNum&gt;&lt;DisplayText&gt;(Irving et al., 2024)&lt;/DisplayText&gt;&lt;record&gt;&lt;rec-number&gt;1460&lt;/rec-number&gt;&lt;foreign-keys&gt;&lt;key app="EN" db-id="ssraawt0aw9azuedz5b5pfszez0twxsdzpz2" timestamp="1769985995"&gt;1460&lt;/key&gt;&lt;/foreign-keys&gt;&lt;ref-type name="Dataset"&gt;59&lt;/ref-type&gt;&lt;contributors&gt;&lt;authors&gt;&lt;author&gt;Irving, Damien&lt;/author&gt;&lt;author&gt;Macadam, Ian&lt;/author&gt;&lt;author&gt;King, Malcolm&lt;/author&gt;&lt;/authors&gt;&lt;/contributors&gt;&lt;titles&gt;&lt;title&gt;Application-ready quantile-delta-change (QDC) scaled CMIP6 climate projections for Australia (global warming levels, 5km grid)&lt;/title&gt;&lt;secondary-title&gt;CSIRO Data Collection&lt;/secondary-title&gt;&lt;/titles&gt;&lt;dates&gt;&lt;year&gt;2024&lt;/year&gt;&lt;/dates&gt;&lt;urls&gt;&lt;related-urls&gt;&lt;url&gt;https://doi.org/10.25919/mywe-tz19&lt;/url&gt;&lt;/related-urls&gt;&lt;/urls&gt;&lt;electronic-resource-num&gt;10.25919/mywe-tz19&lt;/electronic-resource-num&gt;&lt;/record&gt;&lt;/Cite&gt;&lt;/EndNote&gt;</w:instrText>
      </w:r>
      <w:r w:rsidR="00DD75F7" w:rsidRPr="00B62318">
        <w:fldChar w:fldCharType="separate"/>
      </w:r>
      <w:r w:rsidR="00402049" w:rsidRPr="00B62318">
        <w:rPr>
          <w:noProof/>
        </w:rPr>
        <w:t>(</w:t>
      </w:r>
      <w:hyperlink w:anchor="_ENREF_13_34" w:tooltip="Irving, 2024 #1460" w:history="1">
        <w:r w:rsidR="00673035" w:rsidRPr="00B62318">
          <w:rPr>
            <w:noProof/>
          </w:rPr>
          <w:t>Irving et al., 2024</w:t>
        </w:r>
      </w:hyperlink>
      <w:r w:rsidR="00402049" w:rsidRPr="00B62318">
        <w:rPr>
          <w:noProof/>
        </w:rPr>
        <w:t>)</w:t>
      </w:r>
      <w:r w:rsidR="00DD75F7" w:rsidRPr="00B62318">
        <w:fldChar w:fldCharType="end"/>
      </w:r>
      <w:r w:rsidRPr="00B62318">
        <w:t xml:space="preserve">. We use daily maximum near-surface air temperature (tasmax) projections for three emissions pathways corresponding to SSP1-2.6, SSP2-4.5, and SSP5-8.5. The datasets are provided at an approximate spatial resolution of 5 km and are generated using a statistical scaling approach that applies projected </w:t>
      </w:r>
      <w:r w:rsidRPr="00B62318">
        <w:lastRenderedPageBreak/>
        <w:t>quantile changes from CMIP6 global climate models to high-quality observational baselines. For temperature, datasets scaled from the Australian gridded climate data (AGCD) observational product are used. A multi-model ensemble comprising eight CMIP6 global climate models is used to characterize uncertainty across climate responses. We extract daily tasmax projections for decadal years spanning 2040 to 2099, with values for 2099 used as a proxy for end-of-century (2100) conditions. Projected temperatures are then assigned to microcells and combined to construct ensemble estimates.</w:t>
      </w:r>
    </w:p>
    <w:p w14:paraId="3C1448A9" w14:textId="630A457D" w:rsidR="00AC6722" w:rsidRPr="00B62318" w:rsidRDefault="00AC6722" w:rsidP="00AC6722">
      <w:r w:rsidRPr="00B62318">
        <w:t xml:space="preserve">To ensure temporal consistency across datasets that are not observed in the same calendar year, we define a common baseline reference year. All baseline conditions are indexed to the year 2020, even though the underlying datasets are drawn from the closest available observation years spanning approximately 2018 to 2022. Future allocation decisions and </w:t>
      </w:r>
      <w:r w:rsidR="00A10A85">
        <w:t>regime</w:t>
      </w:r>
      <w:r w:rsidRPr="00B62318">
        <w:t xml:space="preserve"> simulations are subsequently evaluated at discrete decadal time steps from 2040 to 2100, consistent with the temporal resolution at which projected urban land development and climate data are available. All state variables and initial conditions used in the following analyses are indexed relative to this 2020 baseline unless stated otherwise.</w:t>
      </w:r>
    </w:p>
    <w:p w14:paraId="60DC145D" w14:textId="77777777" w:rsidR="00E12012" w:rsidRPr="00B62318" w:rsidRDefault="00E12012" w:rsidP="00E12012">
      <w:pPr>
        <w:pStyle w:val="Heading2"/>
      </w:pPr>
      <w:r w:rsidRPr="00B62318">
        <w:t>Spatio-temporal microcell panel</w:t>
      </w:r>
    </w:p>
    <w:p w14:paraId="7F3DF5E6" w14:textId="77777777" w:rsidR="00AC6722" w:rsidRPr="00B62318" w:rsidRDefault="00AC6722" w:rsidP="00AC6722">
      <w:r w:rsidRPr="00B62318">
        <w:t>We transform the baseline microcell dataset into a fully specified spatio-temporal panel suitable for forward-looking analysis under alternative socioeconomic and climate futures. Observed baseline conditions are extended through projections that are internally consistent across space, time, and scenario. For each microcell we estimate future building footprint fractions for multiple decadal time steps under different shared socioeconomic pathways, derived from projected built-up area that is first downscaled from coarser spatial resolutions. In parallel, we assign downscaled and ensemble-averaged projections of daily maximum near-surface air temperature to each microcell for corresponding emissions pathways and target years.</w:t>
      </w:r>
    </w:p>
    <w:p w14:paraId="7F409464" w14:textId="77777777" w:rsidR="00E12012" w:rsidRPr="00B62318" w:rsidRDefault="00E12012" w:rsidP="00E12012">
      <w:pPr>
        <w:pStyle w:val="Heading3"/>
      </w:pPr>
      <w:r w:rsidRPr="00B62318">
        <w:t>Downscaling projected urban land development</w:t>
      </w:r>
    </w:p>
    <w:p w14:paraId="47B4870C" w14:textId="2BBD39E8" w:rsidR="00AC6722" w:rsidRPr="00B62318" w:rsidRDefault="00AC6722" w:rsidP="00AC6722">
      <w:r w:rsidRPr="00B62318">
        <w:t xml:space="preserve">Urban land development projections were represented at three nested spatial scales. Global-scale projections were provided at a 5 km resolution under multiple SSPs. These projections were first downscaled to a 1 km grid using the method described in the source dataset and treated as fixed inputs in this study </w:t>
      </w:r>
      <w:r w:rsidRPr="00B62318">
        <w:fldChar w:fldCharType="begin"/>
      </w:r>
      <w:r w:rsidR="00402049" w:rsidRPr="00B62318">
        <w:instrText xml:space="preserve"> ADDIN EN.CITE &lt;EndNote&gt;&lt;Cite&gt;&lt;Author&gt;Gao&lt;/Author&gt;&lt;Year&gt;2021&lt;/Year&gt;&lt;RecNum&gt;1294&lt;/RecNum&gt;&lt;DisplayText&gt;(Gao &amp;amp; Pesaresi, 2021a, 2021b)&lt;/DisplayText&gt;&lt;record&gt;&lt;rec-number&gt;1294&lt;/rec-number&gt;&lt;foreign-keys&gt;&lt;key app="EN" db-id="ssraawt0aw9azuedz5b5pfszez0twxsdzpz2" timestamp="1761107412"&gt;1294&lt;/key&gt;&lt;/foreign-keys&gt;&lt;ref-type name="Journal Article"&gt;17&lt;/ref-type&gt;&lt;contributors&gt;&lt;authors&gt;&lt;author&gt;Gao, Jing&lt;/author&gt;&lt;author&gt;Pesaresi, Martino&lt;/author&gt;&lt;/authors&gt;&lt;/contributors&gt;&lt;titles&gt;&lt;title&gt;Downscaling SSP-consistent global spatial urban land projections from 1/8-degree to 1-km resolution 2000–2100&lt;/title&gt;&lt;secondary-title&gt;Scientific Data&lt;/secondary-title&gt;&lt;/titles&gt;&lt;periodical&gt;&lt;full-title&gt;Scientific Data&lt;/full-title&gt;&lt;/periodical&gt;&lt;pages&gt;281&lt;/pages&gt;&lt;volume&gt;8&lt;/volume&gt;&lt;number&gt;1&lt;/number&gt;&lt;dates&gt;&lt;year&gt;2021&lt;/year&gt;&lt;/dates&gt;&lt;isbn&gt;2052-4463&lt;/isbn&gt;&lt;urls&gt;&lt;/urls&gt;&lt;/record&gt;&lt;/Cite&gt;&lt;Cite&gt;&lt;Author&gt;Gao&lt;/Author&gt;&lt;Year&gt;2021&lt;/Year&gt;&lt;RecNum&gt;1459&lt;/RecNum&gt;&lt;record&gt;&lt;rec-number&gt;1459&lt;/rec-number&gt;&lt;foreign-keys&gt;&lt;key app="EN" db-id="ssraawt0aw9azuedz5b5pfszez0twxsdzpz2" timestamp="1769743492"&gt;1459&lt;/key&gt;&lt;/foreign-keys&gt;&lt;ref-type name="Dataset"&gt;59&lt;/ref-type&gt;&lt;contributors&gt;&lt;authors&gt;&lt;author&gt;Gao, Jing&lt;/author&gt;&lt;author&gt;Pesaresi, Martino&lt;/author&gt;&lt;/authors&gt;&lt;/contributors&gt;&lt;titles&gt;&lt;title&gt;Global 1-km Downscaled Urban Land Extent Projection and Base Year Grids by SSP Scenarios, 2000–2100&lt;/title&gt;&lt;/titles&gt;&lt;dates&gt;&lt;year&gt;2021&lt;/year&gt;&lt;pub-dates&gt;&lt;date&gt;29 January 2026&lt;/date&gt;&lt;/pub-dates&gt;&lt;/dates&gt;&lt;pub-location&gt;Palisades, NY&lt;/pub-location&gt;&lt;publisher&gt;NASA Socioeconomic Data and Applications Center (SEDAC)&lt;/publisher&gt;&lt;urls&gt;&lt;related-urls&gt;&lt;url&gt;https://doi.org/10.7927/1z4r-ez63&lt;/url&gt;&lt;/related-urls&gt;&lt;/urls&gt;&lt;electronic-resource-num&gt;https://doi.org/10.7927/1z4r-ez63&lt;/electronic-resource-num&gt;&lt;/record&gt;&lt;/Cite&gt;&lt;/EndNote&gt;</w:instrText>
      </w:r>
      <w:r w:rsidRPr="00B62318">
        <w:fldChar w:fldCharType="separate"/>
      </w:r>
      <w:r w:rsidR="00402049" w:rsidRPr="00B62318">
        <w:rPr>
          <w:noProof/>
        </w:rPr>
        <w:t>(</w:t>
      </w:r>
      <w:hyperlink w:anchor="_ENREF_13_21" w:tooltip="Gao, 2021 #1294" w:history="1">
        <w:r w:rsidR="00673035" w:rsidRPr="00B62318">
          <w:rPr>
            <w:noProof/>
          </w:rPr>
          <w:t>Gao &amp; Pesaresi, 2021a</w:t>
        </w:r>
      </w:hyperlink>
      <w:r w:rsidR="00402049" w:rsidRPr="00B62318">
        <w:rPr>
          <w:noProof/>
        </w:rPr>
        <w:t xml:space="preserve">, </w:t>
      </w:r>
      <w:hyperlink w:anchor="_ENREF_13_22" w:tooltip="Gao, 2021 #1459" w:history="1">
        <w:r w:rsidR="00673035" w:rsidRPr="00B62318">
          <w:rPr>
            <w:noProof/>
          </w:rPr>
          <w:t>2021b</w:t>
        </w:r>
      </w:hyperlink>
      <w:r w:rsidR="00402049" w:rsidRPr="00B62318">
        <w:rPr>
          <w:noProof/>
        </w:rPr>
        <w:t>)</w:t>
      </w:r>
      <w:r w:rsidRPr="00B62318">
        <w:fldChar w:fldCharType="end"/>
      </w:r>
      <w:r w:rsidRPr="00B62318">
        <w:t>. The present analysis further downscaled the 1 km projections to a microcell scale defined by approximately 75 m level-1 microcells spatial units covering the Greater Sydney region. All spatial operations were conducted using a consistent geographic coordinate reference system, and areas were computed using geodesic calculations to ensure metric consistency.</w:t>
      </w:r>
    </w:p>
    <w:p w14:paraId="73ADB10C" w14:textId="77777777" w:rsidR="00AC6722" w:rsidRPr="00B62318" w:rsidRDefault="00AC6722" w:rsidP="00AC6722">
      <w:r w:rsidRPr="00B62318">
        <w:t xml:space="preserve">Because microcell boundaries do not generally align with the 1 km grid, individual microcells may overlap multiple 1 km grid cells. To accommodate this, each microcell was partitioned into one or more spatially contiguous sub-polygons (pieces), each uniquely associated with a single parent 1 km grid cell. All allocation operations were performed at the piece level, with </w:t>
      </w:r>
      <w:r w:rsidRPr="00B62318">
        <w:lastRenderedPageBreak/>
        <w:t>parent grid membership preserved throughout the allocation process. Final microcell-level values were obtained by aggregating allocations across all pieces belonging to the same microcell.</w:t>
      </w:r>
    </w:p>
    <w:p w14:paraId="696E0375" w14:textId="77777777" w:rsidR="00AC6722" w:rsidRPr="00B62318" w:rsidRDefault="00AC6722" w:rsidP="00AC6722">
      <w:r w:rsidRPr="00B62318">
        <w:t xml:space="preserve">Let </w:t>
      </w:r>
      <m:oMath>
        <m:r>
          <w:rPr>
            <w:rFonts w:ascii="Cambria Math" w:hAnsi="Cambria Math"/>
          </w:rPr>
          <m:t>i</m:t>
        </m:r>
      </m:oMath>
      <w:r w:rsidRPr="00B62318">
        <w:rPr>
          <w:rFonts w:eastAsiaTheme="minorEastAsia"/>
        </w:rPr>
        <w:t xml:space="preserve"> </w:t>
      </w:r>
      <w:r w:rsidRPr="00B62318">
        <w:t xml:space="preserve">index 1 km grid cells and </w:t>
      </w:r>
      <m:oMath>
        <m:r>
          <w:rPr>
            <w:rFonts w:ascii="Cambria Math" w:hAnsi="Cambria Math"/>
          </w:rPr>
          <m:t>t</m:t>
        </m:r>
      </m:oMath>
      <w:r w:rsidRPr="00B62318">
        <w:rPr>
          <w:rFonts w:eastAsiaTheme="minorEastAsia"/>
        </w:rPr>
        <w:t xml:space="preserve"> </w:t>
      </w:r>
      <w:r w:rsidRPr="00B62318">
        <w:t xml:space="preserve">index decadal time steps. Let </w:t>
      </w:r>
      <m:oMath>
        <m:sSubSup>
          <m:sSubSupPr>
            <m:ctrlPr>
              <w:rPr>
                <w:rFonts w:ascii="Cambria Math" w:hAnsi="Cambria Math"/>
              </w:rPr>
            </m:ctrlPr>
          </m:sSubSupPr>
          <m:e>
            <m:r>
              <w:rPr>
                <w:rFonts w:ascii="Cambria Math" w:hAnsi="Cambria Math"/>
              </w:rPr>
              <m:t>U</m:t>
            </m:r>
          </m:e>
          <m:sub>
            <m:r>
              <w:rPr>
                <w:rFonts w:ascii="Cambria Math" w:hAnsi="Cambria Math"/>
              </w:rPr>
              <m:t>i,t</m:t>
            </m:r>
          </m:sub>
          <m:sup>
            <m:r>
              <w:rPr>
                <w:rFonts w:ascii="Cambria Math" w:hAnsi="Cambria Math"/>
              </w:rPr>
              <m:t>1km</m:t>
            </m:r>
          </m:sup>
        </m:sSubSup>
      </m:oMath>
      <w:r w:rsidRPr="00B62318">
        <w:rPr>
          <w:rFonts w:eastAsiaTheme="minorEastAsia"/>
        </w:rPr>
        <w:t xml:space="preserve"> </w:t>
      </w:r>
      <w:r w:rsidRPr="00B62318">
        <w:t xml:space="preserve">denote the fraction of built-up land in grid cell </w:t>
      </w:r>
      <m:oMath>
        <m:r>
          <w:rPr>
            <w:rFonts w:ascii="Cambria Math" w:hAnsi="Cambria Math"/>
          </w:rPr>
          <m:t>i</m:t>
        </m:r>
      </m:oMath>
      <w:r w:rsidRPr="00B62318">
        <w:rPr>
          <w:rFonts w:eastAsiaTheme="minorEastAsia"/>
        </w:rPr>
        <w:t xml:space="preserve"> </w:t>
      </w:r>
      <w:r w:rsidRPr="00B62318">
        <w:t xml:space="preserve">at the beginning of decade </w:t>
      </w:r>
      <m:oMath>
        <m:r>
          <w:rPr>
            <w:rFonts w:ascii="Cambria Math" w:hAnsi="Cambria Math"/>
          </w:rPr>
          <m:t>t</m:t>
        </m:r>
      </m:oMath>
      <w:r w:rsidRPr="00B62318">
        <w:t xml:space="preserve">, and let </w:t>
      </w:r>
      <m:oMath>
        <m:sSubSup>
          <m:sSubSupPr>
            <m:ctrlPr>
              <w:rPr>
                <w:rFonts w:ascii="Cambria Math" w:hAnsi="Cambria Math"/>
              </w:rPr>
            </m:ctrlPr>
          </m:sSubSupPr>
          <m:e>
            <m:r>
              <w:rPr>
                <w:rFonts w:ascii="Cambria Math" w:hAnsi="Cambria Math"/>
              </w:rPr>
              <m:t>A</m:t>
            </m:r>
          </m:e>
          <m:sub>
            <m:r>
              <w:rPr>
                <w:rFonts w:ascii="Cambria Math" w:hAnsi="Cambria Math"/>
              </w:rPr>
              <m:t>i</m:t>
            </m:r>
          </m:sub>
          <m:sup>
            <m:r>
              <w:rPr>
                <w:rFonts w:ascii="Cambria Math" w:hAnsi="Cambria Math"/>
              </w:rPr>
              <m:t>1km</m:t>
            </m:r>
          </m:sup>
        </m:sSubSup>
      </m:oMath>
      <w:r w:rsidRPr="00B62318">
        <w:rPr>
          <w:rFonts w:eastAsiaTheme="minorEastAsia"/>
        </w:rPr>
        <w:t xml:space="preserve"> </w:t>
      </w:r>
      <w:r w:rsidRPr="00B62318">
        <w:t xml:space="preserve">denote the physical area of grid cell </w:t>
      </w:r>
      <m:oMath>
        <m:r>
          <w:rPr>
            <w:rFonts w:ascii="Cambria Math" w:hAnsi="Cambria Math"/>
          </w:rPr>
          <m:t>i</m:t>
        </m:r>
      </m:oMath>
      <w:r w:rsidRPr="00B62318">
        <w:t xml:space="preserve">. The decadal increase in built-up area within grid cell </w:t>
      </w:r>
      <m:oMath>
        <m:r>
          <w:rPr>
            <w:rFonts w:ascii="Cambria Math" w:hAnsi="Cambria Math"/>
          </w:rPr>
          <m:t>i</m:t>
        </m:r>
      </m:oMath>
      <w:r w:rsidRPr="00B62318">
        <w:rPr>
          <w:rFonts w:eastAsiaTheme="minorEastAsia"/>
        </w:rPr>
        <w:t xml:space="preserve"> </w:t>
      </w:r>
      <w:r w:rsidRPr="00B62318">
        <w:t>was calculated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5627EF68" w14:textId="77777777" w:rsidTr="00BC3A4C">
        <w:tc>
          <w:tcPr>
            <w:tcW w:w="625" w:type="dxa"/>
          </w:tcPr>
          <w:p w14:paraId="3C878123" w14:textId="77777777" w:rsidR="00AC6722" w:rsidRPr="00B62318" w:rsidRDefault="00AC6722" w:rsidP="00F438D9"/>
        </w:tc>
        <w:tc>
          <w:tcPr>
            <w:tcW w:w="7740" w:type="dxa"/>
            <w:vAlign w:val="center"/>
          </w:tcPr>
          <w:p w14:paraId="3571E931" w14:textId="77777777" w:rsidR="00AC6722" w:rsidRPr="00B62318" w:rsidRDefault="00AC6722" w:rsidP="00F438D9">
            <w:pPr>
              <w:jc w:val="center"/>
            </w:pPr>
            <m:oMathPara>
              <m:oMath>
                <m:r>
                  <m:rPr>
                    <m:sty m:val="p"/>
                  </m:rPr>
                  <w:rPr>
                    <w:rFonts w:ascii="Cambria Math" w:hAnsi="Cambria Math"/>
                  </w:rPr>
                  <m:t>Δ</m:t>
                </m:r>
                <m:sSubSup>
                  <m:sSubSupPr>
                    <m:ctrlPr>
                      <w:rPr>
                        <w:rFonts w:ascii="Cambria Math" w:hAnsi="Cambria Math"/>
                      </w:rPr>
                    </m:ctrlPr>
                  </m:sSubSupPr>
                  <m:e>
                    <m:r>
                      <w:rPr>
                        <w:rFonts w:ascii="Cambria Math" w:hAnsi="Cambria Math"/>
                      </w:rPr>
                      <m:t>A</m:t>
                    </m:r>
                  </m:e>
                  <m:sub>
                    <m:r>
                      <w:rPr>
                        <w:rFonts w:ascii="Cambria Math" w:hAnsi="Cambria Math"/>
                      </w:rPr>
                      <m:t>i,t</m:t>
                    </m:r>
                  </m:sub>
                  <m:sup>
                    <m:r>
                      <w:rPr>
                        <w:rFonts w:ascii="Cambria Math" w:hAnsi="Cambria Math"/>
                      </w:rPr>
                      <m:t>1km</m:t>
                    </m:r>
                  </m:sup>
                </m:sSubSup>
                <m:r>
                  <w:rPr>
                    <w:rFonts w:ascii="Cambria Math" w:hAnsi="Cambria Math"/>
                  </w:rPr>
                  <m:t>=</m:t>
                </m:r>
                <m:d>
                  <m:dPr>
                    <m:sepChr m:val="−"/>
                    <m:ctrlPr>
                      <w:rPr>
                        <w:rFonts w:ascii="Cambria Math" w:hAnsi="Cambria Math"/>
                      </w:rPr>
                    </m:ctrlPr>
                  </m:dPr>
                  <m:e>
                    <m:sSubSup>
                      <m:sSubSupPr>
                        <m:ctrlPr>
                          <w:rPr>
                            <w:rFonts w:ascii="Cambria Math" w:hAnsi="Cambria Math"/>
                          </w:rPr>
                        </m:ctrlPr>
                      </m:sSubSupPr>
                      <m:e>
                        <m:r>
                          <w:rPr>
                            <w:rFonts w:ascii="Cambria Math" w:hAnsi="Cambria Math"/>
                          </w:rPr>
                          <m:t>U</m:t>
                        </m:r>
                      </m:e>
                      <m:sub>
                        <m:r>
                          <w:rPr>
                            <w:rFonts w:ascii="Cambria Math" w:hAnsi="Cambria Math"/>
                          </w:rPr>
                          <m:t>i,t+1</m:t>
                        </m:r>
                      </m:sub>
                      <m:sup>
                        <m:r>
                          <w:rPr>
                            <w:rFonts w:ascii="Cambria Math" w:hAnsi="Cambria Math"/>
                          </w:rPr>
                          <m:t>1km</m:t>
                        </m:r>
                      </m:sup>
                    </m:sSubSup>
                  </m:e>
                  <m:e>
                    <m:sSubSup>
                      <m:sSubSupPr>
                        <m:ctrlPr>
                          <w:rPr>
                            <w:rFonts w:ascii="Cambria Math" w:hAnsi="Cambria Math"/>
                          </w:rPr>
                        </m:ctrlPr>
                      </m:sSubSupPr>
                      <m:e>
                        <m:r>
                          <w:rPr>
                            <w:rFonts w:ascii="Cambria Math" w:hAnsi="Cambria Math"/>
                          </w:rPr>
                          <m:t>U</m:t>
                        </m:r>
                      </m:e>
                      <m:sub>
                        <m:r>
                          <w:rPr>
                            <w:rFonts w:ascii="Cambria Math" w:hAnsi="Cambria Math"/>
                          </w:rPr>
                          <m:t>i,t</m:t>
                        </m:r>
                      </m:sub>
                      <m:sup>
                        <m:r>
                          <w:rPr>
                            <w:rFonts w:ascii="Cambria Math" w:hAnsi="Cambria Math"/>
                          </w:rPr>
                          <m:t>1km</m:t>
                        </m:r>
                      </m:sup>
                    </m:sSubSup>
                  </m:e>
                </m:d>
                <m:sSubSup>
                  <m:sSubSupPr>
                    <m:ctrlPr>
                      <w:rPr>
                        <w:rFonts w:ascii="Cambria Math" w:hAnsi="Cambria Math"/>
                      </w:rPr>
                    </m:ctrlPr>
                  </m:sSubSupPr>
                  <m:e>
                    <m:r>
                      <w:rPr>
                        <w:rFonts w:ascii="Cambria Math" w:hAnsi="Cambria Math"/>
                      </w:rPr>
                      <m:t>A</m:t>
                    </m:r>
                  </m:e>
                  <m:sub>
                    <m:r>
                      <w:rPr>
                        <w:rFonts w:ascii="Cambria Math" w:hAnsi="Cambria Math"/>
                      </w:rPr>
                      <m:t>i</m:t>
                    </m:r>
                  </m:sub>
                  <m:sup>
                    <m:r>
                      <w:rPr>
                        <w:rFonts w:ascii="Cambria Math" w:hAnsi="Cambria Math"/>
                      </w:rPr>
                      <m:t>1km</m:t>
                    </m:r>
                  </m:sup>
                </m:sSubSup>
                <m:r>
                  <m:rPr>
                    <m:sty m:val="p"/>
                  </m:rPr>
                  <w:rPr>
                    <w:rFonts w:ascii="Cambria Math" w:hAnsi="Cambria Math"/>
                  </w:rPr>
                  <m:t>.</m:t>
                </m:r>
              </m:oMath>
            </m:oMathPara>
          </w:p>
        </w:tc>
        <w:tc>
          <w:tcPr>
            <w:tcW w:w="697" w:type="dxa"/>
            <w:vAlign w:val="center"/>
          </w:tcPr>
          <w:p w14:paraId="6E0BCF98" w14:textId="107A2ACA"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1</w:t>
            </w:r>
            <w:r w:rsidRPr="00B62318">
              <w:fldChar w:fldCharType="end"/>
            </w:r>
            <w:r w:rsidRPr="00B62318">
              <w:t>)</w:t>
            </w:r>
          </w:p>
        </w:tc>
      </w:tr>
    </w:tbl>
    <w:p w14:paraId="551845EB" w14:textId="77777777" w:rsidR="00AC6722" w:rsidRPr="00B62318" w:rsidRDefault="00AC6722" w:rsidP="00AC6722">
      <w:r w:rsidRPr="00B62318">
        <w:t xml:space="preserve">Only positive values of </w:t>
      </w:r>
      <m:oMath>
        <m:r>
          <m:rPr>
            <m:sty m:val="p"/>
          </m:rPr>
          <w:rPr>
            <w:rFonts w:ascii="Cambria Math" w:hAnsi="Cambria Math"/>
          </w:rPr>
          <m:t>Δ</m:t>
        </m:r>
        <m:sSubSup>
          <m:sSubSupPr>
            <m:ctrlPr>
              <w:rPr>
                <w:rFonts w:ascii="Cambria Math" w:hAnsi="Cambria Math"/>
              </w:rPr>
            </m:ctrlPr>
          </m:sSubSupPr>
          <m:e>
            <m:r>
              <w:rPr>
                <w:rFonts w:ascii="Cambria Math" w:hAnsi="Cambria Math"/>
              </w:rPr>
              <m:t>A</m:t>
            </m:r>
          </m:e>
          <m:sub>
            <m:r>
              <w:rPr>
                <w:rFonts w:ascii="Cambria Math" w:hAnsi="Cambria Math"/>
              </w:rPr>
              <m:t>i,t</m:t>
            </m:r>
          </m:sub>
          <m:sup>
            <m:r>
              <w:rPr>
                <w:rFonts w:ascii="Cambria Math" w:hAnsi="Cambria Math"/>
              </w:rPr>
              <m:t>1km</m:t>
            </m:r>
          </m:sup>
        </m:sSubSup>
      </m:oMath>
      <w:r w:rsidRPr="00B62318">
        <w:rPr>
          <w:rFonts w:eastAsiaTheme="minorEastAsia"/>
        </w:rPr>
        <w:t xml:space="preserve"> </w:t>
      </w:r>
      <w:r w:rsidRPr="00B62318">
        <w:t>were considered. If the projected change was zero or negative, no allocation was performed for that grid cell during the corresponding decade.</w:t>
      </w:r>
    </w:p>
    <w:p w14:paraId="1F3F19BF" w14:textId="77777777" w:rsidR="00AC6722" w:rsidRPr="00B62318" w:rsidRDefault="00AC6722" w:rsidP="00AC6722">
      <w:r w:rsidRPr="00B62318">
        <w:t xml:space="preserve">For each microcell piece </w:t>
      </w:r>
      <m:oMath>
        <m:r>
          <w:rPr>
            <w:rFonts w:ascii="Cambria Math" w:hAnsi="Cambria Math"/>
          </w:rPr>
          <m:t>j</m:t>
        </m:r>
      </m:oMath>
      <w:r w:rsidRPr="00B62318">
        <w:t xml:space="preserve">, total area </w:t>
      </w:r>
      <m:oMath>
        <m:sSub>
          <m:sSubPr>
            <m:ctrlPr>
              <w:rPr>
                <w:rFonts w:ascii="Cambria Math" w:hAnsi="Cambria Math"/>
              </w:rPr>
            </m:ctrlPr>
          </m:sSubPr>
          <m:e>
            <m:r>
              <w:rPr>
                <w:rFonts w:ascii="Cambria Math" w:hAnsi="Cambria Math"/>
              </w:rPr>
              <m:t>A</m:t>
            </m:r>
          </m:e>
          <m:sub>
            <m:r>
              <w:rPr>
                <w:rFonts w:ascii="Cambria Math" w:hAnsi="Cambria Math"/>
              </w:rPr>
              <m:t>j</m:t>
            </m:r>
          </m:sub>
        </m:sSub>
      </m:oMath>
      <w:r w:rsidRPr="00B62318">
        <w:t xml:space="preserve">, built-up area at the beginning of decade </w:t>
      </w:r>
      <m:oMath>
        <m:r>
          <w:rPr>
            <w:rFonts w:ascii="Cambria Math" w:hAnsi="Cambria Math"/>
          </w:rPr>
          <m:t>t</m:t>
        </m:r>
      </m:oMath>
      <w:r w:rsidRPr="00B62318">
        <w:t xml:space="preserve">, </w:t>
      </w:r>
      <m:oMath>
        <m:sSub>
          <m:sSubPr>
            <m:ctrlPr>
              <w:rPr>
                <w:rFonts w:ascii="Cambria Math" w:hAnsi="Cambria Math"/>
              </w:rPr>
            </m:ctrlPr>
          </m:sSubPr>
          <m:e>
            <m:r>
              <w:rPr>
                <w:rFonts w:ascii="Cambria Math" w:hAnsi="Cambria Math"/>
              </w:rPr>
              <m:t>B</m:t>
            </m:r>
          </m:e>
          <m:sub>
            <m:r>
              <w:rPr>
                <w:rFonts w:ascii="Cambria Math" w:hAnsi="Cambria Math"/>
              </w:rPr>
              <m:t>j,t</m:t>
            </m:r>
          </m:sub>
        </m:sSub>
      </m:oMath>
      <w:r w:rsidRPr="00B62318">
        <w:t xml:space="preserve">, and maximum developable land area </w:t>
      </w:r>
      <m:oMath>
        <m:sSubSup>
          <m:sSubSupPr>
            <m:ctrlPr>
              <w:rPr>
                <w:rFonts w:ascii="Cambria Math" w:hAnsi="Cambria Math"/>
              </w:rPr>
            </m:ctrlPr>
          </m:sSubSupPr>
          <m:e>
            <m:r>
              <w:rPr>
                <w:rFonts w:ascii="Cambria Math" w:hAnsi="Cambria Math"/>
              </w:rPr>
              <m:t>A</m:t>
            </m:r>
          </m:e>
          <m:sub>
            <m:r>
              <w:rPr>
                <w:rFonts w:ascii="Cambria Math" w:hAnsi="Cambria Math"/>
              </w:rPr>
              <m:t>j</m:t>
            </m:r>
          </m:sub>
          <m:sup>
            <m:r>
              <w:rPr>
                <w:rFonts w:ascii="Cambria Math" w:hAnsi="Cambria Math"/>
              </w:rPr>
              <m:t>dev</m:t>
            </m:r>
          </m:sup>
        </m:sSubSup>
      </m:oMath>
      <w:r w:rsidRPr="00B62318">
        <w:rPr>
          <w:rFonts w:eastAsiaTheme="minorEastAsia"/>
        </w:rPr>
        <w:t xml:space="preserve"> </w:t>
      </w:r>
      <w:r w:rsidRPr="00B62318">
        <w:t>were defined. The remaining developable capacity at the beginning of the decade was given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0E63E617" w14:textId="77777777" w:rsidTr="00BC3A4C">
        <w:tc>
          <w:tcPr>
            <w:tcW w:w="625" w:type="dxa"/>
          </w:tcPr>
          <w:p w14:paraId="52CB71E7" w14:textId="77777777" w:rsidR="00AC6722" w:rsidRPr="00B62318" w:rsidRDefault="00AC6722" w:rsidP="00F438D9"/>
        </w:tc>
        <w:tc>
          <w:tcPr>
            <w:tcW w:w="7740" w:type="dxa"/>
            <w:vAlign w:val="center"/>
          </w:tcPr>
          <w:p w14:paraId="61DD89A0" w14:textId="77777777" w:rsidR="00AC6722" w:rsidRPr="00B62318" w:rsidRDefault="00DE782A" w:rsidP="00F438D9">
            <w:pPr>
              <w:jc w:val="center"/>
            </w:pPr>
            <m:oMathPara>
              <m:oMath>
                <m:sSub>
                  <m:sSubPr>
                    <m:ctrlPr>
                      <w:rPr>
                        <w:rFonts w:ascii="Cambria Math" w:hAnsi="Cambria Math"/>
                      </w:rPr>
                    </m:ctrlPr>
                  </m:sSubPr>
                  <m:e>
                    <m:r>
                      <w:rPr>
                        <w:rFonts w:ascii="Cambria Math" w:hAnsi="Cambria Math"/>
                      </w:rPr>
                      <m:t>C</m:t>
                    </m:r>
                  </m:e>
                  <m:sub>
                    <m:r>
                      <w:rPr>
                        <w:rFonts w:ascii="Cambria Math" w:hAnsi="Cambria Math"/>
                      </w:rPr>
                      <m:t>j</m:t>
                    </m:r>
                    <m:r>
                      <w:rPr>
                        <w:rFonts w:ascii="Cambria Math" w:hAnsi="Cambria Math"/>
                      </w:rPr>
                      <m:t>,</m:t>
                    </m:r>
                    <m:r>
                      <w:rPr>
                        <w:rFonts w:ascii="Cambria Math" w:hAnsi="Cambria Math"/>
                      </w:rPr>
                      <m:t>t</m:t>
                    </m:r>
                  </m:sub>
                </m:sSub>
                <m:r>
                  <w:rPr>
                    <w:rFonts w:ascii="Cambria Math" w:hAnsi="Cambria Math"/>
                  </w:rPr>
                  <m:t>=</m:t>
                </m:r>
                <m:sSubSup>
                  <m:sSubSupPr>
                    <m:ctrlPr>
                      <w:rPr>
                        <w:rFonts w:ascii="Cambria Math" w:hAnsi="Cambria Math"/>
                      </w:rPr>
                    </m:ctrlPr>
                  </m:sSubSupPr>
                  <m:e>
                    <m:r>
                      <w:rPr>
                        <w:rFonts w:ascii="Cambria Math" w:hAnsi="Cambria Math"/>
                      </w:rPr>
                      <m:t>A</m:t>
                    </m:r>
                  </m:e>
                  <m:sub>
                    <m:r>
                      <w:rPr>
                        <w:rFonts w:ascii="Cambria Math" w:hAnsi="Cambria Math"/>
                      </w:rPr>
                      <m:t>j</m:t>
                    </m:r>
                  </m:sub>
                  <m:sup>
                    <m:r>
                      <w:rPr>
                        <w:rFonts w:ascii="Cambria Math" w:hAnsi="Cambria Math"/>
                      </w:rPr>
                      <m:t>dev</m:t>
                    </m:r>
                  </m:sup>
                </m:sSubSup>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j</m:t>
                    </m:r>
                    <m:r>
                      <w:rPr>
                        <w:rFonts w:ascii="Cambria Math" w:hAnsi="Cambria Math"/>
                      </w:rPr>
                      <m:t>,</m:t>
                    </m:r>
                    <m:r>
                      <w:rPr>
                        <w:rFonts w:ascii="Cambria Math" w:hAnsi="Cambria Math"/>
                      </w:rPr>
                      <m:t>t</m:t>
                    </m:r>
                  </m:sub>
                </m:sSub>
                <m:r>
                  <m:rPr>
                    <m:sty m:val="p"/>
                  </m:rPr>
                  <w:rPr>
                    <w:rFonts w:ascii="Cambria Math" w:hAnsi="Cambria Math"/>
                  </w:rPr>
                  <m:t>.</m:t>
                </m:r>
              </m:oMath>
            </m:oMathPara>
          </w:p>
        </w:tc>
        <w:tc>
          <w:tcPr>
            <w:tcW w:w="697" w:type="dxa"/>
            <w:vAlign w:val="center"/>
          </w:tcPr>
          <w:p w14:paraId="0AF5AFBF" w14:textId="0B415775"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2</w:t>
            </w:r>
            <w:r w:rsidRPr="00B62318">
              <w:fldChar w:fldCharType="end"/>
            </w:r>
            <w:r w:rsidRPr="00B62318">
              <w:t>)</w:t>
            </w:r>
          </w:p>
        </w:tc>
      </w:tr>
    </w:tbl>
    <w:p w14:paraId="297EC092" w14:textId="275A18F0" w:rsidR="00AC6722" w:rsidRPr="00B62318" w:rsidRDefault="00AC6722" w:rsidP="00AC6722">
      <w:r w:rsidRPr="00B62318">
        <w:t xml:space="preserve">Initial built-up area values </w:t>
      </w:r>
      <m:oMath>
        <m:sSub>
          <m:sSubPr>
            <m:ctrlPr>
              <w:rPr>
                <w:rFonts w:ascii="Cambria Math" w:hAnsi="Cambria Math"/>
              </w:rPr>
            </m:ctrlPr>
          </m:sSubPr>
          <m:e>
            <m:r>
              <w:rPr>
                <w:rFonts w:ascii="Cambria Math" w:hAnsi="Cambria Math"/>
              </w:rPr>
              <m:t>B</m:t>
            </m:r>
          </m:e>
          <m:sub>
            <m:r>
              <w:rPr>
                <w:rFonts w:ascii="Cambria Math" w:hAnsi="Cambria Math"/>
              </w:rPr>
              <m:t>j,2020</m:t>
            </m:r>
          </m:sub>
        </m:sSub>
      </m:oMath>
      <w:r w:rsidRPr="00B62318">
        <w:rPr>
          <w:rFonts w:eastAsiaTheme="minorEastAsia"/>
        </w:rPr>
        <w:t xml:space="preserve"> </w:t>
      </w:r>
      <w:r w:rsidRPr="00B62318">
        <w:t xml:space="preserve">were derived from the ESA </w:t>
      </w:r>
      <w:proofErr w:type="spellStart"/>
      <w:r w:rsidRPr="00B62318">
        <w:t>WorldCover</w:t>
      </w:r>
      <w:proofErr w:type="spellEnd"/>
      <w:r w:rsidRPr="00B62318">
        <w:t xml:space="preserve"> 2021 dataset by extracting pixels classified as “Built-up” and intersecting them with the microcell geometries </w:t>
      </w:r>
      <w:r w:rsidR="00DD75F7" w:rsidRPr="00B62318">
        <w:fldChar w:fldCharType="begin"/>
      </w:r>
      <w:r w:rsidR="00402049" w:rsidRPr="00B62318">
        <w:instrText xml:space="preserve"> ADDIN EN.CITE &lt;EndNote&gt;&lt;Cite&gt;&lt;Author&gt;Zanaga&lt;/Author&gt;&lt;Year&gt;2022&lt;/Year&gt;&lt;RecNum&gt;1456&lt;/RecNum&gt;&lt;DisplayText&gt;(Zanaga et al., 2022)&lt;/DisplayText&gt;&lt;record&gt;&lt;rec-number&gt;1456&lt;/rec-number&gt;&lt;foreign-keys&gt;&lt;key app="EN" db-id="ssraawt0aw9azuedz5b5pfszez0twxsdzpz2" timestamp="1769741706"&gt;1456&lt;/key&gt;&lt;/foreign-keys&gt;&lt;ref-type name="Dataset"&gt;59&lt;/ref-type&gt;&lt;contributors&gt;&lt;authors&gt;&lt;author&gt;Zanaga, D.&lt;/author&gt;&lt;author&gt;Van De Kerchove, R.&lt;/author&gt;&lt;author&gt;Daems, D.&lt;/author&gt;&lt;author&gt;De Keersmaecker, W.&lt;/author&gt;&lt;author&gt;Brockmann, C.&lt;/author&gt;&lt;author&gt;Kirches, G.&lt;/author&gt;&lt;author&gt;Wevers, J.&lt;/author&gt;&lt;author&gt;Cartus, O.&lt;/author&gt;&lt;author&gt;Santoro, M.&lt;/author&gt;&lt;author&gt;Fritz, S.&lt;/author&gt;&lt;author&gt;Lesiv, M.&lt;/author&gt;&lt;author&gt;Herold, M.&lt;/author&gt;&lt;author&gt;Tsendbazar, N. E.&lt;/author&gt;&lt;author&gt;Xu, P.&lt;/author&gt;&lt;author&gt;Ramoino, F.&lt;/author&gt;&lt;author&gt;Arino, O.&lt;/author&gt;&lt;/authors&gt;&lt;/contributors&gt;&lt;titles&gt;&lt;title&gt;ESA WorldCover 10 m 2021 v200&lt;/title&gt;&lt;/titles&gt;&lt;dates&gt;&lt;year&gt;2022&lt;/year&gt;&lt;pub-dates&gt;&lt;date&gt;29 January 2026&lt;/date&gt;&lt;/pub-dates&gt;&lt;/dates&gt;&lt;publisher&gt;Zenodo&lt;/publisher&gt;&lt;urls&gt;&lt;related-urls&gt;&lt;url&gt;https://doi.org/10.5281/zenodo.7254221&lt;/url&gt;&lt;/related-urls&gt;&lt;/urls&gt;&lt;electronic-resource-num&gt;https://doi.org/10.5281/zenodo.7254221&lt;/electronic-resource-num&gt;&lt;/record&gt;&lt;/Cite&gt;&lt;/EndNote&gt;</w:instrText>
      </w:r>
      <w:r w:rsidR="00DD75F7" w:rsidRPr="00B62318">
        <w:fldChar w:fldCharType="separate"/>
      </w:r>
      <w:r w:rsidR="00402049" w:rsidRPr="00B62318">
        <w:rPr>
          <w:noProof/>
        </w:rPr>
        <w:t>(</w:t>
      </w:r>
      <w:hyperlink w:anchor="_ENREF_13_72" w:tooltip="Zanaga, 2022 #1456" w:history="1">
        <w:r w:rsidR="00673035" w:rsidRPr="00B62318">
          <w:rPr>
            <w:noProof/>
          </w:rPr>
          <w:t>Zanaga et al., 2022</w:t>
        </w:r>
      </w:hyperlink>
      <w:r w:rsidR="00402049" w:rsidRPr="00B62318">
        <w:rPr>
          <w:noProof/>
        </w:rPr>
        <w:t>)</w:t>
      </w:r>
      <w:r w:rsidR="00DD75F7" w:rsidRPr="00B62318">
        <w:fldChar w:fldCharType="end"/>
      </w:r>
      <w:r w:rsidRPr="00B62318">
        <w:t>. For each microcell, the total area of intersecting built-up pixels was calculated using geodesic area measurements and expressed as a proportion of the total microcell area. These proportions were converted to absolute built-up areas and assigned to all constituent microcell pieces in proportion to their areas.</w:t>
      </w:r>
    </w:p>
    <w:p w14:paraId="7EAE6E10" w14:textId="77777777" w:rsidR="00AC6722" w:rsidRPr="00B62318" w:rsidRDefault="00AC6722" w:rsidP="00AC6722">
      <w:r w:rsidRPr="00B62318">
        <w:t xml:space="preserve">Microcell pieces were grouped by their parent 1 km grid cell. Let </w:t>
      </w:r>
      <m:oMath>
        <m:r>
          <m:rPr>
            <m:scr m:val="script"/>
          </m:rPr>
          <w:rPr>
            <w:rFonts w:ascii="Cambria Math" w:hAnsi="Cambria Math"/>
          </w:rPr>
          <m:t>M(</m:t>
        </m:r>
        <m:r>
          <w:rPr>
            <w:rFonts w:ascii="Cambria Math" w:hAnsi="Cambria Math"/>
          </w:rPr>
          <m:t>i)</m:t>
        </m:r>
      </m:oMath>
      <w:r w:rsidRPr="00B62318">
        <w:rPr>
          <w:rFonts w:eastAsiaTheme="minorEastAsia"/>
        </w:rPr>
        <w:t xml:space="preserve"> </w:t>
      </w:r>
      <w:r w:rsidRPr="00B62318">
        <w:t xml:space="preserve">denote the set of microcells spatially contained within grid cell </w:t>
      </w:r>
      <m:oMath>
        <m:r>
          <w:rPr>
            <w:rFonts w:ascii="Cambria Math" w:hAnsi="Cambria Math"/>
          </w:rPr>
          <m:t>i</m:t>
        </m:r>
      </m:oMath>
      <w:r w:rsidRPr="00B62318">
        <w:t xml:space="preserve">. All allocation operations were performed independently within each </w:t>
      </w:r>
      <m:oMath>
        <m:r>
          <m:rPr>
            <m:scr m:val="script"/>
          </m:rPr>
          <w:rPr>
            <w:rFonts w:ascii="Cambria Math" w:hAnsi="Cambria Math"/>
          </w:rPr>
          <m:t>M(</m:t>
        </m:r>
        <m:r>
          <w:rPr>
            <w:rFonts w:ascii="Cambria Math" w:hAnsi="Cambria Math"/>
          </w:rPr>
          <m:t>i)</m:t>
        </m:r>
      </m:oMath>
      <w:r w:rsidRPr="00B62318">
        <w:t>, and no redistribution across grid cell boundaries was allowed.</w:t>
      </w:r>
    </w:p>
    <w:p w14:paraId="04C15187" w14:textId="77777777" w:rsidR="00AC6722" w:rsidRPr="00B62318" w:rsidRDefault="00AC6722" w:rsidP="00AC6722">
      <w:r w:rsidRPr="00B62318">
        <w:t xml:space="preserve">Within each grid cell and decade, allocation weights were defined based on the built-up area at the beginning of the decade. For microcell </w:t>
      </w:r>
      <m:oMath>
        <m:r>
          <w:rPr>
            <w:rFonts w:ascii="Cambria Math" w:hAnsi="Cambria Math"/>
          </w:rPr>
          <m:t>j</m:t>
        </m:r>
        <m:r>
          <m:rPr>
            <m:scr m:val="script"/>
          </m:rPr>
          <w:rPr>
            <w:rFonts w:ascii="Cambria Math" w:hAnsi="Cambria Math"/>
          </w:rPr>
          <m:t>∈M(</m:t>
        </m:r>
        <m:r>
          <w:rPr>
            <w:rFonts w:ascii="Cambria Math" w:hAnsi="Cambria Math"/>
          </w:rPr>
          <m:t>i)</m:t>
        </m:r>
      </m:oMath>
      <w:r w:rsidRPr="00B62318">
        <w:t>, the weight was computed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140C9283" w14:textId="77777777" w:rsidTr="00BC3A4C">
        <w:tc>
          <w:tcPr>
            <w:tcW w:w="625" w:type="dxa"/>
          </w:tcPr>
          <w:p w14:paraId="0761694F" w14:textId="77777777" w:rsidR="00AC6722" w:rsidRPr="00B62318" w:rsidRDefault="00AC6722" w:rsidP="00F438D9"/>
        </w:tc>
        <w:tc>
          <w:tcPr>
            <w:tcW w:w="7740" w:type="dxa"/>
            <w:vAlign w:val="center"/>
          </w:tcPr>
          <w:p w14:paraId="3F11B731" w14:textId="77777777" w:rsidR="00AC6722" w:rsidRPr="00B62318" w:rsidRDefault="00DE782A" w:rsidP="00F438D9">
            <w:pPr>
              <w:jc w:val="center"/>
            </w:pPr>
            <m:oMathPara>
              <m:oMath>
                <m:sSub>
                  <m:sSubPr>
                    <m:ctrlPr>
                      <w:rPr>
                        <w:rFonts w:ascii="Cambria Math" w:hAnsi="Cambria Math"/>
                      </w:rPr>
                    </m:ctrlPr>
                  </m:sSubPr>
                  <m:e>
                    <m:r>
                      <w:rPr>
                        <w:rFonts w:ascii="Cambria Math" w:hAnsi="Cambria Math"/>
                      </w:rPr>
                      <m:t>w</m:t>
                    </m:r>
                  </m:e>
                  <m:sub>
                    <m:r>
                      <w:rPr>
                        <w:rFonts w:ascii="Cambria Math" w:hAnsi="Cambria Math"/>
                      </w:rPr>
                      <m:t>j</m:t>
                    </m:r>
                    <m:r>
                      <w:rPr>
                        <w:rFonts w:ascii="Cambria Math" w:hAnsi="Cambria Math"/>
                      </w:rPr>
                      <m:t>,</m:t>
                    </m:r>
                    <m:r>
                      <w:rPr>
                        <w:rFonts w:ascii="Cambria Math" w:hAnsi="Cambria Math"/>
                      </w:rPr>
                      <m:t>t</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B</m:t>
                        </m:r>
                      </m:e>
                      <m:sub>
                        <m:r>
                          <w:rPr>
                            <w:rFonts w:ascii="Cambria Math" w:hAnsi="Cambria Math"/>
                          </w:rPr>
                          <m:t>j</m:t>
                        </m:r>
                        <m:r>
                          <w:rPr>
                            <w:rFonts w:ascii="Cambria Math" w:hAnsi="Cambria Math"/>
                          </w:rPr>
                          <m:t>,</m:t>
                        </m:r>
                        <m:r>
                          <w:rPr>
                            <w:rFonts w:ascii="Cambria Math" w:hAnsi="Cambria Math"/>
                          </w:rPr>
                          <m:t>t</m:t>
                        </m:r>
                      </m:sub>
                    </m:sSub>
                  </m:num>
                  <m:den>
                    <m:nary>
                      <m:naryPr>
                        <m:chr m:val="∑"/>
                        <m:limLoc m:val="undOvr"/>
                        <m:grow m:val="1"/>
                        <m:supHide m:val="1"/>
                        <m:ctrlPr>
                          <w:rPr>
                            <w:rFonts w:ascii="Cambria Math" w:hAnsi="Cambria Math"/>
                          </w:rPr>
                        </m:ctrlPr>
                      </m:naryPr>
                      <m:sub>
                        <m:r>
                          <w:rPr>
                            <w:rFonts w:ascii="Cambria Math" w:hAnsi="Cambria Math"/>
                          </w:rPr>
                          <m:t>k</m:t>
                        </m:r>
                        <m:r>
                          <m:rPr>
                            <m:scr m:val="script"/>
                          </m:rPr>
                          <w:rPr>
                            <w:rFonts w:ascii="Cambria Math" w:hAnsi="Cambria Math"/>
                          </w:rPr>
                          <m:t>∈M(</m:t>
                        </m:r>
                        <m:r>
                          <w:rPr>
                            <w:rFonts w:ascii="Cambria Math" w:hAnsi="Cambria Math"/>
                          </w:rPr>
                          <m:t>i</m:t>
                        </m:r>
                        <m:r>
                          <w:rPr>
                            <w:rFonts w:ascii="Cambria Math" w:hAnsi="Cambria Math"/>
                          </w:rPr>
                          <m:t>)</m:t>
                        </m:r>
                      </m:sub>
                      <m:sup/>
                      <m:e>
                        <m:sSub>
                          <m:sSubPr>
                            <m:ctrlPr>
                              <w:rPr>
                                <w:rFonts w:ascii="Cambria Math" w:hAnsi="Cambria Math"/>
                              </w:rPr>
                            </m:ctrlPr>
                          </m:sSubPr>
                          <m:e>
                            <m:r>
                              <w:rPr>
                                <w:rFonts w:ascii="Cambria Math" w:hAnsi="Cambria Math"/>
                              </w:rPr>
                              <m:t>B</m:t>
                            </m:r>
                          </m:e>
                          <m:sub>
                            <m:r>
                              <w:rPr>
                                <w:rFonts w:ascii="Cambria Math" w:hAnsi="Cambria Math"/>
                              </w:rPr>
                              <m:t>k</m:t>
                            </m:r>
                            <m:r>
                              <w:rPr>
                                <w:rFonts w:ascii="Cambria Math" w:hAnsi="Cambria Math"/>
                              </w:rPr>
                              <m:t>,</m:t>
                            </m:r>
                            <m:r>
                              <w:rPr>
                                <w:rFonts w:ascii="Cambria Math" w:hAnsi="Cambria Math"/>
                              </w:rPr>
                              <m:t>t</m:t>
                            </m:r>
                          </m:sub>
                        </m:sSub>
                      </m:e>
                    </m:nary>
                  </m:den>
                </m:f>
                <m:r>
                  <m:rPr>
                    <m:sty m:val="p"/>
                  </m:rPr>
                  <w:rPr>
                    <w:rFonts w:ascii="Cambria Math" w:hAnsi="Cambria Math"/>
                  </w:rPr>
                  <m:t>.</m:t>
                </m:r>
              </m:oMath>
            </m:oMathPara>
          </w:p>
        </w:tc>
        <w:tc>
          <w:tcPr>
            <w:tcW w:w="697" w:type="dxa"/>
            <w:vAlign w:val="center"/>
          </w:tcPr>
          <w:p w14:paraId="25ADB52F" w14:textId="572ABA7C"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3</w:t>
            </w:r>
            <w:r w:rsidRPr="00B62318">
              <w:fldChar w:fldCharType="end"/>
            </w:r>
            <w:r w:rsidRPr="00B62318">
              <w:t>)</w:t>
            </w:r>
          </w:p>
        </w:tc>
      </w:tr>
    </w:tbl>
    <w:p w14:paraId="415D552D" w14:textId="77777777" w:rsidR="00AC6722" w:rsidRPr="00B62318" w:rsidRDefault="00AC6722" w:rsidP="00AC6722">
      <w:r w:rsidRPr="00B62318">
        <w:t>If the denominator was zero, indicating that no microcell piece within the grid cell had existing built-up area, weights were instead defined using remaining developable capacity,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267FB5DF" w14:textId="77777777" w:rsidTr="00BC3A4C">
        <w:tc>
          <w:tcPr>
            <w:tcW w:w="625" w:type="dxa"/>
          </w:tcPr>
          <w:p w14:paraId="349971EB" w14:textId="77777777" w:rsidR="00AC6722" w:rsidRPr="00B62318" w:rsidRDefault="00AC6722" w:rsidP="00F438D9"/>
        </w:tc>
        <w:tc>
          <w:tcPr>
            <w:tcW w:w="7740" w:type="dxa"/>
            <w:vAlign w:val="center"/>
          </w:tcPr>
          <w:p w14:paraId="7DB424A7" w14:textId="77777777" w:rsidR="00AC6722" w:rsidRPr="00B62318" w:rsidRDefault="00DE782A" w:rsidP="00F438D9">
            <w:pPr>
              <w:jc w:val="center"/>
            </w:pPr>
            <m:oMathPara>
              <m:oMath>
                <m:sSub>
                  <m:sSubPr>
                    <m:ctrlPr>
                      <w:rPr>
                        <w:rFonts w:ascii="Cambria Math" w:hAnsi="Cambria Math"/>
                      </w:rPr>
                    </m:ctrlPr>
                  </m:sSubPr>
                  <m:e>
                    <m:r>
                      <w:rPr>
                        <w:rFonts w:ascii="Cambria Math" w:hAnsi="Cambria Math"/>
                      </w:rPr>
                      <m:t>w</m:t>
                    </m:r>
                  </m:e>
                  <m:sub>
                    <m:r>
                      <w:rPr>
                        <w:rFonts w:ascii="Cambria Math" w:hAnsi="Cambria Math"/>
                      </w:rPr>
                      <m:t>j</m:t>
                    </m:r>
                    <m:r>
                      <w:rPr>
                        <w:rFonts w:ascii="Cambria Math" w:hAnsi="Cambria Math"/>
                      </w:rPr>
                      <m:t>,</m:t>
                    </m:r>
                    <m:r>
                      <w:rPr>
                        <w:rFonts w:ascii="Cambria Math" w:hAnsi="Cambria Math"/>
                      </w:rPr>
                      <m:t>t</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j</m:t>
                        </m:r>
                        <m:r>
                          <w:rPr>
                            <w:rFonts w:ascii="Cambria Math" w:hAnsi="Cambria Math"/>
                          </w:rPr>
                          <m:t>,</m:t>
                        </m:r>
                        <m:r>
                          <w:rPr>
                            <w:rFonts w:ascii="Cambria Math" w:hAnsi="Cambria Math"/>
                          </w:rPr>
                          <m:t>t</m:t>
                        </m:r>
                      </m:sub>
                    </m:sSub>
                  </m:num>
                  <m:den>
                    <m:nary>
                      <m:naryPr>
                        <m:chr m:val="∑"/>
                        <m:limLoc m:val="undOvr"/>
                        <m:grow m:val="1"/>
                        <m:supHide m:val="1"/>
                        <m:ctrlPr>
                          <w:rPr>
                            <w:rFonts w:ascii="Cambria Math" w:hAnsi="Cambria Math"/>
                          </w:rPr>
                        </m:ctrlPr>
                      </m:naryPr>
                      <m:sub>
                        <m:r>
                          <w:rPr>
                            <w:rFonts w:ascii="Cambria Math" w:hAnsi="Cambria Math"/>
                          </w:rPr>
                          <m:t>k</m:t>
                        </m:r>
                        <m:r>
                          <m:rPr>
                            <m:scr m:val="script"/>
                          </m:rPr>
                          <w:rPr>
                            <w:rFonts w:ascii="Cambria Math" w:hAnsi="Cambria Math"/>
                          </w:rPr>
                          <m:t>∈M(</m:t>
                        </m:r>
                        <m:r>
                          <w:rPr>
                            <w:rFonts w:ascii="Cambria Math" w:hAnsi="Cambria Math"/>
                          </w:rPr>
                          <m:t>i</m:t>
                        </m:r>
                        <m:r>
                          <w:rPr>
                            <w:rFonts w:ascii="Cambria Math" w:hAnsi="Cambria Math"/>
                          </w:rPr>
                          <m:t>)</m:t>
                        </m:r>
                      </m:sub>
                      <m:sup/>
                      <m:e>
                        <m:sSub>
                          <m:sSubPr>
                            <m:ctrlPr>
                              <w:rPr>
                                <w:rFonts w:ascii="Cambria Math" w:hAnsi="Cambria Math"/>
                              </w:rPr>
                            </m:ctrlPr>
                          </m:sSubPr>
                          <m:e>
                            <m:r>
                              <w:rPr>
                                <w:rFonts w:ascii="Cambria Math" w:hAnsi="Cambria Math"/>
                              </w:rPr>
                              <m:t>C</m:t>
                            </m:r>
                          </m:e>
                          <m:sub>
                            <m:r>
                              <w:rPr>
                                <w:rFonts w:ascii="Cambria Math" w:hAnsi="Cambria Math"/>
                              </w:rPr>
                              <m:t>k</m:t>
                            </m:r>
                            <m:r>
                              <w:rPr>
                                <w:rFonts w:ascii="Cambria Math" w:hAnsi="Cambria Math"/>
                              </w:rPr>
                              <m:t>,</m:t>
                            </m:r>
                            <m:r>
                              <w:rPr>
                                <w:rFonts w:ascii="Cambria Math" w:hAnsi="Cambria Math"/>
                              </w:rPr>
                              <m:t>t</m:t>
                            </m:r>
                          </m:sub>
                        </m:sSub>
                      </m:e>
                    </m:nary>
                  </m:den>
                </m:f>
                <m:r>
                  <m:rPr>
                    <m:sty m:val="p"/>
                  </m:rPr>
                  <w:rPr>
                    <w:rFonts w:ascii="Cambria Math" w:hAnsi="Cambria Math"/>
                  </w:rPr>
                  <m:t>.</m:t>
                </m:r>
              </m:oMath>
            </m:oMathPara>
          </w:p>
        </w:tc>
        <w:tc>
          <w:tcPr>
            <w:tcW w:w="697" w:type="dxa"/>
            <w:vAlign w:val="center"/>
          </w:tcPr>
          <w:p w14:paraId="02EF042C" w14:textId="233B08AE"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4</w:t>
            </w:r>
            <w:r w:rsidRPr="00B62318">
              <w:fldChar w:fldCharType="end"/>
            </w:r>
            <w:r w:rsidRPr="00B62318">
              <w:t>)</w:t>
            </w:r>
          </w:p>
        </w:tc>
      </w:tr>
    </w:tbl>
    <w:p w14:paraId="0C70F419" w14:textId="77777777" w:rsidR="00AC6722" w:rsidRPr="00B62318" w:rsidRDefault="00AC6722" w:rsidP="00AC6722">
      <w:r w:rsidRPr="00B62318">
        <w:t>Weights were normalized to sum to one within each grid cell.</w:t>
      </w:r>
    </w:p>
    <w:p w14:paraId="64512385" w14:textId="77777777" w:rsidR="00AC6722" w:rsidRPr="00B62318" w:rsidRDefault="00AC6722" w:rsidP="00AC6722">
      <w:r w:rsidRPr="00B62318">
        <w:t>An initial allocation of built-up area to microcell pieces was computed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22ACCD48" w14:textId="77777777" w:rsidTr="00BC3A4C">
        <w:tc>
          <w:tcPr>
            <w:tcW w:w="625" w:type="dxa"/>
          </w:tcPr>
          <w:p w14:paraId="17CC8740" w14:textId="77777777" w:rsidR="00AC6722" w:rsidRPr="00B62318" w:rsidRDefault="00AC6722" w:rsidP="00F438D9"/>
        </w:tc>
        <w:tc>
          <w:tcPr>
            <w:tcW w:w="7740" w:type="dxa"/>
            <w:vAlign w:val="center"/>
          </w:tcPr>
          <w:p w14:paraId="1C6D653D" w14:textId="77777777" w:rsidR="00AC6722" w:rsidRPr="00B62318" w:rsidRDefault="00AC6722" w:rsidP="00F438D9">
            <w:pPr>
              <w:jc w:val="center"/>
            </w:pPr>
            <m:oMathPara>
              <m:oMath>
                <m:r>
                  <m:rPr>
                    <m:sty m:val="p"/>
                  </m:rPr>
                  <w:rPr>
                    <w:rFonts w:ascii="Cambria Math" w:hAnsi="Cambria Math"/>
                  </w:rPr>
                  <m:t>Δ</m:t>
                </m:r>
                <m:sSubSup>
                  <m:sSubSupPr>
                    <m:ctrlPr>
                      <w:rPr>
                        <w:rFonts w:ascii="Cambria Math" w:hAnsi="Cambria Math"/>
                      </w:rPr>
                    </m:ctrlPr>
                  </m:sSubSupPr>
                  <m:e>
                    <m:r>
                      <w:rPr>
                        <w:rFonts w:ascii="Cambria Math" w:hAnsi="Cambria Math"/>
                      </w:rPr>
                      <m:t>A</m:t>
                    </m:r>
                  </m:e>
                  <m:sub>
                    <m:r>
                      <w:rPr>
                        <w:rFonts w:ascii="Cambria Math" w:hAnsi="Cambria Math"/>
                      </w:rPr>
                      <m:t>j,t</m:t>
                    </m:r>
                  </m:sub>
                  <m:sup>
                    <m:d>
                      <m:dPr>
                        <m:ctrlPr>
                          <w:rPr>
                            <w:rFonts w:ascii="Cambria Math" w:hAnsi="Cambria Math"/>
                          </w:rPr>
                        </m:ctrlPr>
                      </m:dPr>
                      <m:e>
                        <m:r>
                          <w:rPr>
                            <w:rFonts w:ascii="Cambria Math" w:hAnsi="Cambria Math"/>
                          </w:rPr>
                          <m:t>0</m:t>
                        </m:r>
                      </m:e>
                    </m:d>
                  </m:sup>
                </m:sSubSup>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j,t</m:t>
                    </m:r>
                  </m:sub>
                </m:sSub>
                <m:r>
                  <w:rPr>
                    <w:rFonts w:ascii="Cambria Math" w:hAnsi="Cambria Math"/>
                  </w:rPr>
                  <m:t>⋅</m:t>
                </m:r>
                <m:r>
                  <m:rPr>
                    <m:sty m:val="p"/>
                  </m:rPr>
                  <w:rPr>
                    <w:rFonts w:ascii="Cambria Math" w:hAnsi="Cambria Math"/>
                  </w:rPr>
                  <m:t>Δ</m:t>
                </m:r>
                <m:sSubSup>
                  <m:sSubSupPr>
                    <m:ctrlPr>
                      <w:rPr>
                        <w:rFonts w:ascii="Cambria Math" w:hAnsi="Cambria Math"/>
                      </w:rPr>
                    </m:ctrlPr>
                  </m:sSubSupPr>
                  <m:e>
                    <m:r>
                      <w:rPr>
                        <w:rFonts w:ascii="Cambria Math" w:hAnsi="Cambria Math"/>
                      </w:rPr>
                      <m:t>A</m:t>
                    </m:r>
                  </m:e>
                  <m:sub>
                    <m:r>
                      <w:rPr>
                        <w:rFonts w:ascii="Cambria Math" w:hAnsi="Cambria Math"/>
                      </w:rPr>
                      <m:t>i,t</m:t>
                    </m:r>
                  </m:sub>
                  <m:sup>
                    <m:r>
                      <w:rPr>
                        <w:rFonts w:ascii="Cambria Math" w:hAnsi="Cambria Math"/>
                      </w:rPr>
                      <m:t>1km</m:t>
                    </m:r>
                  </m:sup>
                </m:sSubSup>
                <m:r>
                  <m:rPr>
                    <m:sty m:val="p"/>
                  </m:rPr>
                  <w:rPr>
                    <w:rFonts w:ascii="Cambria Math" w:hAnsi="Cambria Math"/>
                  </w:rPr>
                  <m:t>.</m:t>
                </m:r>
              </m:oMath>
            </m:oMathPara>
          </w:p>
        </w:tc>
        <w:tc>
          <w:tcPr>
            <w:tcW w:w="697" w:type="dxa"/>
            <w:vAlign w:val="center"/>
          </w:tcPr>
          <w:p w14:paraId="2BD19779" w14:textId="50E70DCC"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5</w:t>
            </w:r>
            <w:r w:rsidRPr="00B62318">
              <w:fldChar w:fldCharType="end"/>
            </w:r>
            <w:r w:rsidRPr="00B62318">
              <w:t>)</w:t>
            </w:r>
          </w:p>
        </w:tc>
      </w:tr>
    </w:tbl>
    <w:p w14:paraId="5A4C1234" w14:textId="77777777" w:rsidR="00AC6722" w:rsidRPr="00B62318" w:rsidRDefault="00AC6722" w:rsidP="00AC6722">
      <w:r w:rsidRPr="00B62318">
        <w:t xml:space="preserve">This allocation was subject to a capacity constraint such that </w:t>
      </w:r>
      <m:oMath>
        <m:r>
          <m:rPr>
            <m:sty m:val="p"/>
          </m:rPr>
          <w:rPr>
            <w:rFonts w:ascii="Cambria Math" w:hAnsi="Cambria Math"/>
          </w:rPr>
          <m:t>Δ</m:t>
        </m:r>
        <m:sSubSup>
          <m:sSubSupPr>
            <m:ctrlPr>
              <w:rPr>
                <w:rFonts w:ascii="Cambria Math" w:hAnsi="Cambria Math"/>
              </w:rPr>
            </m:ctrlPr>
          </m:sSubSupPr>
          <m:e>
            <m:r>
              <w:rPr>
                <w:rFonts w:ascii="Cambria Math" w:hAnsi="Cambria Math"/>
              </w:rPr>
              <m:t>A</m:t>
            </m:r>
          </m:e>
          <m:sub>
            <m:r>
              <w:rPr>
                <w:rFonts w:ascii="Cambria Math" w:hAnsi="Cambria Math"/>
              </w:rPr>
              <m:t>j,t</m:t>
            </m:r>
          </m:sub>
          <m:sup>
            <m:d>
              <m:dPr>
                <m:ctrlPr>
                  <w:rPr>
                    <w:rFonts w:ascii="Cambria Math" w:hAnsi="Cambria Math"/>
                  </w:rPr>
                </m:ctrlPr>
              </m:dPr>
              <m:e>
                <m:r>
                  <w:rPr>
                    <w:rFonts w:ascii="Cambria Math" w:hAnsi="Cambria Math"/>
                  </w:rPr>
                  <m:t>0</m:t>
                </m:r>
              </m:e>
            </m:d>
          </m:sup>
        </m:sSubSup>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j,t</m:t>
            </m:r>
          </m:sub>
        </m:sSub>
      </m:oMath>
      <w:r w:rsidRPr="00B62318">
        <w:t xml:space="preserve">. If the initial allocation exceeded available capacity, it was capped at </w:t>
      </w:r>
      <m:oMath>
        <m:sSub>
          <m:sSubPr>
            <m:ctrlPr>
              <w:rPr>
                <w:rFonts w:ascii="Cambria Math" w:hAnsi="Cambria Math"/>
              </w:rPr>
            </m:ctrlPr>
          </m:sSubPr>
          <m:e>
            <m:r>
              <w:rPr>
                <w:rFonts w:ascii="Cambria Math" w:hAnsi="Cambria Math"/>
              </w:rPr>
              <m:t>C</m:t>
            </m:r>
          </m:e>
          <m:sub>
            <m:r>
              <w:rPr>
                <w:rFonts w:ascii="Cambria Math" w:hAnsi="Cambria Math"/>
              </w:rPr>
              <m:t>j,t</m:t>
            </m:r>
          </m:sub>
        </m:sSub>
      </m:oMath>
      <w:r w:rsidRPr="00B62318">
        <w:t xml:space="preserve">, and the excess amount was recorded as overflow. Total overflow within grid cell </w:t>
      </w:r>
      <m:oMath>
        <m:r>
          <w:rPr>
            <w:rFonts w:ascii="Cambria Math" w:hAnsi="Cambria Math"/>
          </w:rPr>
          <m:t>i</m:t>
        </m:r>
      </m:oMath>
      <w:r w:rsidRPr="00B62318">
        <w:rPr>
          <w:rFonts w:eastAsiaTheme="minorEastAsia"/>
        </w:rPr>
        <w:t xml:space="preserve"> </w:t>
      </w:r>
      <w:r w:rsidRPr="00B62318">
        <w:t xml:space="preserve">at iteration zero was defined as the sum of excess allocations across all microcell pieces in </w:t>
      </w:r>
      <m:oMath>
        <m:r>
          <m:rPr>
            <m:scr m:val="script"/>
          </m:rPr>
          <w:rPr>
            <w:rFonts w:ascii="Cambria Math" w:hAnsi="Cambria Math"/>
          </w:rPr>
          <m:t>M(</m:t>
        </m:r>
        <m:r>
          <w:rPr>
            <w:rFonts w:ascii="Cambria Math" w:hAnsi="Cambria Math"/>
          </w:rPr>
          <m:t>i)</m:t>
        </m:r>
      </m:oMath>
      <w:r w:rsidRPr="00B62318">
        <w:t>.</w:t>
      </w:r>
    </w:p>
    <w:p w14:paraId="336346EF" w14:textId="77777777" w:rsidR="00AC6722" w:rsidRPr="00B62318" w:rsidRDefault="00AC6722" w:rsidP="00AC6722">
      <w:r w:rsidRPr="00B62318">
        <w:t xml:space="preserve">Overflow was redistributed iteratively among pieces with remaining capacity. At iteration </w:t>
      </w:r>
      <m:oMath>
        <m:r>
          <w:rPr>
            <w:rFonts w:ascii="Cambria Math" w:hAnsi="Cambria Math"/>
          </w:rPr>
          <m:t>k</m:t>
        </m:r>
      </m:oMath>
      <w:r w:rsidRPr="00B62318">
        <w:t>, remaining capacity was defined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15EA858F" w14:textId="77777777" w:rsidTr="00BC3A4C">
        <w:tc>
          <w:tcPr>
            <w:tcW w:w="625" w:type="dxa"/>
          </w:tcPr>
          <w:p w14:paraId="02A503D6" w14:textId="77777777" w:rsidR="00AC6722" w:rsidRPr="00B62318" w:rsidRDefault="00AC6722" w:rsidP="00F438D9"/>
        </w:tc>
        <w:tc>
          <w:tcPr>
            <w:tcW w:w="7740" w:type="dxa"/>
            <w:vAlign w:val="center"/>
          </w:tcPr>
          <w:p w14:paraId="0F90E763" w14:textId="77777777" w:rsidR="00AC6722" w:rsidRPr="00B62318" w:rsidRDefault="00DE782A" w:rsidP="00F438D9">
            <w:pPr>
              <w:jc w:val="center"/>
            </w:pPr>
            <m:oMathPara>
              <m:oMath>
                <m:sSubSup>
                  <m:sSubSupPr>
                    <m:ctrlPr>
                      <w:rPr>
                        <w:rFonts w:ascii="Cambria Math" w:hAnsi="Cambria Math"/>
                      </w:rPr>
                    </m:ctrlPr>
                  </m:sSubSupPr>
                  <m:e>
                    <m:r>
                      <w:rPr>
                        <w:rFonts w:ascii="Cambria Math" w:hAnsi="Cambria Math"/>
                      </w:rPr>
                      <m:t>C</m:t>
                    </m:r>
                  </m:e>
                  <m:sub>
                    <m:r>
                      <w:rPr>
                        <w:rFonts w:ascii="Cambria Math" w:hAnsi="Cambria Math"/>
                      </w:rPr>
                      <m:t>j</m:t>
                    </m:r>
                    <m: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k</m:t>
                        </m:r>
                      </m:e>
                    </m:d>
                  </m:sup>
                </m:sSubSup>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j</m:t>
                    </m:r>
                    <m:r>
                      <w:rPr>
                        <w:rFonts w:ascii="Cambria Math" w:hAnsi="Cambria Math"/>
                      </w:rPr>
                      <m:t>,</m:t>
                    </m:r>
                    <m:r>
                      <w:rPr>
                        <w:rFonts w:ascii="Cambria Math" w:hAnsi="Cambria Math"/>
                      </w:rPr>
                      <m:t>t</m:t>
                    </m:r>
                  </m:sub>
                </m:sSub>
                <m:r>
                  <w:rPr>
                    <w:rFonts w:ascii="Cambria Math" w:hAnsi="Cambria Math"/>
                  </w:rPr>
                  <m:t>-</m:t>
                </m:r>
                <m:nary>
                  <m:naryPr>
                    <m:chr m:val="∑"/>
                    <m:limLoc m:val="undOvr"/>
                    <m:grow m:val="1"/>
                    <m:ctrlPr>
                      <w:rPr>
                        <w:rFonts w:ascii="Cambria Math" w:hAnsi="Cambria Math"/>
                      </w:rPr>
                    </m:ctrlPr>
                  </m:naryPr>
                  <m:sub>
                    <m:r>
                      <w:rPr>
                        <w:rFonts w:ascii="Cambria Math" w:hAnsi="Cambria Math"/>
                      </w:rPr>
                      <m:t>m</m:t>
                    </m:r>
                    <m:r>
                      <w:rPr>
                        <w:rFonts w:ascii="Cambria Math" w:hAnsi="Cambria Math"/>
                      </w:rPr>
                      <m:t>=0</m:t>
                    </m:r>
                  </m:sub>
                  <m:sup>
                    <m:r>
                      <w:rPr>
                        <w:rFonts w:ascii="Cambria Math" w:hAnsi="Cambria Math"/>
                      </w:rPr>
                      <m:t>k</m:t>
                    </m:r>
                    <m:r>
                      <w:rPr>
                        <w:rFonts w:ascii="Cambria Math" w:hAnsi="Cambria Math"/>
                      </w:rPr>
                      <m:t>-</m:t>
                    </m:r>
                    <m:r>
                      <w:rPr>
                        <w:rFonts w:ascii="Cambria Math" w:hAnsi="Cambria Math"/>
                      </w:rPr>
                      <m:t>1</m:t>
                    </m:r>
                  </m:sup>
                  <m:e>
                    <m:r>
                      <m:rPr>
                        <m:sty m:val="p"/>
                      </m:rPr>
                      <w:rPr>
                        <w:rFonts w:ascii="Cambria Math" w:hAnsi="Cambria Math"/>
                      </w:rPr>
                      <m:t>Δ</m:t>
                    </m:r>
                  </m:e>
                </m:nary>
                <m:sSubSup>
                  <m:sSubSupPr>
                    <m:ctrlPr>
                      <w:rPr>
                        <w:rFonts w:ascii="Cambria Math" w:hAnsi="Cambria Math"/>
                      </w:rPr>
                    </m:ctrlPr>
                  </m:sSubSupPr>
                  <m:e>
                    <m:r>
                      <w:rPr>
                        <w:rFonts w:ascii="Cambria Math" w:hAnsi="Cambria Math"/>
                      </w:rPr>
                      <m:t>A</m:t>
                    </m:r>
                  </m:e>
                  <m:sub>
                    <m:r>
                      <w:rPr>
                        <w:rFonts w:ascii="Cambria Math" w:hAnsi="Cambria Math"/>
                      </w:rPr>
                      <m:t>j</m:t>
                    </m:r>
                    <m: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m</m:t>
                        </m:r>
                      </m:e>
                    </m:d>
                  </m:sup>
                </m:sSubSup>
                <m:r>
                  <m:rPr>
                    <m:sty m:val="p"/>
                  </m:rPr>
                  <w:rPr>
                    <w:rFonts w:ascii="Cambria Math" w:hAnsi="Cambria Math"/>
                  </w:rPr>
                  <m:t>.</m:t>
                </m:r>
              </m:oMath>
            </m:oMathPara>
          </w:p>
        </w:tc>
        <w:tc>
          <w:tcPr>
            <w:tcW w:w="697" w:type="dxa"/>
            <w:vAlign w:val="center"/>
          </w:tcPr>
          <w:p w14:paraId="45096EC0" w14:textId="0152AFFB"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6</w:t>
            </w:r>
            <w:r w:rsidRPr="00B62318">
              <w:fldChar w:fldCharType="end"/>
            </w:r>
            <w:r w:rsidRPr="00B62318">
              <w:t>)</w:t>
            </w:r>
          </w:p>
        </w:tc>
      </w:tr>
    </w:tbl>
    <w:p w14:paraId="61126F34" w14:textId="77777777" w:rsidR="00AC6722" w:rsidRPr="00B62318" w:rsidRDefault="00AC6722" w:rsidP="00AC6722">
      <w:r w:rsidRPr="00B62318">
        <w:t>Redistribution weights were proportional to remaining capacity,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6B8967D1" w14:textId="77777777" w:rsidTr="00BC3A4C">
        <w:tc>
          <w:tcPr>
            <w:tcW w:w="625" w:type="dxa"/>
          </w:tcPr>
          <w:p w14:paraId="1B40F6D5" w14:textId="77777777" w:rsidR="00AC6722" w:rsidRPr="00B62318" w:rsidRDefault="00AC6722" w:rsidP="00F438D9"/>
        </w:tc>
        <w:tc>
          <w:tcPr>
            <w:tcW w:w="7740" w:type="dxa"/>
            <w:vAlign w:val="center"/>
          </w:tcPr>
          <w:p w14:paraId="264A1429" w14:textId="77777777" w:rsidR="00AC6722" w:rsidRPr="00B62318" w:rsidRDefault="00DE782A" w:rsidP="00F438D9">
            <w:pPr>
              <w:jc w:val="center"/>
            </w:pPr>
            <m:oMathPara>
              <m:oMath>
                <m:sSubSup>
                  <m:sSubSupPr>
                    <m:ctrlPr>
                      <w:rPr>
                        <w:rFonts w:ascii="Cambria Math" w:hAnsi="Cambria Math"/>
                      </w:rPr>
                    </m:ctrlPr>
                  </m:sSubSupPr>
                  <m:e>
                    <m:r>
                      <w:rPr>
                        <w:rFonts w:ascii="Cambria Math" w:hAnsi="Cambria Math"/>
                      </w:rPr>
                      <m:t>w</m:t>
                    </m:r>
                  </m:e>
                  <m:sub>
                    <m:r>
                      <w:rPr>
                        <w:rFonts w:ascii="Cambria Math" w:hAnsi="Cambria Math"/>
                      </w:rPr>
                      <m:t>j</m:t>
                    </m:r>
                    <m: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k</m:t>
                        </m:r>
                      </m:e>
                    </m:d>
                  </m:sup>
                </m:sSubSup>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C</m:t>
                        </m:r>
                      </m:e>
                      <m:sub>
                        <m:r>
                          <w:rPr>
                            <w:rFonts w:ascii="Cambria Math" w:hAnsi="Cambria Math"/>
                          </w:rPr>
                          <m:t>j</m:t>
                        </m:r>
                        <m: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k</m:t>
                            </m:r>
                          </m:e>
                        </m:d>
                      </m:sup>
                    </m:sSubSup>
                  </m:num>
                  <m:den>
                    <m:nary>
                      <m:naryPr>
                        <m:chr m:val="∑"/>
                        <m:limLoc m:val="undOvr"/>
                        <m:grow m:val="1"/>
                        <m:supHide m:val="1"/>
                        <m:ctrlPr>
                          <w:rPr>
                            <w:rFonts w:ascii="Cambria Math" w:hAnsi="Cambria Math"/>
                          </w:rPr>
                        </m:ctrlPr>
                      </m:naryPr>
                      <m:sub>
                        <m:r>
                          <w:rPr>
                            <w:rFonts w:ascii="Cambria Math" w:hAnsi="Cambria Math"/>
                          </w:rPr>
                          <m:t>l</m:t>
                        </m:r>
                        <m:r>
                          <w:rPr>
                            <w:rFonts w:ascii="Cambria Math" w:hAnsi="Cambria Math"/>
                          </w:rPr>
                          <m:t>∈</m:t>
                        </m:r>
                        <m:sSup>
                          <m:sSupPr>
                            <m:ctrlPr>
                              <w:rPr>
                                <w:rFonts w:ascii="Cambria Math" w:hAnsi="Cambria Math"/>
                              </w:rPr>
                            </m:ctrlPr>
                          </m:sSupPr>
                          <m:e>
                            <m:r>
                              <m:rPr>
                                <m:scr m:val="script"/>
                              </m:rPr>
                              <w:rPr>
                                <w:rFonts w:ascii="Cambria Math" w:hAnsi="Cambria Math"/>
                              </w:rPr>
                              <m:t>M</m:t>
                            </m:r>
                          </m:e>
                          <m:sup>
                            <m:d>
                              <m:dPr>
                                <m:ctrlPr>
                                  <w:rPr>
                                    <w:rFonts w:ascii="Cambria Math" w:hAnsi="Cambria Math"/>
                                  </w:rPr>
                                </m:ctrlPr>
                              </m:dPr>
                              <m:e>
                                <m:r>
                                  <w:rPr>
                                    <w:rFonts w:ascii="Cambria Math" w:hAnsi="Cambria Math"/>
                                  </w:rPr>
                                  <m:t>k</m:t>
                                </m:r>
                              </m:e>
                            </m:d>
                          </m:sup>
                        </m:sSup>
                        <m:r>
                          <w:rPr>
                            <w:rFonts w:ascii="Cambria Math" w:hAnsi="Cambria Math"/>
                          </w:rPr>
                          <m:t>(</m:t>
                        </m:r>
                        <m:r>
                          <w:rPr>
                            <w:rFonts w:ascii="Cambria Math" w:hAnsi="Cambria Math"/>
                          </w:rPr>
                          <m:t>i</m:t>
                        </m:r>
                        <m:r>
                          <w:rPr>
                            <w:rFonts w:ascii="Cambria Math" w:hAnsi="Cambria Math"/>
                          </w:rPr>
                          <m:t>)</m:t>
                        </m:r>
                      </m:sub>
                      <m:sup/>
                      <m:e>
                        <m:sSubSup>
                          <m:sSubSupPr>
                            <m:ctrlPr>
                              <w:rPr>
                                <w:rFonts w:ascii="Cambria Math" w:hAnsi="Cambria Math"/>
                              </w:rPr>
                            </m:ctrlPr>
                          </m:sSubSupPr>
                          <m:e>
                            <m:r>
                              <w:rPr>
                                <w:rFonts w:ascii="Cambria Math" w:hAnsi="Cambria Math"/>
                              </w:rPr>
                              <m:t>C</m:t>
                            </m:r>
                          </m:e>
                          <m:sub>
                            <m:r>
                              <w:rPr>
                                <w:rFonts w:ascii="Cambria Math" w:hAnsi="Cambria Math"/>
                              </w:rPr>
                              <m:t>l</m:t>
                            </m:r>
                            <m: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k</m:t>
                                </m:r>
                              </m:e>
                            </m:d>
                          </m:sup>
                        </m:sSubSup>
                      </m:e>
                    </m:nary>
                  </m:den>
                </m:f>
                <m:r>
                  <w:rPr>
                    <w:rFonts w:ascii="Cambria Math" w:hAnsi="Cambria Math"/>
                  </w:rPr>
                  <m:t>,</m:t>
                </m:r>
              </m:oMath>
            </m:oMathPara>
          </w:p>
        </w:tc>
        <w:tc>
          <w:tcPr>
            <w:tcW w:w="697" w:type="dxa"/>
            <w:vAlign w:val="center"/>
          </w:tcPr>
          <w:p w14:paraId="02F42704" w14:textId="5792CA3E"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7</w:t>
            </w:r>
            <w:r w:rsidRPr="00B62318">
              <w:fldChar w:fldCharType="end"/>
            </w:r>
            <w:r w:rsidRPr="00B62318">
              <w:t>)</w:t>
            </w:r>
          </w:p>
        </w:tc>
      </w:tr>
    </w:tbl>
    <w:p w14:paraId="1160B2F1" w14:textId="77777777" w:rsidR="00AC6722" w:rsidRPr="00B62318" w:rsidRDefault="00AC6722" w:rsidP="00AC6722">
      <w:r w:rsidRPr="00B62318">
        <w:t xml:space="preserve">where </w:t>
      </w:r>
      <m:oMath>
        <m:sSup>
          <m:sSupPr>
            <m:ctrlPr>
              <w:rPr>
                <w:rFonts w:ascii="Cambria Math" w:hAnsi="Cambria Math"/>
              </w:rPr>
            </m:ctrlPr>
          </m:sSupPr>
          <m:e>
            <m:r>
              <m:rPr>
                <m:scr m:val="script"/>
              </m:rPr>
              <w:rPr>
                <w:rFonts w:ascii="Cambria Math" w:hAnsi="Cambria Math"/>
              </w:rPr>
              <m:t>M</m:t>
            </m:r>
          </m:e>
          <m:sup>
            <m:d>
              <m:dPr>
                <m:ctrlPr>
                  <w:rPr>
                    <w:rFonts w:ascii="Cambria Math" w:hAnsi="Cambria Math"/>
                  </w:rPr>
                </m:ctrlPr>
              </m:dPr>
              <m:e>
                <m:r>
                  <w:rPr>
                    <w:rFonts w:ascii="Cambria Math" w:hAnsi="Cambria Math"/>
                  </w:rPr>
                  <m:t>k</m:t>
                </m:r>
              </m:e>
            </m:d>
          </m:sup>
        </m:sSup>
        <m:r>
          <w:rPr>
            <w:rFonts w:ascii="Cambria Math" w:hAnsi="Cambria Math"/>
          </w:rPr>
          <m:t>(i)</m:t>
        </m:r>
      </m:oMath>
      <w:r w:rsidRPr="00B62318">
        <w:rPr>
          <w:rFonts w:eastAsiaTheme="minorEastAsia"/>
        </w:rPr>
        <w:t xml:space="preserve"> </w:t>
      </w:r>
      <w:r w:rsidRPr="00B62318">
        <w:t xml:space="preserve">denotes the subset of pieces with positive remaining capacity at iteration </w:t>
      </w:r>
      <m:oMath>
        <m:r>
          <w:rPr>
            <w:rFonts w:ascii="Cambria Math" w:hAnsi="Cambria Math"/>
          </w:rPr>
          <m:t>k</m:t>
        </m:r>
      </m:oMath>
      <w:r w:rsidRPr="00B62318">
        <w:t>. Additional allocation at each iteration was computed as the minimum of the proposed share and remaining capacity. Iterations continued until either all overflow was absorbed or no remaining capacity existed within the grid cell.</w:t>
      </w:r>
    </w:p>
    <w:p w14:paraId="45BD9540" w14:textId="77777777" w:rsidR="00AC6722" w:rsidRPr="00B62318" w:rsidRDefault="00AC6722" w:rsidP="00AC6722">
      <w:r w:rsidRPr="00B62318">
        <w:t xml:space="preserve">The total allocation to microcell piece </w:t>
      </w:r>
      <m:oMath>
        <m:r>
          <w:rPr>
            <w:rFonts w:ascii="Cambria Math" w:hAnsi="Cambria Math"/>
          </w:rPr>
          <m:t>j</m:t>
        </m:r>
      </m:oMath>
      <w:r w:rsidRPr="00B62318">
        <w:rPr>
          <w:rFonts w:eastAsiaTheme="minorEastAsia"/>
        </w:rPr>
        <w:t xml:space="preserve"> </w:t>
      </w:r>
      <w:r w:rsidRPr="00B62318">
        <w:t xml:space="preserve">during decade </w:t>
      </w:r>
      <m:oMath>
        <m:r>
          <w:rPr>
            <w:rFonts w:ascii="Cambria Math" w:hAnsi="Cambria Math"/>
          </w:rPr>
          <m:t>t</m:t>
        </m:r>
      </m:oMath>
      <w:r w:rsidRPr="00B62318">
        <w:rPr>
          <w:rFonts w:eastAsiaTheme="minorEastAsia"/>
        </w:rPr>
        <w:t xml:space="preserve"> </w:t>
      </w:r>
      <w:r w:rsidRPr="00B62318">
        <w:t>was obtained by summing allocations across all iterations. Built-up area was updated at the end of each decade according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68CC038F" w14:textId="77777777" w:rsidTr="00BC3A4C">
        <w:trPr>
          <w:trHeight w:val="63"/>
        </w:trPr>
        <w:tc>
          <w:tcPr>
            <w:tcW w:w="625" w:type="dxa"/>
          </w:tcPr>
          <w:p w14:paraId="15139FF4" w14:textId="77777777" w:rsidR="00AC6722" w:rsidRPr="00B62318" w:rsidRDefault="00AC6722" w:rsidP="00F438D9"/>
        </w:tc>
        <w:tc>
          <w:tcPr>
            <w:tcW w:w="7740" w:type="dxa"/>
            <w:vAlign w:val="center"/>
          </w:tcPr>
          <w:p w14:paraId="2CEC161A" w14:textId="77777777" w:rsidR="00AC6722" w:rsidRPr="00B62318" w:rsidRDefault="00DE782A" w:rsidP="00F438D9">
            <w:pPr>
              <w:jc w:val="center"/>
            </w:pPr>
            <m:oMathPara>
              <m:oMath>
                <m:sSub>
                  <m:sSubPr>
                    <m:ctrlPr>
                      <w:rPr>
                        <w:rFonts w:ascii="Cambria Math" w:hAnsi="Cambria Math"/>
                      </w:rPr>
                    </m:ctrlPr>
                  </m:sSubPr>
                  <m:e>
                    <m:r>
                      <w:rPr>
                        <w:rFonts w:ascii="Cambria Math" w:hAnsi="Cambria Math"/>
                      </w:rPr>
                      <m:t>B</m:t>
                    </m:r>
                  </m:e>
                  <m:sub>
                    <m:r>
                      <w:rPr>
                        <w:rFonts w:ascii="Cambria Math" w:hAnsi="Cambria Math"/>
                      </w:rPr>
                      <m:t>j</m:t>
                    </m:r>
                    <m:r>
                      <w:rPr>
                        <w:rFonts w:ascii="Cambria Math" w:hAnsi="Cambria Math"/>
                      </w:rPr>
                      <m:t>,</m:t>
                    </m:r>
                    <m:r>
                      <w:rPr>
                        <w:rFonts w:ascii="Cambria Math" w:hAnsi="Cambria Math"/>
                      </w:rPr>
                      <m:t>t</m:t>
                    </m:r>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j</m:t>
                    </m:r>
                    <m:r>
                      <w:rPr>
                        <w:rFonts w:ascii="Cambria Math" w:hAnsi="Cambria Math"/>
                      </w:rPr>
                      <m:t>,</m:t>
                    </m:r>
                    <m:r>
                      <w:rPr>
                        <w:rFonts w:ascii="Cambria Math" w:hAnsi="Cambria Math"/>
                      </w:rPr>
                      <m:t>t</m:t>
                    </m:r>
                  </m:sub>
                </m:sSub>
                <m:r>
                  <w:rPr>
                    <w:rFonts w:ascii="Cambria Math" w:hAnsi="Cambria Math"/>
                  </w:rPr>
                  <m:t>+</m:t>
                </m:r>
                <m:r>
                  <m:rPr>
                    <m:sty m:val="p"/>
                  </m:rPr>
                  <w:rPr>
                    <w:rFonts w:ascii="Cambria Math" w:hAnsi="Cambria Math"/>
                  </w:rPr>
                  <m:t>Δ</m:t>
                </m:r>
                <m:sSub>
                  <m:sSubPr>
                    <m:ctrlPr>
                      <w:rPr>
                        <w:rFonts w:ascii="Cambria Math" w:hAnsi="Cambria Math"/>
                      </w:rPr>
                    </m:ctrlPr>
                  </m:sSubPr>
                  <m:e>
                    <m:r>
                      <w:rPr>
                        <w:rFonts w:ascii="Cambria Math" w:hAnsi="Cambria Math"/>
                      </w:rPr>
                      <m:t>A</m:t>
                    </m:r>
                  </m:e>
                  <m:sub>
                    <m:r>
                      <w:rPr>
                        <w:rFonts w:ascii="Cambria Math" w:hAnsi="Cambria Math"/>
                      </w:rPr>
                      <m:t>j</m:t>
                    </m:r>
                    <m:r>
                      <w:rPr>
                        <w:rFonts w:ascii="Cambria Math" w:hAnsi="Cambria Math"/>
                      </w:rPr>
                      <m:t>,</m:t>
                    </m:r>
                    <m:r>
                      <w:rPr>
                        <w:rFonts w:ascii="Cambria Math" w:hAnsi="Cambria Math"/>
                      </w:rPr>
                      <m:t>t</m:t>
                    </m:r>
                  </m:sub>
                </m:sSub>
                <m:r>
                  <m:rPr>
                    <m:sty m:val="p"/>
                  </m:rPr>
                  <w:rPr>
                    <w:rFonts w:ascii="Cambria Math" w:hAnsi="Cambria Math"/>
                  </w:rPr>
                  <m:t>.</m:t>
                </m:r>
              </m:oMath>
            </m:oMathPara>
          </w:p>
        </w:tc>
        <w:tc>
          <w:tcPr>
            <w:tcW w:w="697" w:type="dxa"/>
            <w:vAlign w:val="center"/>
          </w:tcPr>
          <w:p w14:paraId="7818C1B4" w14:textId="1A845FCE"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8</w:t>
            </w:r>
            <w:r w:rsidRPr="00B62318">
              <w:fldChar w:fldCharType="end"/>
            </w:r>
            <w:r w:rsidRPr="00B62318">
              <w:t>)</w:t>
            </w:r>
          </w:p>
        </w:tc>
      </w:tr>
    </w:tbl>
    <w:p w14:paraId="75B177D0" w14:textId="77777777" w:rsidR="00AC6722" w:rsidRPr="00B62318" w:rsidRDefault="00AC6722" w:rsidP="00AC6722">
      <w:r w:rsidRPr="00B62318">
        <w:t>Updated values were then aggregated across all pieces belonging to the same microcell to obtain microcell-level built-up areas and were used as inputs for the subsequent decadal allocation step.</w:t>
      </w:r>
    </w:p>
    <w:p w14:paraId="344E51DC" w14:textId="77777777" w:rsidR="00AC6722" w:rsidRPr="00B62318" w:rsidRDefault="00AC6722" w:rsidP="00AC6722">
      <w:r w:rsidRPr="00B62318">
        <w:t xml:space="preserve">For each grid cell and decade, the procedure conserves total allocated built-up area up to the limit imposed by microcell-level developable capacity. If the sum of remaining capacities within a grid cell was insufficient to absorb the projected increase </w:t>
      </w:r>
      <m:oMath>
        <m:r>
          <m:rPr>
            <m:sty m:val="p"/>
          </m:rPr>
          <w:rPr>
            <w:rFonts w:ascii="Cambria Math" w:hAnsi="Cambria Math"/>
          </w:rPr>
          <m:t>Δ</m:t>
        </m:r>
        <m:sSubSup>
          <m:sSubSupPr>
            <m:ctrlPr>
              <w:rPr>
                <w:rFonts w:ascii="Cambria Math" w:hAnsi="Cambria Math"/>
              </w:rPr>
            </m:ctrlPr>
          </m:sSubSupPr>
          <m:e>
            <m:r>
              <w:rPr>
                <w:rFonts w:ascii="Cambria Math" w:hAnsi="Cambria Math"/>
              </w:rPr>
              <m:t>A</m:t>
            </m:r>
          </m:e>
          <m:sub>
            <m:r>
              <w:rPr>
                <w:rFonts w:ascii="Cambria Math" w:hAnsi="Cambria Math"/>
              </w:rPr>
              <m:t>i,t</m:t>
            </m:r>
          </m:sub>
          <m:sup>
            <m:r>
              <w:rPr>
                <w:rFonts w:ascii="Cambria Math" w:hAnsi="Cambria Math"/>
              </w:rPr>
              <m:t>1km</m:t>
            </m:r>
          </m:sup>
        </m:sSubSup>
      </m:oMath>
      <w:r w:rsidRPr="00B62318">
        <w:t>, the unallocated remainder was discarded and not transferred to neighbouring grid cells. The resulting outputs consist of decadal trajectories of built-up area at the microcell scale that preserve the spatial and temporal structure of the 1 km urban projections while enforcing microcell-specific capacity constraints.</w:t>
      </w:r>
    </w:p>
    <w:p w14:paraId="1AC08946" w14:textId="77777777" w:rsidR="00AC6722" w:rsidRPr="00B62318" w:rsidRDefault="00AC6722" w:rsidP="00AC6722">
      <w:pPr>
        <w:pStyle w:val="Heading3"/>
      </w:pPr>
      <w:r w:rsidRPr="00B62318">
        <w:t>Estimating future building footprint</w:t>
      </w:r>
    </w:p>
    <w:p w14:paraId="675EF4DB" w14:textId="033E3597" w:rsidR="00AC6722" w:rsidRPr="00B62318" w:rsidRDefault="00AC6722" w:rsidP="00CD48BD">
      <w:r w:rsidRPr="00B62318">
        <w:t xml:space="preserve">This step uses the decadal microcell built-up land fractions produced by the preceding downscaling algorithm as inputs and translates them into SSP-specific trajectories of building </w:t>
      </w:r>
      <w:r w:rsidRPr="00B62318">
        <w:lastRenderedPageBreak/>
        <w:t xml:space="preserve">footprint fraction. Let microcells be indexed by </w:t>
      </w:r>
      <m:oMath>
        <m:r>
          <w:rPr>
            <w:rFonts w:ascii="Cambria Math" w:hAnsi="Cambria Math"/>
          </w:rPr>
          <m:t>j</m:t>
        </m:r>
      </m:oMath>
      <w:r w:rsidRPr="00B62318">
        <w:rPr>
          <w:rFonts w:eastAsiaTheme="minorEastAsia"/>
          <w:iCs/>
        </w:rPr>
        <w:t xml:space="preserve"> </w:t>
      </w:r>
      <w:r w:rsidRPr="00B62318">
        <w:t xml:space="preserve">and decadal time steps by </w:t>
      </w:r>
      <m:oMath>
        <m:r>
          <w:rPr>
            <w:rFonts w:ascii="Cambria Math" w:hAnsi="Cambria Math"/>
          </w:rPr>
          <m:t>t</m:t>
        </m:r>
      </m:oMath>
      <w:r w:rsidRPr="00B62318">
        <w:t xml:space="preserve">. Let </w:t>
      </w:r>
      <m:oMath>
        <m:sSub>
          <m:sSubPr>
            <m:ctrlPr>
              <w:rPr>
                <w:rFonts w:ascii="Cambria Math" w:hAnsi="Cambria Math"/>
              </w:rPr>
            </m:ctrlPr>
          </m:sSubPr>
          <m:e>
            <m:r>
              <w:rPr>
                <w:rFonts w:ascii="Cambria Math" w:hAnsi="Cambria Math"/>
              </w:rPr>
              <m:t>b</m:t>
            </m:r>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∈[0,1]</m:t>
        </m:r>
      </m:oMath>
      <w:r w:rsidRPr="00B62318">
        <w:rPr>
          <w:rFonts w:eastAsiaTheme="minorEastAsia"/>
        </w:rPr>
        <w:t xml:space="preserve"> </w:t>
      </w:r>
      <w:r w:rsidRPr="00B62318">
        <w:t xml:space="preserve">denote the building footprint fraction in microcell </w:t>
      </w:r>
      <m:oMath>
        <m:r>
          <w:rPr>
            <w:rFonts w:ascii="Cambria Math" w:hAnsi="Cambria Math"/>
          </w:rPr>
          <m:t>j</m:t>
        </m:r>
      </m:oMath>
      <w:r w:rsidRPr="00B62318">
        <w:rPr>
          <w:rFonts w:eastAsiaTheme="minorEastAsia"/>
          <w:iCs/>
        </w:rPr>
        <w:t xml:space="preserve"> </w:t>
      </w:r>
      <w:r w:rsidRPr="00B62318">
        <w:t xml:space="preserve">at the beginning of decade </w:t>
      </w:r>
      <m:oMath>
        <m:r>
          <w:rPr>
            <w:rFonts w:ascii="Cambria Math" w:hAnsi="Cambria Math"/>
          </w:rPr>
          <m:t>t</m:t>
        </m:r>
      </m:oMath>
      <w:r w:rsidRPr="00B62318">
        <w:t xml:space="preserve">, consistent with the notation used in the canopy allocation framework. Let </w:t>
      </w:r>
      <m:oMath>
        <m:sSubSup>
          <m:sSubSupPr>
            <m:ctrlPr>
              <w:rPr>
                <w:rFonts w:ascii="Cambria Math" w:hAnsi="Cambria Math"/>
              </w:rPr>
            </m:ctrlPr>
          </m:sSubSupPr>
          <m:e>
            <m:r>
              <w:rPr>
                <w:rFonts w:ascii="Cambria Math" w:hAnsi="Cambria Math"/>
              </w:rPr>
              <m:t>u</m:t>
            </m:r>
          </m:e>
          <m:sub>
            <m:r>
              <w:rPr>
                <w:rFonts w:ascii="Cambria Math" w:hAnsi="Cambria Math"/>
              </w:rPr>
              <m:t>j</m:t>
            </m:r>
            <m:r>
              <m:rPr>
                <m:sty m:val="p"/>
              </m:rP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s</m:t>
                </m:r>
              </m:e>
            </m:d>
          </m:sup>
        </m:sSubSup>
        <m:r>
          <m:rPr>
            <m:sty m:val="p"/>
          </m:rPr>
          <w:rPr>
            <w:rFonts w:ascii="Cambria Math" w:hAnsi="Cambria Math"/>
          </w:rPr>
          <m:t>∈[0,1]</m:t>
        </m:r>
      </m:oMath>
      <w:r w:rsidRPr="00B62318">
        <w:rPr>
          <w:rFonts w:eastAsiaTheme="minorEastAsia"/>
        </w:rPr>
        <w:t xml:space="preserve"> </w:t>
      </w:r>
      <w:r w:rsidRPr="00B62318">
        <w:t xml:space="preserve">denote the built-up land fraction in microcell </w:t>
      </w:r>
      <m:oMath>
        <m:r>
          <w:rPr>
            <w:rFonts w:ascii="Cambria Math" w:hAnsi="Cambria Math"/>
          </w:rPr>
          <m:t>j</m:t>
        </m:r>
      </m:oMath>
      <w:r w:rsidRPr="00B62318">
        <w:rPr>
          <w:rFonts w:eastAsiaTheme="minorEastAsia"/>
          <w:iCs/>
        </w:rPr>
        <w:t xml:space="preserve"> </w:t>
      </w:r>
      <w:r w:rsidRPr="00B62318">
        <w:t xml:space="preserve">at the beginning of decade </w:t>
      </w:r>
      <m:oMath>
        <m:r>
          <w:rPr>
            <w:rFonts w:ascii="Cambria Math" w:hAnsi="Cambria Math"/>
          </w:rPr>
          <m:t>t</m:t>
        </m:r>
      </m:oMath>
      <w:r w:rsidRPr="00B62318">
        <w:rPr>
          <w:rFonts w:eastAsiaTheme="minorEastAsia"/>
        </w:rPr>
        <w:t xml:space="preserve"> </w:t>
      </w:r>
      <w:r w:rsidRPr="00B62318">
        <w:t>under socio-economic pathway</w:t>
      </w:r>
      <w:r w:rsidR="0090207E" w:rsidRPr="00B62318">
        <w:t xml:space="preserve"> </w:t>
      </w:r>
      <w:r w:rsidR="00CD48BD" w:rsidRPr="00B62318">
        <w:rPr>
          <w:rFonts w:asciiTheme="majorBidi" w:hAnsiTheme="majorBidi" w:cstheme="majorBidi"/>
          <w:i/>
          <w:iCs/>
        </w:rPr>
        <w:t>s</w:t>
      </w:r>
      <w:r w:rsidR="00CD48BD" w:rsidRPr="00B62318">
        <w:rPr>
          <w:rFonts w:asciiTheme="majorBidi" w:hAnsiTheme="majorBidi" w:cstheme="majorBidi"/>
        </w:rPr>
        <w:t xml:space="preserve"> </w:t>
      </w:r>
      <w:r w:rsidR="00CD48BD" w:rsidRPr="00B62318">
        <w:rPr>
          <w:rFonts w:ascii="Cambria Math" w:hAnsi="Cambria Math" w:cs="Cambria Math"/>
        </w:rPr>
        <w:t>∈</w:t>
      </w:r>
      <w:r w:rsidR="00CD48BD" w:rsidRPr="00B62318">
        <w:rPr>
          <w:rFonts w:asciiTheme="majorBidi" w:hAnsiTheme="majorBidi" w:cstheme="majorBidi"/>
        </w:rPr>
        <w:t xml:space="preserve"> {SSP1, SSP2, SSP5}</w:t>
      </w:r>
      <w:r w:rsidR="00CD48BD" w:rsidRPr="00B62318">
        <w:t xml:space="preserve"> </w:t>
      </w:r>
      <w:r w:rsidRPr="00B62318">
        <w:t xml:space="preserve">where </w:t>
      </w:r>
      <m:oMath>
        <m:sSubSup>
          <m:sSubSupPr>
            <m:ctrlPr>
              <w:rPr>
                <w:rFonts w:ascii="Cambria Math" w:hAnsi="Cambria Math"/>
              </w:rPr>
            </m:ctrlPr>
          </m:sSubSupPr>
          <m:e>
            <m:r>
              <w:rPr>
                <w:rFonts w:ascii="Cambria Math" w:hAnsi="Cambria Math"/>
              </w:rPr>
              <m:t>u</m:t>
            </m:r>
          </m:e>
          <m:sub>
            <m:r>
              <w:rPr>
                <w:rFonts w:ascii="Cambria Math" w:hAnsi="Cambria Math"/>
              </w:rPr>
              <m:t>j</m:t>
            </m:r>
            <m:r>
              <m:rPr>
                <m:sty m:val="p"/>
              </m:rP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s</m:t>
                </m:r>
              </m:e>
            </m:d>
          </m:sup>
        </m:sSubSup>
      </m:oMath>
      <w:r w:rsidRPr="00B62318">
        <w:rPr>
          <w:rFonts w:eastAsiaTheme="minorEastAsia"/>
        </w:rPr>
        <w:t xml:space="preserve"> </w:t>
      </w:r>
      <w:r w:rsidRPr="00B62318">
        <w:t xml:space="preserve">for </w:t>
      </w:r>
      <m:oMath>
        <m:r>
          <w:rPr>
            <w:rFonts w:ascii="Cambria Math" w:hAnsi="Cambria Math"/>
          </w:rPr>
          <m:t>t</m:t>
        </m:r>
        <m:r>
          <m:rPr>
            <m:sty m:val="p"/>
          </m:rPr>
          <w:rPr>
            <w:rFonts w:ascii="Cambria Math" w:hAnsi="Cambria Math"/>
          </w:rPr>
          <m:t>&gt;2020</m:t>
        </m:r>
      </m:oMath>
      <w:r w:rsidRPr="00B62318">
        <w:rPr>
          <w:rFonts w:eastAsiaTheme="minorEastAsia"/>
        </w:rPr>
        <w:t xml:space="preserve"> </w:t>
      </w:r>
      <w:r w:rsidRPr="00B62318">
        <w:t xml:space="preserve">is taken directly from the microcell scale downscaled urban land development outputs. Observed building footprints provide the initial condition </w:t>
      </w:r>
      <m:oMath>
        <m:sSub>
          <m:sSubPr>
            <m:ctrlPr>
              <w:rPr>
                <w:rFonts w:ascii="Cambria Math" w:hAnsi="Cambria Math"/>
              </w:rPr>
            </m:ctrlPr>
          </m:sSubPr>
          <m:e>
            <m:r>
              <w:rPr>
                <w:rFonts w:ascii="Cambria Math" w:hAnsi="Cambria Math"/>
              </w:rPr>
              <m:t>b</m:t>
            </m:r>
          </m:e>
          <m:sub>
            <m:r>
              <w:rPr>
                <w:rFonts w:ascii="Cambria Math" w:hAnsi="Cambria Math"/>
              </w:rPr>
              <m:t>j</m:t>
            </m:r>
            <m:r>
              <m:rPr>
                <m:sty m:val="p"/>
              </m:rPr>
              <w:rPr>
                <w:rFonts w:ascii="Cambria Math" w:hAnsi="Cambria Math"/>
              </w:rPr>
              <m:t>,2020</m:t>
            </m:r>
          </m:sub>
        </m:sSub>
      </m:oMath>
      <w:r w:rsidRPr="00B62318">
        <w:t xml:space="preserve">, and observed baseline built-up land provides </w:t>
      </w:r>
      <m:oMath>
        <m:sSub>
          <m:sSubPr>
            <m:ctrlPr>
              <w:rPr>
                <w:rFonts w:ascii="Cambria Math" w:hAnsi="Cambria Math"/>
              </w:rPr>
            </m:ctrlPr>
          </m:sSubPr>
          <m:e>
            <m:r>
              <w:rPr>
                <w:rFonts w:ascii="Cambria Math" w:hAnsi="Cambria Math"/>
              </w:rPr>
              <m:t>u</m:t>
            </m:r>
          </m:e>
          <m:sub>
            <m:r>
              <w:rPr>
                <w:rFonts w:ascii="Cambria Math" w:hAnsi="Cambria Math"/>
              </w:rPr>
              <m:t>j</m:t>
            </m:r>
            <m:r>
              <m:rPr>
                <m:sty m:val="p"/>
              </m:rPr>
              <w:rPr>
                <w:rFonts w:ascii="Cambria Math" w:hAnsi="Cambria Math"/>
              </w:rPr>
              <m:t>,2020</m:t>
            </m:r>
          </m:sub>
        </m:sSub>
      </m:oMath>
      <w:r w:rsidRPr="00B62318">
        <w:t xml:space="preserve">. We enforce the physical constraint </w:t>
      </w:r>
      <m:oMath>
        <m:sSub>
          <m:sSubPr>
            <m:ctrlPr>
              <w:rPr>
                <w:rFonts w:ascii="Cambria Math" w:hAnsi="Cambria Math"/>
              </w:rPr>
            </m:ctrlPr>
          </m:sSubPr>
          <m:e>
            <m:r>
              <w:rPr>
                <w:rFonts w:ascii="Cambria Math" w:hAnsi="Cambria Math"/>
              </w:rPr>
              <m:t>b</m:t>
            </m:r>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m:t>
        </m:r>
        <m:sSubSup>
          <m:sSubSupPr>
            <m:ctrlPr>
              <w:rPr>
                <w:rFonts w:ascii="Cambria Math" w:hAnsi="Cambria Math"/>
              </w:rPr>
            </m:ctrlPr>
          </m:sSubSupPr>
          <m:e>
            <m:r>
              <w:rPr>
                <w:rFonts w:ascii="Cambria Math" w:hAnsi="Cambria Math"/>
              </w:rPr>
              <m:t>u</m:t>
            </m:r>
          </m:e>
          <m:sub>
            <m:r>
              <w:rPr>
                <w:rFonts w:ascii="Cambria Math" w:hAnsi="Cambria Math"/>
              </w:rPr>
              <m:t>j</m:t>
            </m:r>
            <m:r>
              <m:rPr>
                <m:sty m:val="p"/>
              </m:rP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s</m:t>
                </m:r>
              </m:e>
            </m:d>
          </m:sup>
        </m:sSubSup>
      </m:oMath>
      <w:r w:rsidRPr="00B62318">
        <w:rPr>
          <w:rFonts w:eastAsiaTheme="minorEastAsia"/>
        </w:rPr>
        <w:t xml:space="preserve"> </w:t>
      </w:r>
      <w:r w:rsidRPr="00B62318">
        <w:t xml:space="preserve">for all </w:t>
      </w:r>
      <m:oMath>
        <m:r>
          <w:rPr>
            <w:rFonts w:ascii="Cambria Math" w:hAnsi="Cambria Math"/>
          </w:rPr>
          <m:t>j</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s</m:t>
        </m:r>
      </m:oMath>
      <w:r w:rsidRPr="00B62318">
        <w:t>.</w:t>
      </w:r>
    </w:p>
    <w:p w14:paraId="40E458C4" w14:textId="77777777" w:rsidR="00AC6722" w:rsidRPr="00B62318" w:rsidRDefault="00AC6722" w:rsidP="00AC6722">
      <w:r w:rsidRPr="00B62318">
        <w:t>To update building footprints as built-up land expands or contracts, we represent local development intensity through a footprint density ratio computed from the previous decade,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62F4542B" w14:textId="77777777" w:rsidTr="00BC3A4C">
        <w:tc>
          <w:tcPr>
            <w:tcW w:w="625" w:type="dxa"/>
          </w:tcPr>
          <w:p w14:paraId="132E1D90" w14:textId="77777777" w:rsidR="00AC6722" w:rsidRPr="00B62318" w:rsidRDefault="00AC6722" w:rsidP="00F438D9"/>
        </w:tc>
        <w:tc>
          <w:tcPr>
            <w:tcW w:w="7740" w:type="dxa"/>
            <w:vAlign w:val="center"/>
          </w:tcPr>
          <w:p w14:paraId="6B30E64A" w14:textId="77777777" w:rsidR="00AC6722" w:rsidRPr="00B62318" w:rsidRDefault="00DE782A" w:rsidP="00F438D9">
            <w:pPr>
              <w:jc w:val="center"/>
            </w:pPr>
            <m:oMathPara>
              <m:oMath>
                <m:sSubSup>
                  <m:sSubSupPr>
                    <m:ctrlPr>
                      <w:rPr>
                        <w:rFonts w:ascii="Cambria Math" w:hAnsi="Cambria Math"/>
                      </w:rPr>
                    </m:ctrlPr>
                  </m:sSubSupPr>
                  <m:e>
                    <m:r>
                      <w:rPr>
                        <w:rFonts w:ascii="Cambria Math" w:hAnsi="Cambria Math"/>
                      </w:rPr>
                      <m:t>ρ</m:t>
                    </m:r>
                  </m:e>
                  <m:sub>
                    <m:r>
                      <w:rPr>
                        <w:rFonts w:ascii="Cambria Math" w:hAnsi="Cambria Math"/>
                      </w:rPr>
                      <m:t>j</m:t>
                    </m:r>
                    <m:r>
                      <m:rPr>
                        <m:sty m:val="p"/>
                      </m:rPr>
                      <w:rPr>
                        <w:rFonts w:ascii="Cambria Math" w:hAnsi="Cambria Math"/>
                      </w:rPr>
                      <m:t>,</m:t>
                    </m:r>
                    <m:r>
                      <w:rPr>
                        <w:rFonts w:ascii="Cambria Math" w:hAnsi="Cambria Math"/>
                      </w:rPr>
                      <m:t>t</m:t>
                    </m:r>
                    <m:r>
                      <m:rPr>
                        <m:sty m:val="p"/>
                      </m:rPr>
                      <w:rPr>
                        <w:rFonts w:ascii="Cambria Math" w:hAnsi="Cambria Math"/>
                      </w:rPr>
                      <m: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r>
                  <m:rPr>
                    <m:sty m:val="p"/>
                  </m:rP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f>
                            <m:fPr>
                              <m:ctrlPr>
                                <w:rPr>
                                  <w:rFonts w:ascii="Cambria Math" w:hAnsi="Cambria Math"/>
                                </w:rPr>
                              </m:ctrlPr>
                            </m:fPr>
                            <m:num>
                              <m:sSubSup>
                                <m:sSubSupPr>
                                  <m:ctrlPr>
                                    <w:rPr>
                                      <w:rFonts w:ascii="Cambria Math" w:hAnsi="Cambria Math"/>
                                    </w:rPr>
                                  </m:ctrlPr>
                                </m:sSubSupPr>
                                <m:e>
                                  <m:r>
                                    <w:rPr>
                                      <w:rFonts w:ascii="Cambria Math" w:hAnsi="Cambria Math"/>
                                    </w:rPr>
                                    <m:t>b</m:t>
                                  </m:r>
                                </m:e>
                                <m:sub>
                                  <m:r>
                                    <w:rPr>
                                      <w:rFonts w:ascii="Cambria Math" w:hAnsi="Cambria Math"/>
                                    </w:rPr>
                                    <m:t>j</m:t>
                                  </m:r>
                                  <m:r>
                                    <m:rPr>
                                      <m:sty m:val="p"/>
                                    </m:rPr>
                                    <w:rPr>
                                      <w:rFonts w:ascii="Cambria Math" w:hAnsi="Cambria Math"/>
                                    </w:rPr>
                                    <m:t>,</m:t>
                                  </m:r>
                                  <m:r>
                                    <w:rPr>
                                      <w:rFonts w:ascii="Cambria Math" w:hAnsi="Cambria Math"/>
                                    </w:rPr>
                                    <m:t>t</m:t>
                                  </m:r>
                                  <m:r>
                                    <m:rPr>
                                      <m:sty m:val="p"/>
                                    </m:rPr>
                                    <w:rPr>
                                      <w:rFonts w:ascii="Cambria Math" w:hAnsi="Cambria Math"/>
                                    </w:rPr>
                                    <m: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num>
                            <m:den>
                              <m:sSubSup>
                                <m:sSubSupPr>
                                  <m:ctrlPr>
                                    <w:rPr>
                                      <w:rFonts w:ascii="Cambria Math" w:hAnsi="Cambria Math"/>
                                    </w:rPr>
                                  </m:ctrlPr>
                                </m:sSubSupPr>
                                <m:e>
                                  <m:r>
                                    <w:rPr>
                                      <w:rFonts w:ascii="Cambria Math" w:hAnsi="Cambria Math"/>
                                    </w:rPr>
                                    <m:t>u</m:t>
                                  </m:r>
                                </m:e>
                                <m:sub>
                                  <m:r>
                                    <w:rPr>
                                      <w:rFonts w:ascii="Cambria Math" w:hAnsi="Cambria Math"/>
                                    </w:rPr>
                                    <m:t>j</m:t>
                                  </m:r>
                                  <m:r>
                                    <m:rPr>
                                      <m:sty m:val="p"/>
                                    </m:rPr>
                                    <w:rPr>
                                      <w:rFonts w:ascii="Cambria Math" w:hAnsi="Cambria Math"/>
                                    </w:rPr>
                                    <m:t>,</m:t>
                                  </m:r>
                                  <m:r>
                                    <w:rPr>
                                      <w:rFonts w:ascii="Cambria Math" w:hAnsi="Cambria Math"/>
                                    </w:rPr>
                                    <m:t>t</m:t>
                                  </m:r>
                                  <m:r>
                                    <m:rPr>
                                      <m:sty m:val="p"/>
                                    </m:rPr>
                                    <w:rPr>
                                      <w:rFonts w:ascii="Cambria Math" w:hAnsi="Cambria Math"/>
                                    </w:rPr>
                                    <m: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den>
                          </m:f>
                          <m:r>
                            <m:rPr>
                              <m:sty m:val="p"/>
                            </m:rPr>
                            <w:rPr>
                              <w:rFonts w:ascii="Cambria Math" w:hAnsi="Cambria Math"/>
                            </w:rPr>
                            <m:t>,</m:t>
                          </m:r>
                        </m:e>
                        <m:e>
                          <m:sSubSup>
                            <m:sSubSupPr>
                              <m:ctrlPr>
                                <w:rPr>
                                  <w:rFonts w:ascii="Cambria Math" w:hAnsi="Cambria Math"/>
                                </w:rPr>
                              </m:ctrlPr>
                            </m:sSubSupPr>
                            <m:e>
                              <m:r>
                                <w:rPr>
                                  <w:rFonts w:ascii="Cambria Math" w:hAnsi="Cambria Math"/>
                                </w:rPr>
                                <m:t>u</m:t>
                              </m:r>
                            </m:e>
                            <m:sub>
                              <m:r>
                                <w:rPr>
                                  <w:rFonts w:ascii="Cambria Math" w:hAnsi="Cambria Math"/>
                                </w:rPr>
                                <m:t>j</m:t>
                              </m:r>
                              <m:r>
                                <m:rPr>
                                  <m:sty m:val="p"/>
                                </m:rPr>
                                <w:rPr>
                                  <w:rFonts w:ascii="Cambria Math" w:hAnsi="Cambria Math"/>
                                </w:rPr>
                                <m:t>,</m:t>
                              </m:r>
                              <m:r>
                                <w:rPr>
                                  <w:rFonts w:ascii="Cambria Math" w:hAnsi="Cambria Math"/>
                                </w:rPr>
                                <m:t>t</m:t>
                              </m:r>
                              <m:r>
                                <m:rPr>
                                  <m:sty m:val="p"/>
                                </m:rPr>
                                <w:rPr>
                                  <w:rFonts w:ascii="Cambria Math" w:hAnsi="Cambria Math"/>
                                </w:rPr>
                                <m: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r>
                            <m:rPr>
                              <m:sty m:val="p"/>
                            </m:rPr>
                            <w:rPr>
                              <w:rFonts w:ascii="Cambria Math" w:hAnsi="Cambria Math"/>
                            </w:rPr>
                            <m:t>&gt;</m:t>
                          </m:r>
                          <m:r>
                            <w:rPr>
                              <w:rFonts w:ascii="Cambria Math" w:hAnsi="Cambria Math"/>
                            </w:rPr>
                            <m:t>ϵ</m:t>
                          </m:r>
                          <m:r>
                            <m:rPr>
                              <m:sty m:val="p"/>
                            </m:rPr>
                            <w:rPr>
                              <w:rFonts w:ascii="Cambria Math" w:hAnsi="Cambria Math"/>
                            </w:rPr>
                            <m:t>,</m:t>
                          </m:r>
                        </m:e>
                      </m:mr>
                      <m:mr>
                        <m:e>
                          <m:r>
                            <m:rPr>
                              <m:sty m:val="p"/>
                            </m:rPr>
                            <w:rPr>
                              <w:rFonts w:ascii="Cambria Math" w:hAnsi="Cambria Math"/>
                            </w:rPr>
                            <m:t>0,</m:t>
                          </m:r>
                        </m:e>
                        <m:e>
                          <m:sSubSup>
                            <m:sSubSupPr>
                              <m:ctrlPr>
                                <w:rPr>
                                  <w:rFonts w:ascii="Cambria Math" w:hAnsi="Cambria Math"/>
                                </w:rPr>
                              </m:ctrlPr>
                            </m:sSubSupPr>
                            <m:e>
                              <m:r>
                                <w:rPr>
                                  <w:rFonts w:ascii="Cambria Math" w:hAnsi="Cambria Math"/>
                                </w:rPr>
                                <m:t>u</m:t>
                              </m:r>
                            </m:e>
                            <m:sub>
                              <m:r>
                                <w:rPr>
                                  <w:rFonts w:ascii="Cambria Math" w:hAnsi="Cambria Math"/>
                                </w:rPr>
                                <m:t>j</m:t>
                              </m:r>
                              <m:r>
                                <m:rPr>
                                  <m:sty m:val="p"/>
                                </m:rPr>
                                <w:rPr>
                                  <w:rFonts w:ascii="Cambria Math" w:hAnsi="Cambria Math"/>
                                </w:rPr>
                                <m:t>,</m:t>
                              </m:r>
                              <m:r>
                                <w:rPr>
                                  <w:rFonts w:ascii="Cambria Math" w:hAnsi="Cambria Math"/>
                                </w:rPr>
                                <m:t>t</m:t>
                              </m:r>
                              <m:r>
                                <m:rPr>
                                  <m:sty m:val="p"/>
                                </m:rPr>
                                <w:rPr>
                                  <w:rFonts w:ascii="Cambria Math" w:hAnsi="Cambria Math"/>
                                </w:rPr>
                                <m: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r>
                            <m:rPr>
                              <m:sty m:val="p"/>
                            </m:rPr>
                            <w:rPr>
                              <w:rFonts w:ascii="Cambria Math" w:hAnsi="Cambria Math"/>
                            </w:rPr>
                            <m:t>≤</m:t>
                          </m:r>
                          <m:r>
                            <w:rPr>
                              <w:rFonts w:ascii="Cambria Math" w:hAnsi="Cambria Math"/>
                            </w:rPr>
                            <m:t>ϵ</m:t>
                          </m:r>
                          <m:r>
                            <m:rPr>
                              <m:sty m:val="p"/>
                            </m:rPr>
                            <w:rPr>
                              <w:rFonts w:ascii="Cambria Math" w:hAnsi="Cambria Math"/>
                            </w:rPr>
                            <m:t>,</m:t>
                          </m:r>
                        </m:e>
                      </m:mr>
                    </m:m>
                  </m:e>
                </m:d>
              </m:oMath>
            </m:oMathPara>
          </w:p>
        </w:tc>
        <w:tc>
          <w:tcPr>
            <w:tcW w:w="697" w:type="dxa"/>
            <w:vAlign w:val="center"/>
          </w:tcPr>
          <w:p w14:paraId="4DFFA1F0" w14:textId="2FCD7745"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9</w:t>
            </w:r>
            <w:r w:rsidRPr="00B62318">
              <w:fldChar w:fldCharType="end"/>
            </w:r>
            <w:r w:rsidRPr="00B62318">
              <w:t>)</w:t>
            </w:r>
          </w:p>
        </w:tc>
      </w:tr>
    </w:tbl>
    <w:p w14:paraId="524DE99C" w14:textId="77777777" w:rsidR="00AC6722" w:rsidRPr="00B62318" w:rsidRDefault="00AC6722" w:rsidP="00AC6722">
      <w:r w:rsidRPr="00B62318">
        <w:t xml:space="preserve">where </w:t>
      </w:r>
      <m:oMath>
        <m:r>
          <w:rPr>
            <w:rFonts w:ascii="Cambria Math" w:hAnsi="Cambria Math"/>
          </w:rPr>
          <m:t>ϵ</m:t>
        </m:r>
      </m:oMath>
      <w:r w:rsidRPr="00B62318">
        <w:rPr>
          <w:rFonts w:eastAsiaTheme="minorEastAsia"/>
          <w:iCs/>
        </w:rPr>
        <w:t xml:space="preserve"> </w:t>
      </w:r>
      <w:r w:rsidRPr="00B62318">
        <w:t xml:space="preserve">is a small threshold that avoids instability when built-up land is negligible. The density ratio is bounded to [0, 1] and can be interpreted as the share of built-up land occupied by building footprints in microcell </w:t>
      </w:r>
      <m:oMath>
        <m:r>
          <w:rPr>
            <w:rFonts w:ascii="Cambria Math" w:hAnsi="Cambria Math"/>
          </w:rPr>
          <m:t>j</m:t>
        </m:r>
      </m:oMath>
      <w:r w:rsidRPr="00B62318">
        <w:rPr>
          <w:rFonts w:eastAsiaTheme="minorEastAsia"/>
          <w:iCs/>
        </w:rPr>
        <w:t xml:space="preserve"> </w:t>
      </w:r>
      <w:r w:rsidRPr="00B62318">
        <w:t>at the previous decade.</w:t>
      </w:r>
    </w:p>
    <w:p w14:paraId="1207E668" w14:textId="77777777" w:rsidR="00AC6722" w:rsidRPr="00B62318" w:rsidRDefault="00AC6722" w:rsidP="00AC6722">
      <w:r w:rsidRPr="00B62318">
        <w:t xml:space="preserve">For each pathway </w:t>
      </w:r>
      <m:oMath>
        <m:r>
          <w:rPr>
            <w:rFonts w:ascii="Cambria Math" w:hAnsi="Cambria Math"/>
          </w:rPr>
          <m:t>s</m:t>
        </m:r>
      </m:oMath>
      <w:r w:rsidRPr="00B62318">
        <w:t xml:space="preserve">, we initialise </w:t>
      </w:r>
      <m:oMath>
        <m:sSubSup>
          <m:sSubSupPr>
            <m:ctrlPr>
              <w:rPr>
                <w:rFonts w:ascii="Cambria Math" w:hAnsi="Cambria Math"/>
              </w:rPr>
            </m:ctrlPr>
          </m:sSubSupPr>
          <m:e>
            <m:r>
              <w:rPr>
                <w:rFonts w:ascii="Cambria Math" w:hAnsi="Cambria Math"/>
              </w:rPr>
              <m:t>b</m:t>
            </m:r>
          </m:e>
          <m:sub>
            <m:r>
              <w:rPr>
                <w:rFonts w:ascii="Cambria Math" w:hAnsi="Cambria Math"/>
              </w:rPr>
              <m:t>j</m:t>
            </m:r>
            <m:r>
              <m:rPr>
                <m:sty m:val="p"/>
              </m:rPr>
              <w:rPr>
                <w:rFonts w:ascii="Cambria Math" w:hAnsi="Cambria Math"/>
              </w:rPr>
              <m:t>,2020</m:t>
            </m:r>
          </m:sub>
          <m:sup>
            <m:d>
              <m:dPr>
                <m:ctrlPr>
                  <w:rPr>
                    <w:rFonts w:ascii="Cambria Math" w:hAnsi="Cambria Math"/>
                  </w:rPr>
                </m:ctrlPr>
              </m:dPr>
              <m:e>
                <m:r>
                  <w:rPr>
                    <w:rFonts w:ascii="Cambria Math" w:hAnsi="Cambria Math"/>
                  </w:rPr>
                  <m:t>s</m:t>
                </m:r>
              </m:e>
            </m:d>
          </m:sup>
        </m:sSubSup>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j</m:t>
            </m:r>
            <m:r>
              <m:rPr>
                <m:sty m:val="p"/>
              </m:rPr>
              <w:rPr>
                <w:rFonts w:ascii="Cambria Math" w:hAnsi="Cambria Math"/>
              </w:rPr>
              <m:t>,2020</m:t>
            </m:r>
          </m:sub>
        </m:sSub>
      </m:oMath>
      <w:r w:rsidRPr="00B62318">
        <w:rPr>
          <w:rFonts w:eastAsiaTheme="minorEastAsia"/>
        </w:rPr>
        <w:t xml:space="preserve"> </w:t>
      </w:r>
      <w:r w:rsidRPr="00B62318">
        <w:t xml:space="preserve">and </w:t>
      </w:r>
      <m:oMath>
        <m:sSubSup>
          <m:sSubSupPr>
            <m:ctrlPr>
              <w:rPr>
                <w:rFonts w:ascii="Cambria Math" w:hAnsi="Cambria Math"/>
              </w:rPr>
            </m:ctrlPr>
          </m:sSubSupPr>
          <m:e>
            <m:r>
              <w:rPr>
                <w:rFonts w:ascii="Cambria Math" w:hAnsi="Cambria Math"/>
              </w:rPr>
              <m:t>u</m:t>
            </m:r>
          </m:e>
          <m:sub>
            <m:r>
              <w:rPr>
                <w:rFonts w:ascii="Cambria Math" w:hAnsi="Cambria Math"/>
              </w:rPr>
              <m:t>j</m:t>
            </m:r>
            <m:r>
              <m:rPr>
                <m:sty m:val="p"/>
              </m:rPr>
              <w:rPr>
                <w:rFonts w:ascii="Cambria Math" w:hAnsi="Cambria Math"/>
              </w:rPr>
              <m:t>,2020</m:t>
            </m:r>
          </m:sub>
          <m:sup>
            <m:d>
              <m:dPr>
                <m:ctrlPr>
                  <w:rPr>
                    <w:rFonts w:ascii="Cambria Math" w:hAnsi="Cambria Math"/>
                  </w:rPr>
                </m:ctrlPr>
              </m:dPr>
              <m:e>
                <m:r>
                  <w:rPr>
                    <w:rFonts w:ascii="Cambria Math" w:hAnsi="Cambria Math"/>
                  </w:rPr>
                  <m:t>s</m:t>
                </m:r>
              </m:e>
            </m:d>
          </m:sup>
        </m:sSubSup>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j</m:t>
            </m:r>
            <m:r>
              <m:rPr>
                <m:sty m:val="p"/>
              </m:rPr>
              <w:rPr>
                <w:rFonts w:ascii="Cambria Math" w:hAnsi="Cambria Math"/>
              </w:rPr>
              <m:t>,2020</m:t>
            </m:r>
          </m:sub>
        </m:sSub>
      </m:oMath>
      <w:r w:rsidRPr="00B62318">
        <w:t xml:space="preserve">, then propagate </w:t>
      </w:r>
      <m:oMath>
        <m:sSubSup>
          <m:sSubSupPr>
            <m:ctrlPr>
              <w:rPr>
                <w:rFonts w:ascii="Cambria Math" w:hAnsi="Cambria Math"/>
              </w:rPr>
            </m:ctrlPr>
          </m:sSubSupPr>
          <m:e>
            <m:r>
              <w:rPr>
                <w:rFonts w:ascii="Cambria Math" w:hAnsi="Cambria Math"/>
              </w:rPr>
              <m:t>b</m:t>
            </m:r>
          </m:e>
          <m:sub>
            <m:r>
              <w:rPr>
                <w:rFonts w:ascii="Cambria Math" w:hAnsi="Cambria Math"/>
              </w:rPr>
              <m:t>j</m:t>
            </m:r>
            <m:r>
              <m:rPr>
                <m:sty m:val="p"/>
              </m:rP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s</m:t>
                </m:r>
              </m:e>
            </m:d>
          </m:sup>
        </m:sSubSup>
      </m:oMath>
      <w:r w:rsidRPr="00B62318">
        <w:rPr>
          <w:rFonts w:eastAsiaTheme="minorEastAsia"/>
        </w:rPr>
        <w:t xml:space="preserve"> </w:t>
      </w:r>
      <w:r w:rsidRPr="00B62318">
        <w:t xml:space="preserve">sequentially for all available projected decades. At each decade, we compare the new built-up fraction </w:t>
      </w:r>
      <m:oMath>
        <m:sSubSup>
          <m:sSubSupPr>
            <m:ctrlPr>
              <w:rPr>
                <w:rFonts w:ascii="Cambria Math" w:hAnsi="Cambria Math"/>
              </w:rPr>
            </m:ctrlPr>
          </m:sSubSupPr>
          <m:e>
            <m:r>
              <w:rPr>
                <w:rFonts w:ascii="Cambria Math" w:hAnsi="Cambria Math"/>
              </w:rPr>
              <m:t>u</m:t>
            </m:r>
          </m:e>
          <m:sub>
            <m:r>
              <w:rPr>
                <w:rFonts w:ascii="Cambria Math" w:hAnsi="Cambria Math"/>
              </w:rPr>
              <m:t>j</m:t>
            </m:r>
            <m:r>
              <m:rPr>
                <m:sty m:val="p"/>
              </m:rP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s</m:t>
                </m:r>
              </m:e>
            </m:d>
          </m:sup>
        </m:sSubSup>
      </m:oMath>
      <w:r w:rsidRPr="00B62318">
        <w:rPr>
          <w:rFonts w:eastAsiaTheme="minorEastAsia"/>
        </w:rPr>
        <w:t xml:space="preserve"> </w:t>
      </w:r>
      <w:r w:rsidRPr="00B62318">
        <w:t xml:space="preserve">to the previous value </w:t>
      </w:r>
      <m:oMath>
        <m:sSubSup>
          <m:sSubSupPr>
            <m:ctrlPr>
              <w:rPr>
                <w:rFonts w:ascii="Cambria Math" w:hAnsi="Cambria Math"/>
              </w:rPr>
            </m:ctrlPr>
          </m:sSubSupPr>
          <m:e>
            <m:r>
              <w:rPr>
                <w:rFonts w:ascii="Cambria Math" w:hAnsi="Cambria Math"/>
              </w:rPr>
              <m:t>u</m:t>
            </m:r>
          </m:e>
          <m:sub>
            <m:r>
              <w:rPr>
                <w:rFonts w:ascii="Cambria Math" w:hAnsi="Cambria Math"/>
              </w:rPr>
              <m:t>j</m:t>
            </m:r>
            <m:r>
              <m:rPr>
                <m:sty m:val="p"/>
              </m:rPr>
              <w:rPr>
                <w:rFonts w:ascii="Cambria Math" w:hAnsi="Cambria Math"/>
              </w:rPr>
              <m:t>,</m:t>
            </m:r>
            <m:r>
              <w:rPr>
                <w:rFonts w:ascii="Cambria Math" w:hAnsi="Cambria Math"/>
              </w:rPr>
              <m:t>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oMath>
      <w:r w:rsidRPr="00B62318">
        <w:rPr>
          <w:rFonts w:eastAsiaTheme="minorEastAsia"/>
        </w:rPr>
        <w:t xml:space="preserve"> </w:t>
      </w:r>
      <w:r w:rsidRPr="00B62318">
        <w:t>and update footprints according to three cases.</w:t>
      </w:r>
    </w:p>
    <w:p w14:paraId="541EEA5D" w14:textId="77777777" w:rsidR="00AC6722" w:rsidRPr="00B62318" w:rsidRDefault="00AC6722" w:rsidP="00AC6722">
      <w:r w:rsidRPr="00B62318">
        <w:t>If built-up land remains unchanged within tolerance, building footprints are carried forward unchanged: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099420AE" w14:textId="77777777" w:rsidTr="00BC3A4C">
        <w:tc>
          <w:tcPr>
            <w:tcW w:w="625" w:type="dxa"/>
          </w:tcPr>
          <w:p w14:paraId="4111CFAC" w14:textId="77777777" w:rsidR="00AC6722" w:rsidRPr="00B62318" w:rsidRDefault="00AC6722" w:rsidP="00F438D9"/>
        </w:tc>
        <w:tc>
          <w:tcPr>
            <w:tcW w:w="7740" w:type="dxa"/>
            <w:vAlign w:val="center"/>
          </w:tcPr>
          <w:p w14:paraId="6358C3D0" w14:textId="77777777" w:rsidR="00AC6722" w:rsidRPr="00B62318" w:rsidRDefault="00DE782A" w:rsidP="00F438D9">
            <w:pPr>
              <w:jc w:val="center"/>
            </w:pPr>
            <m:oMathPara>
              <m:oMath>
                <m:sSubSup>
                  <m:sSubSupPr>
                    <m:ctrlPr>
                      <w:rPr>
                        <w:rFonts w:ascii="Cambria Math" w:hAnsi="Cambria Math"/>
                      </w:rPr>
                    </m:ctrlPr>
                  </m:sSubSupPr>
                  <m:e>
                    <m:r>
                      <w:rPr>
                        <w:rFonts w:ascii="Cambria Math" w:hAnsi="Cambria Math"/>
                      </w:rPr>
                      <m:t>b</m:t>
                    </m:r>
                  </m:e>
                  <m:sub>
                    <m:r>
                      <w:rPr>
                        <w:rFonts w:ascii="Cambria Math" w:hAnsi="Cambria Math"/>
                      </w:rPr>
                      <m:t>j</m:t>
                    </m:r>
                    <m:r>
                      <m:rPr>
                        <m:sty m:val="p"/>
                      </m:rP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s</m:t>
                        </m:r>
                      </m:e>
                    </m:d>
                  </m:sup>
                </m:sSubSup>
                <m:r>
                  <m:rPr>
                    <m:sty m:val="p"/>
                  </m:rPr>
                  <w:rPr>
                    <w:rFonts w:ascii="Cambria Math" w:hAnsi="Cambria Math"/>
                  </w:rPr>
                  <m:t>=</m:t>
                </m:r>
                <m:sSubSup>
                  <m:sSubSupPr>
                    <m:ctrlPr>
                      <w:rPr>
                        <w:rFonts w:ascii="Cambria Math" w:hAnsi="Cambria Math"/>
                      </w:rPr>
                    </m:ctrlPr>
                  </m:sSubSupPr>
                  <m:e>
                    <m:r>
                      <w:rPr>
                        <w:rFonts w:ascii="Cambria Math" w:hAnsi="Cambria Math"/>
                      </w:rPr>
                      <m:t>b</m:t>
                    </m:r>
                  </m:e>
                  <m:sub>
                    <m:r>
                      <w:rPr>
                        <w:rFonts w:ascii="Cambria Math" w:hAnsi="Cambria Math"/>
                      </w:rPr>
                      <m:t>j</m:t>
                    </m:r>
                    <m:r>
                      <m:rPr>
                        <m:sty m:val="p"/>
                      </m:rPr>
                      <w:rPr>
                        <w:rFonts w:ascii="Cambria Math" w:hAnsi="Cambria Math"/>
                      </w:rPr>
                      <m:t>,</m:t>
                    </m:r>
                    <m:r>
                      <w:rPr>
                        <w:rFonts w:ascii="Cambria Math" w:hAnsi="Cambria Math"/>
                      </w:rPr>
                      <m:t>t</m:t>
                    </m:r>
                    <m:r>
                      <m:rPr>
                        <m:sty m:val="p"/>
                      </m:rPr>
                      <w:rPr>
                        <w:rFonts w:ascii="Cambria Math" w:hAnsi="Cambria Math"/>
                      </w:rPr>
                      <m: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r>
                  <m:rPr>
                    <m:sty m:val="p"/>
                  </m:rPr>
                  <w:rPr>
                    <w:rFonts w:ascii="Cambria Math" w:hAnsi="Cambria Math"/>
                  </w:rPr>
                  <m:t>.</m:t>
                </m:r>
              </m:oMath>
            </m:oMathPara>
          </w:p>
        </w:tc>
        <w:tc>
          <w:tcPr>
            <w:tcW w:w="697" w:type="dxa"/>
            <w:vAlign w:val="center"/>
          </w:tcPr>
          <w:p w14:paraId="5F5CE398" w14:textId="2B958DF4"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10</w:t>
            </w:r>
            <w:r w:rsidRPr="00B62318">
              <w:fldChar w:fldCharType="end"/>
            </w:r>
            <w:r w:rsidRPr="00B62318">
              <w:t>)</w:t>
            </w:r>
          </w:p>
        </w:tc>
      </w:tr>
    </w:tbl>
    <w:p w14:paraId="12B65A40" w14:textId="77777777" w:rsidR="00AC6722" w:rsidRPr="00B62318" w:rsidRDefault="00AC6722" w:rsidP="00AC6722">
      <w:r w:rsidRPr="00B62318">
        <w:t>If built-up land decreases, footprints contract proportionally to preserve the previous decade density: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2C462D01" w14:textId="77777777" w:rsidTr="00BC3A4C">
        <w:tc>
          <w:tcPr>
            <w:tcW w:w="625" w:type="dxa"/>
          </w:tcPr>
          <w:p w14:paraId="78B11513" w14:textId="77777777" w:rsidR="00AC6722" w:rsidRPr="00B62318" w:rsidRDefault="00AC6722" w:rsidP="00F438D9"/>
        </w:tc>
        <w:tc>
          <w:tcPr>
            <w:tcW w:w="7740" w:type="dxa"/>
            <w:vAlign w:val="center"/>
          </w:tcPr>
          <w:p w14:paraId="3C827336" w14:textId="77777777" w:rsidR="00AC6722" w:rsidRPr="00B62318" w:rsidRDefault="00DE782A" w:rsidP="00F438D9">
            <w:pPr>
              <w:jc w:val="center"/>
            </w:pPr>
            <m:oMathPara>
              <m:oMath>
                <m:sSubSup>
                  <m:sSubSupPr>
                    <m:ctrlPr>
                      <w:rPr>
                        <w:rFonts w:ascii="Cambria Math" w:hAnsi="Cambria Math"/>
                      </w:rPr>
                    </m:ctrlPr>
                  </m:sSubSupPr>
                  <m:e>
                    <m:r>
                      <w:rPr>
                        <w:rFonts w:ascii="Cambria Math" w:hAnsi="Cambria Math"/>
                      </w:rPr>
                      <m:t>b</m:t>
                    </m:r>
                  </m:e>
                  <m:sub>
                    <m:r>
                      <w:rPr>
                        <w:rFonts w:ascii="Cambria Math" w:hAnsi="Cambria Math"/>
                      </w:rPr>
                      <m:t>j</m:t>
                    </m:r>
                    <m:r>
                      <m:rPr>
                        <m:sty m:val="p"/>
                      </m:rP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s</m:t>
                        </m:r>
                      </m:e>
                    </m:d>
                  </m:sup>
                </m:sSubSup>
                <m:r>
                  <m:rPr>
                    <m:sty m:val="p"/>
                  </m:rPr>
                  <w:rPr>
                    <w:rFonts w:ascii="Cambria Math" w:hAnsi="Cambria Math"/>
                  </w:rPr>
                  <m:t>=</m:t>
                </m:r>
                <m:func>
                  <m:funcPr>
                    <m:ctrlPr>
                      <w:rPr>
                        <w:rFonts w:ascii="Cambria Math" w:hAnsi="Cambria Math"/>
                        <w:i/>
                      </w:rPr>
                    </m:ctrlPr>
                  </m:funcPr>
                  <m:fName>
                    <m:r>
                      <m:rPr>
                        <m:sty m:val="p"/>
                      </m:rPr>
                      <w:rPr>
                        <w:rFonts w:ascii="Cambria Math" w:hAnsi="Cambria Math"/>
                      </w:rPr>
                      <m:t>min</m:t>
                    </m:r>
                  </m:fName>
                  <m:e>
                    <m:r>
                      <w:rPr>
                        <w:rFonts w:ascii="Cambria Math" w:hAnsi="Cambria Math"/>
                      </w:rPr>
                      <m:t xml:space="preserve"> </m:t>
                    </m:r>
                    <m:d>
                      <m:dPr>
                        <m:sepChr m:val=","/>
                        <m:ctrlPr>
                          <w:rPr>
                            <w:rFonts w:ascii="Cambria Math" w:hAnsi="Cambria Math"/>
                          </w:rPr>
                        </m:ctrlPr>
                      </m:dPr>
                      <m:e>
                        <m:sSubSup>
                          <m:sSubSupPr>
                            <m:ctrlPr>
                              <w:rPr>
                                <w:rFonts w:ascii="Cambria Math" w:hAnsi="Cambria Math"/>
                              </w:rPr>
                            </m:ctrlPr>
                          </m:sSubSupPr>
                          <m:e>
                            <m:r>
                              <w:rPr>
                                <w:rFonts w:ascii="Cambria Math" w:hAnsi="Cambria Math"/>
                              </w:rPr>
                              <m:t>u</m:t>
                            </m:r>
                          </m:e>
                          <m:sub>
                            <m:r>
                              <w:rPr>
                                <w:rFonts w:ascii="Cambria Math" w:hAnsi="Cambria Math"/>
                              </w:rPr>
                              <m:t>j</m:t>
                            </m:r>
                            <m:r>
                              <m:rPr>
                                <m:sty m:val="p"/>
                              </m:rP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s</m:t>
                                </m:r>
                              </m:e>
                            </m:d>
                          </m:sup>
                        </m:sSubSup>
                      </m:e>
                      <m:e>
                        <m:r>
                          <m:rPr>
                            <m:nor/>
                          </m:rPr>
                          <m:t> </m:t>
                        </m:r>
                        <m:sSubSup>
                          <m:sSubSupPr>
                            <m:ctrlPr>
                              <w:rPr>
                                <w:rFonts w:ascii="Cambria Math" w:hAnsi="Cambria Math"/>
                              </w:rPr>
                            </m:ctrlPr>
                          </m:sSubSupPr>
                          <m:e>
                            <m:r>
                              <w:rPr>
                                <w:rFonts w:ascii="Cambria Math" w:hAnsi="Cambria Math"/>
                              </w:rPr>
                              <m:t>ρ</m:t>
                            </m:r>
                          </m:e>
                          <m:sub>
                            <m:r>
                              <w:rPr>
                                <w:rFonts w:ascii="Cambria Math" w:hAnsi="Cambria Math"/>
                              </w:rPr>
                              <m:t>j</m:t>
                            </m:r>
                            <m:r>
                              <m:rPr>
                                <m:sty m:val="p"/>
                              </m:rPr>
                              <w:rPr>
                                <w:rFonts w:ascii="Cambria Math" w:hAnsi="Cambria Math"/>
                              </w:rPr>
                              <m:t>,</m:t>
                            </m:r>
                            <m:r>
                              <w:rPr>
                                <w:rFonts w:ascii="Cambria Math" w:hAnsi="Cambria Math"/>
                              </w:rPr>
                              <m:t>t</m:t>
                            </m:r>
                            <m:r>
                              <m:rPr>
                                <m:sty m:val="p"/>
                              </m:rPr>
                              <w:rPr>
                                <w:rFonts w:ascii="Cambria Math" w:hAnsi="Cambria Math"/>
                              </w:rPr>
                              <m: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r>
                          <m:rPr>
                            <m:nor/>
                          </m:rPr>
                          <m:t> </m:t>
                        </m:r>
                        <m:sSubSup>
                          <m:sSubSupPr>
                            <m:ctrlPr>
                              <w:rPr>
                                <w:rFonts w:ascii="Cambria Math" w:hAnsi="Cambria Math"/>
                              </w:rPr>
                            </m:ctrlPr>
                          </m:sSubSupPr>
                          <m:e>
                            <m:r>
                              <w:rPr>
                                <w:rFonts w:ascii="Cambria Math" w:hAnsi="Cambria Math"/>
                              </w:rPr>
                              <m:t>u</m:t>
                            </m:r>
                          </m:e>
                          <m:sub>
                            <m:r>
                              <w:rPr>
                                <w:rFonts w:ascii="Cambria Math" w:hAnsi="Cambria Math"/>
                              </w:rPr>
                              <m:t>j</m:t>
                            </m:r>
                            <m:r>
                              <m:rPr>
                                <m:sty m:val="p"/>
                              </m:rP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s</m:t>
                                </m:r>
                              </m:e>
                            </m:d>
                          </m:sup>
                        </m:sSubSup>
                      </m:e>
                    </m:d>
                  </m:e>
                </m:func>
                <m:r>
                  <w:rPr>
                    <w:rFonts w:ascii="Cambria Math" w:hAnsi="Cambria Math"/>
                  </w:rPr>
                  <m:t>.</m:t>
                </m:r>
              </m:oMath>
            </m:oMathPara>
          </w:p>
        </w:tc>
        <w:tc>
          <w:tcPr>
            <w:tcW w:w="697" w:type="dxa"/>
            <w:vAlign w:val="center"/>
          </w:tcPr>
          <w:p w14:paraId="738ABB73" w14:textId="4CA96CA2" w:rsidR="00AC6722" w:rsidRPr="00B62318" w:rsidRDefault="00AC6722" w:rsidP="00F438D9">
            <w:pPr>
              <w:jc w:val="right"/>
            </w:pPr>
            <w:bookmarkStart w:id="0" w:name="_Ref221023751"/>
            <w:r w:rsidRPr="00B62318">
              <w:t>(</w:t>
            </w:r>
            <w:r w:rsidRPr="00B62318">
              <w:fldChar w:fldCharType="begin"/>
            </w:r>
            <w:r w:rsidRPr="00B62318">
              <w:instrText xml:space="preserve"> SEQ Equation \* ARABIC </w:instrText>
            </w:r>
            <w:r w:rsidRPr="00B62318">
              <w:fldChar w:fldCharType="separate"/>
            </w:r>
            <w:r w:rsidR="00364E4E">
              <w:rPr>
                <w:noProof/>
              </w:rPr>
              <w:t>11</w:t>
            </w:r>
            <w:r w:rsidRPr="00B62318">
              <w:fldChar w:fldCharType="end"/>
            </w:r>
            <w:r w:rsidRPr="00B62318">
              <w:t>)</w:t>
            </w:r>
            <w:bookmarkEnd w:id="0"/>
          </w:p>
        </w:tc>
      </w:tr>
    </w:tbl>
    <w:p w14:paraId="1B394D84" w14:textId="6D31A3BC" w:rsidR="00AC6722" w:rsidRPr="00B62318" w:rsidRDefault="00AC6722" w:rsidP="00AC6722">
      <w:r w:rsidRPr="00B62318">
        <w:t xml:space="preserve">If built-up land increases, we distinguish between microcells that have previously exhibited non zero building footprint and those that have not. Define an indicator </w:t>
      </w:r>
      <m:oMath>
        <m:sSubSup>
          <m:sSubSupPr>
            <m:ctrlPr>
              <w:rPr>
                <w:rFonts w:ascii="Cambria Math" w:hAnsi="Cambria Math"/>
              </w:rPr>
            </m:ctrlPr>
          </m:sSubSupPr>
          <m:e>
            <m:r>
              <w:rPr>
                <w:rFonts w:ascii="Cambria Math" w:hAnsi="Cambria Math"/>
              </w:rPr>
              <m:t>h</m:t>
            </m:r>
          </m:e>
          <m:sub>
            <m:r>
              <w:rPr>
                <w:rFonts w:ascii="Cambria Math" w:hAnsi="Cambria Math"/>
              </w:rPr>
              <m:t>j</m:t>
            </m:r>
            <m:r>
              <m:rPr>
                <m:sty m:val="p"/>
              </m:rPr>
              <w:rPr>
                <w:rFonts w:ascii="Cambria Math" w:hAnsi="Cambria Math"/>
              </w:rPr>
              <m:t>,</m:t>
            </m:r>
            <m:r>
              <w:rPr>
                <w:rFonts w:ascii="Cambria Math" w:hAnsi="Cambria Math"/>
              </w:rPr>
              <m:t>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oMath>
      <w:r w:rsidRPr="00B62318">
        <w:rPr>
          <w:rFonts w:eastAsiaTheme="minorEastAsia"/>
        </w:rPr>
        <w:t xml:space="preserve"> </w:t>
      </w:r>
      <w:r w:rsidRPr="00B62318">
        <w:t xml:space="preserve">that equals 1 if </w:t>
      </w:r>
      <m:oMath>
        <m:sSubSup>
          <m:sSubSupPr>
            <m:ctrlPr>
              <w:rPr>
                <w:rFonts w:ascii="Cambria Math" w:hAnsi="Cambria Math"/>
              </w:rPr>
            </m:ctrlPr>
          </m:sSubSupPr>
          <m:e>
            <m:r>
              <w:rPr>
                <w:rFonts w:ascii="Cambria Math" w:hAnsi="Cambria Math"/>
              </w:rPr>
              <m:t>b</m:t>
            </m:r>
          </m:e>
          <m:sub>
            <m:r>
              <w:rPr>
                <w:rFonts w:ascii="Cambria Math" w:hAnsi="Cambria Math"/>
              </w:rPr>
              <m:t>j</m:t>
            </m:r>
            <m:r>
              <m:rPr>
                <m:sty m:val="p"/>
              </m:rPr>
              <w:rPr>
                <w:rFonts w:ascii="Cambria Math" w:hAnsi="Cambria Math"/>
              </w:rPr>
              <m:t>,</m:t>
            </m:r>
            <m:r>
              <w:rPr>
                <w:rFonts w:ascii="Cambria Math" w:hAnsi="Cambria Math"/>
              </w:rPr>
              <m:t>τ</m:t>
            </m:r>
          </m:sub>
          <m:sup>
            <m:d>
              <m:dPr>
                <m:ctrlPr>
                  <w:rPr>
                    <w:rFonts w:ascii="Cambria Math" w:hAnsi="Cambria Math"/>
                  </w:rPr>
                </m:ctrlPr>
              </m:dPr>
              <m:e>
                <m:r>
                  <w:rPr>
                    <w:rFonts w:ascii="Cambria Math" w:hAnsi="Cambria Math"/>
                  </w:rPr>
                  <m:t>s</m:t>
                </m:r>
              </m:e>
            </m:d>
          </m:sup>
        </m:sSubSup>
        <m:r>
          <m:rPr>
            <m:sty m:val="p"/>
          </m:rPr>
          <w:rPr>
            <w:rFonts w:ascii="Cambria Math" w:hAnsi="Cambria Math"/>
          </w:rPr>
          <m:t>&gt;</m:t>
        </m:r>
        <m:r>
          <w:rPr>
            <w:rFonts w:ascii="Cambria Math" w:hAnsi="Cambria Math"/>
          </w:rPr>
          <m:t>ϵ</m:t>
        </m:r>
      </m:oMath>
      <w:r w:rsidRPr="00B62318">
        <w:rPr>
          <w:rFonts w:eastAsiaTheme="minorEastAsia"/>
          <w:iCs/>
        </w:rPr>
        <w:t xml:space="preserve"> </w:t>
      </w:r>
      <w:r w:rsidRPr="00B62318">
        <w:t xml:space="preserve">for any </w:t>
      </w:r>
      <m:oMath>
        <m:r>
          <w:rPr>
            <w:rFonts w:ascii="Cambria Math" w:hAnsi="Cambria Math"/>
          </w:rPr>
          <m:t>τ</m:t>
        </m:r>
        <m:r>
          <m:rPr>
            <m:sty m:val="p"/>
          </m:rPr>
          <w:rPr>
            <w:rFonts w:ascii="Cambria Math" w:hAnsi="Cambria Math"/>
          </w:rPr>
          <m:t>≤</m:t>
        </m:r>
        <m:r>
          <w:rPr>
            <w:rFonts w:ascii="Cambria Math" w:hAnsi="Cambria Math"/>
          </w:rPr>
          <m:t>t</m:t>
        </m:r>
        <m:r>
          <m:rPr>
            <m:sty m:val="p"/>
          </m:rPr>
          <w:rPr>
            <w:rFonts w:ascii="Cambria Math" w:hAnsi="Cambria Math"/>
          </w:rPr>
          <m:t>-1</m:t>
        </m:r>
      </m:oMath>
      <w:r w:rsidRPr="00B62318">
        <w:t xml:space="preserve">, and 0 otherwise. For microcells with development history </w:t>
      </w:r>
      <m:oMath>
        <m:d>
          <m:dPr>
            <m:sepChr m:val="="/>
            <m:ctrlPr>
              <w:rPr>
                <w:rFonts w:ascii="Cambria Math" w:hAnsi="Cambria Math"/>
              </w:rPr>
            </m:ctrlPr>
          </m:dPr>
          <m:e>
            <m:sSubSup>
              <m:sSubSupPr>
                <m:ctrlPr>
                  <w:rPr>
                    <w:rFonts w:ascii="Cambria Math" w:hAnsi="Cambria Math"/>
                  </w:rPr>
                </m:ctrlPr>
              </m:sSubSupPr>
              <m:e>
                <m:r>
                  <w:rPr>
                    <w:rFonts w:ascii="Cambria Math" w:hAnsi="Cambria Math"/>
                  </w:rPr>
                  <m:t>h</m:t>
                </m:r>
              </m:e>
              <m:sub>
                <m:r>
                  <w:rPr>
                    <w:rFonts w:ascii="Cambria Math" w:hAnsi="Cambria Math"/>
                  </w:rPr>
                  <m:t>j</m:t>
                </m:r>
                <m:r>
                  <m:rPr>
                    <m:sty m:val="p"/>
                  </m:rPr>
                  <w:rPr>
                    <w:rFonts w:ascii="Cambria Math" w:hAnsi="Cambria Math"/>
                  </w:rPr>
                  <m:t>,</m:t>
                </m:r>
                <m:r>
                  <w:rPr>
                    <w:rFonts w:ascii="Cambria Math" w:hAnsi="Cambria Math"/>
                  </w:rPr>
                  <m:t>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e>
          <m:e>
            <m:r>
              <m:rPr>
                <m:sty m:val="p"/>
              </m:rPr>
              <w:rPr>
                <w:rFonts w:ascii="Cambria Math" w:hAnsi="Cambria Math"/>
              </w:rPr>
              <m:t>1</m:t>
            </m:r>
          </m:e>
        </m:d>
      </m:oMath>
      <w:r w:rsidRPr="00B62318">
        <w:t xml:space="preserve">, expansion follows the microcell’s own realized density and Equation </w:t>
      </w:r>
      <w:r w:rsidRPr="00B62318">
        <w:fldChar w:fldCharType="begin"/>
      </w:r>
      <w:r w:rsidRPr="00B62318">
        <w:instrText xml:space="preserve"> REF _Ref221023751 \h </w:instrText>
      </w:r>
      <w:r w:rsidRPr="00B62318">
        <w:fldChar w:fldCharType="separate"/>
      </w:r>
      <w:r w:rsidR="00364E4E" w:rsidRPr="00B62318">
        <w:t>(</w:t>
      </w:r>
      <w:r w:rsidR="00364E4E">
        <w:rPr>
          <w:noProof/>
        </w:rPr>
        <w:t>11</w:t>
      </w:r>
      <w:r w:rsidR="00364E4E" w:rsidRPr="00B62318">
        <w:t>)</w:t>
      </w:r>
      <w:r w:rsidRPr="00B62318">
        <w:fldChar w:fldCharType="end"/>
      </w:r>
      <w:r w:rsidRPr="00B62318">
        <w:t xml:space="preserve"> is applied unchanged, using </w:t>
      </w:r>
      <m:oMath>
        <m:sSubSup>
          <m:sSubSupPr>
            <m:ctrlPr>
              <w:rPr>
                <w:rFonts w:ascii="Cambria Math" w:hAnsi="Cambria Math"/>
              </w:rPr>
            </m:ctrlPr>
          </m:sSubSupPr>
          <m:e>
            <m:r>
              <w:rPr>
                <w:rFonts w:ascii="Cambria Math" w:hAnsi="Cambria Math"/>
              </w:rPr>
              <m:t>ρ</m:t>
            </m:r>
          </m:e>
          <m:sub>
            <m:r>
              <w:rPr>
                <w:rFonts w:ascii="Cambria Math" w:hAnsi="Cambria Math"/>
              </w:rPr>
              <m:t>j</m:t>
            </m:r>
            <m:r>
              <m:rPr>
                <m:sty m:val="p"/>
              </m:rPr>
              <w:rPr>
                <w:rFonts w:ascii="Cambria Math" w:hAnsi="Cambria Math"/>
              </w:rPr>
              <m:t>,</m:t>
            </m:r>
            <m:r>
              <w:rPr>
                <w:rFonts w:ascii="Cambria Math" w:hAnsi="Cambria Math"/>
              </w:rPr>
              <m:t>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oMath>
      <w:r w:rsidRPr="00B62318">
        <w:rPr>
          <w:rFonts w:eastAsiaTheme="minorEastAsia"/>
        </w:rPr>
        <w:t xml:space="preserve"> </w:t>
      </w:r>
      <w:r w:rsidRPr="00B62318">
        <w:t>computed from the microcell’s previous decade state.</w:t>
      </w:r>
    </w:p>
    <w:p w14:paraId="605A64B8" w14:textId="3B1594A0" w:rsidR="00730768" w:rsidRPr="00B62318" w:rsidRDefault="00AC6722" w:rsidP="00AC6722">
      <w:pPr>
        <w:rPr>
          <w:rFonts w:eastAsiaTheme="minorEastAsia"/>
        </w:rPr>
      </w:pPr>
      <w:r w:rsidRPr="00B62318">
        <w:lastRenderedPageBreak/>
        <w:t xml:space="preserve">For microcells that experience built-up land expansion without any prior building footprint history </w:t>
      </w:r>
      <m:oMath>
        <m:d>
          <m:dPr>
            <m:sepChr m:val="="/>
            <m:ctrlPr>
              <w:rPr>
                <w:rFonts w:ascii="Cambria Math" w:hAnsi="Cambria Math"/>
              </w:rPr>
            </m:ctrlPr>
          </m:dPr>
          <m:e>
            <m:sSubSup>
              <m:sSubSupPr>
                <m:ctrlPr>
                  <w:rPr>
                    <w:rFonts w:ascii="Cambria Math" w:hAnsi="Cambria Math"/>
                  </w:rPr>
                </m:ctrlPr>
              </m:sSubSupPr>
              <m:e>
                <m:r>
                  <w:rPr>
                    <w:rFonts w:ascii="Cambria Math" w:hAnsi="Cambria Math"/>
                  </w:rPr>
                  <m:t>h</m:t>
                </m:r>
              </m:e>
              <m:sub>
                <m:r>
                  <w:rPr>
                    <w:rFonts w:ascii="Cambria Math" w:hAnsi="Cambria Math"/>
                  </w:rPr>
                  <m:t>j</m:t>
                </m:r>
                <m:r>
                  <m:rPr>
                    <m:sty m:val="p"/>
                  </m:rPr>
                  <w:rPr>
                    <w:rFonts w:ascii="Cambria Math" w:hAnsi="Cambria Math"/>
                  </w:rPr>
                  <m:t>,</m:t>
                </m:r>
                <m:r>
                  <w:rPr>
                    <w:rFonts w:ascii="Cambria Math" w:hAnsi="Cambria Math"/>
                  </w:rPr>
                  <m:t>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e>
          <m:e>
            <m:r>
              <m:rPr>
                <m:sty m:val="p"/>
              </m:rPr>
              <w:rPr>
                <w:rFonts w:ascii="Cambria Math" w:hAnsi="Cambria Math"/>
              </w:rPr>
              <m:t>0</m:t>
            </m:r>
          </m:e>
        </m:d>
      </m:oMath>
      <w:r w:rsidRPr="00B62318">
        <w:t xml:space="preserve">, the density ratio cannot be inferred locally. In these cases, we estimate a neighbourhood density using the H3 adjacency structure. Let </w:t>
      </w:r>
      <m:oMath>
        <m:sSub>
          <m:sSubPr>
            <m:ctrlPr>
              <w:rPr>
                <w:rFonts w:ascii="Cambria Math" w:hAnsi="Cambria Math"/>
              </w:rPr>
            </m:ctrlPr>
          </m:sSubPr>
          <m:e>
            <m:r>
              <w:rPr>
                <w:rFonts w:ascii="Cambria Math" w:hAnsi="Cambria Math"/>
              </w:rPr>
              <m:t>N</m:t>
            </m:r>
          </m:e>
          <m:sub>
            <m:r>
              <w:rPr>
                <w:rFonts w:ascii="Cambria Math" w:hAnsi="Cambria Math"/>
              </w:rPr>
              <m:t>r</m:t>
            </m:r>
          </m:sub>
        </m:sSub>
        <m:r>
          <m:rPr>
            <m:sty m:val="p"/>
          </m:rPr>
          <w:rPr>
            <w:rFonts w:ascii="Cambria Math" w:hAnsi="Cambria Math"/>
          </w:rPr>
          <m:t>(</m:t>
        </m:r>
        <m:r>
          <w:rPr>
            <w:rFonts w:ascii="Cambria Math" w:hAnsi="Cambria Math"/>
          </w:rPr>
          <m:t>j</m:t>
        </m:r>
        <m:r>
          <m:rPr>
            <m:sty m:val="p"/>
          </m:rPr>
          <w:rPr>
            <w:rFonts w:ascii="Cambria Math" w:hAnsi="Cambria Math"/>
          </w:rPr>
          <m:t>)</m:t>
        </m:r>
      </m:oMath>
      <w:r w:rsidRPr="00B62318">
        <w:rPr>
          <w:rFonts w:eastAsiaTheme="minorEastAsia"/>
        </w:rPr>
        <w:t xml:space="preserve"> </w:t>
      </w:r>
      <w:r w:rsidRPr="00B62318">
        <w:t xml:space="preserve">denote the set of microcells within H3 grid distance </w:t>
      </w:r>
      <m:oMath>
        <m:r>
          <w:rPr>
            <w:rFonts w:ascii="Cambria Math" w:hAnsi="Cambria Math"/>
          </w:rPr>
          <m:t>r</m:t>
        </m:r>
      </m:oMath>
      <w:r w:rsidRPr="00B62318">
        <w:rPr>
          <w:rFonts w:eastAsiaTheme="minorEastAsia"/>
          <w:iCs/>
        </w:rPr>
        <w:t xml:space="preserve"> </w:t>
      </w:r>
      <w:r w:rsidRPr="00B62318">
        <w:t xml:space="preserve">of microcell </w:t>
      </w:r>
      <m:oMath>
        <m:r>
          <w:rPr>
            <w:rFonts w:ascii="Cambria Math" w:hAnsi="Cambria Math"/>
          </w:rPr>
          <m:t>j</m:t>
        </m:r>
      </m:oMath>
      <w:r w:rsidRPr="00B62318">
        <w:t xml:space="preserve">, excluding </w:t>
      </w:r>
      <m:oMath>
        <m:r>
          <w:rPr>
            <w:rFonts w:ascii="Cambria Math" w:hAnsi="Cambria Math"/>
          </w:rPr>
          <m:t>j</m:t>
        </m:r>
      </m:oMath>
      <w:r w:rsidRPr="00B62318">
        <w:rPr>
          <w:rFonts w:eastAsiaTheme="minorEastAsia"/>
          <w:iCs/>
        </w:rPr>
        <w:t xml:space="preserve"> </w:t>
      </w:r>
      <w:r w:rsidRPr="00B62318">
        <w:t xml:space="preserve">itself, and let </w:t>
      </w:r>
      <m:oMath>
        <m:r>
          <w:rPr>
            <w:rFonts w:ascii="Cambria Math" w:hAnsi="Cambria Math"/>
          </w:rPr>
          <m:t>R</m:t>
        </m:r>
      </m:oMath>
      <w:r w:rsidRPr="00B62318">
        <w:rPr>
          <w:rFonts w:eastAsiaTheme="minorEastAsia"/>
          <w:iCs/>
        </w:rPr>
        <w:t xml:space="preserve"> </w:t>
      </w:r>
      <w:r w:rsidRPr="00B62318">
        <w:t xml:space="preserve">denote the maximum search radius. We identify the smallest </w:t>
      </w:r>
      <w:r w:rsidRPr="00B62318">
        <w:rPr>
          <w:rFonts w:asciiTheme="majorBidi" w:hAnsiTheme="majorBidi" w:cstheme="majorBidi"/>
        </w:rPr>
        <w:t xml:space="preserve">radius </w:t>
      </w:r>
      <w:r w:rsidR="00730768" w:rsidRPr="00B62318">
        <w:rPr>
          <w:rFonts w:asciiTheme="majorBidi" w:eastAsiaTheme="minorEastAsia" w:hAnsiTheme="majorBidi" w:cstheme="majorBidi"/>
          <w:i/>
          <w:iCs/>
        </w:rPr>
        <w:t>r</w:t>
      </w:r>
      <w:r w:rsidR="00730768" w:rsidRPr="00B62318">
        <w:rPr>
          <w:rFonts w:asciiTheme="majorBidi" w:eastAsiaTheme="minorEastAsia" w:hAnsiTheme="majorBidi" w:cstheme="majorBidi"/>
          <w:vertAlign w:val="superscript"/>
        </w:rPr>
        <w:t>*</w:t>
      </w:r>
      <w:r w:rsidR="00730768" w:rsidRPr="00B62318">
        <w:rPr>
          <w:rFonts w:asciiTheme="majorBidi" w:eastAsiaTheme="minorEastAsia" w:hAnsiTheme="majorBidi" w:cstheme="majorBidi"/>
        </w:rPr>
        <w:t xml:space="preserve"> </w:t>
      </w:r>
      <w:r w:rsidR="00730768" w:rsidRPr="00B62318">
        <w:rPr>
          <w:rFonts w:ascii="Cambria Math" w:hAnsi="Cambria Math" w:cs="Cambria Math"/>
        </w:rPr>
        <w:t>∈</w:t>
      </w:r>
      <w:r w:rsidR="00730768" w:rsidRPr="00B62318">
        <w:rPr>
          <w:rFonts w:asciiTheme="majorBidi" w:hAnsiTheme="majorBidi" w:cstheme="majorBidi"/>
        </w:rPr>
        <w:t xml:space="preserve"> {1, …, </w:t>
      </w:r>
      <w:r w:rsidR="00730768" w:rsidRPr="00B62318">
        <w:rPr>
          <w:rFonts w:asciiTheme="majorBidi" w:hAnsiTheme="majorBidi" w:cstheme="majorBidi"/>
          <w:i/>
          <w:iCs/>
        </w:rPr>
        <w:t>R</w:t>
      </w:r>
      <w:r w:rsidR="00730768" w:rsidRPr="00B62318">
        <w:rPr>
          <w:rFonts w:asciiTheme="majorBidi" w:hAnsiTheme="majorBidi" w:cstheme="majorBidi"/>
        </w:rPr>
        <w:t>}</w:t>
      </w:r>
    </w:p>
    <w:p w14:paraId="005F85BE" w14:textId="65394008" w:rsidR="00AC6722" w:rsidRPr="00B62318" w:rsidRDefault="00AC6722" w:rsidP="00AC6722">
      <w:r w:rsidRPr="00B62318">
        <w:t xml:space="preserve">for which at least one neighbor </w:t>
      </w:r>
      <m:oMath>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N</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p"/>
          </m:rPr>
          <w:rPr>
            <w:rFonts w:ascii="Cambria Math" w:hAnsi="Cambria Math"/>
          </w:rPr>
          <m:t>(</m:t>
        </m:r>
        <m:r>
          <w:rPr>
            <w:rFonts w:ascii="Cambria Math" w:hAnsi="Cambria Math"/>
          </w:rPr>
          <m:t>j</m:t>
        </m:r>
        <m:r>
          <m:rPr>
            <m:sty m:val="p"/>
          </m:rPr>
          <w:rPr>
            <w:rFonts w:ascii="Cambria Math" w:hAnsi="Cambria Math"/>
          </w:rPr>
          <m:t>)</m:t>
        </m:r>
      </m:oMath>
      <w:r w:rsidRPr="00B62318">
        <w:rPr>
          <w:rFonts w:eastAsiaTheme="minorEastAsia"/>
        </w:rPr>
        <w:t xml:space="preserve"> </w:t>
      </w:r>
      <w:r w:rsidRPr="00B62318">
        <w:t xml:space="preserve">satisfies </w:t>
      </w:r>
      <m:oMath>
        <m:sSubSup>
          <m:sSubSupPr>
            <m:ctrlPr>
              <w:rPr>
                <w:rFonts w:ascii="Cambria Math" w:hAnsi="Cambria Math"/>
              </w:rPr>
            </m:ctrlPr>
          </m:sSubSupPr>
          <m:e>
            <m:r>
              <w:rPr>
                <w:rFonts w:ascii="Cambria Math" w:hAnsi="Cambria Math"/>
              </w:rPr>
              <m:t>b</m:t>
            </m:r>
          </m:e>
          <m:sub>
            <m:r>
              <w:rPr>
                <w:rFonts w:ascii="Cambria Math" w:hAnsi="Cambria Math"/>
              </w:rPr>
              <m:t>k</m:t>
            </m:r>
            <m:r>
              <m:rPr>
                <m:sty m:val="p"/>
              </m:rPr>
              <w:rPr>
                <w:rFonts w:ascii="Cambria Math" w:hAnsi="Cambria Math"/>
              </w:rPr>
              <m:t>,</m:t>
            </m:r>
            <m:r>
              <w:rPr>
                <w:rFonts w:ascii="Cambria Math" w:hAnsi="Cambria Math"/>
              </w:rPr>
              <m:t>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r>
          <m:rPr>
            <m:sty m:val="p"/>
          </m:rPr>
          <w:rPr>
            <w:rFonts w:ascii="Cambria Math" w:hAnsi="Cambria Math"/>
          </w:rPr>
          <m:t>&gt;</m:t>
        </m:r>
        <m:r>
          <w:rPr>
            <w:rFonts w:ascii="Cambria Math" w:hAnsi="Cambria Math"/>
          </w:rPr>
          <m:t>ϵ</m:t>
        </m:r>
      </m:oMath>
      <w:r w:rsidRPr="00B62318">
        <w:t>. The neighbourhood density is then defined as the mean of neighbour densities at that radius,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6824DBE8" w14:textId="77777777" w:rsidTr="00BC3A4C">
        <w:tc>
          <w:tcPr>
            <w:tcW w:w="625" w:type="dxa"/>
          </w:tcPr>
          <w:p w14:paraId="6B9A73C2" w14:textId="77777777" w:rsidR="00AC6722" w:rsidRPr="00B62318" w:rsidRDefault="00AC6722" w:rsidP="00F438D9"/>
        </w:tc>
        <w:tc>
          <w:tcPr>
            <w:tcW w:w="7740" w:type="dxa"/>
            <w:vAlign w:val="center"/>
          </w:tcPr>
          <w:p w14:paraId="1F57B9FD" w14:textId="77777777" w:rsidR="00AC6722" w:rsidRPr="00B62318" w:rsidRDefault="00DE782A" w:rsidP="00F438D9">
            <w:pPr>
              <w:jc w:val="center"/>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ρ</m:t>
                        </m:r>
                      </m:e>
                    </m:acc>
                  </m:e>
                  <m:sub>
                    <m:r>
                      <w:rPr>
                        <w:rFonts w:ascii="Cambria Math" w:hAnsi="Cambria Math"/>
                      </w:rPr>
                      <m:t>j</m:t>
                    </m:r>
                    <m:r>
                      <m:rPr>
                        <m:sty m:val="p"/>
                      </m:rPr>
                      <w:rPr>
                        <w:rFonts w:ascii="Cambria Math" w:hAnsi="Cambria Math"/>
                      </w:rPr>
                      <m:t>,</m:t>
                    </m:r>
                    <m:r>
                      <w:rPr>
                        <w:rFonts w:ascii="Cambria Math" w:hAnsi="Cambria Math"/>
                      </w:rPr>
                      <m:t>t</m:t>
                    </m:r>
                    <m:r>
                      <m:rPr>
                        <m:sty m:val="p"/>
                      </m:rPr>
                      <w:rPr>
                        <w:rFonts w:ascii="Cambria Math" w:hAnsi="Cambria Math"/>
                      </w:rPr>
                      <m: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m:t>
                    </m:r>
                    <m:sSub>
                      <m:sSubPr>
                        <m:ctrlPr>
                          <w:rPr>
                            <w:rFonts w:ascii="Cambria Math" w:hAnsi="Cambria Math"/>
                          </w:rPr>
                        </m:ctrlPr>
                      </m:sSubPr>
                      <m:e>
                        <m:r>
                          <w:rPr>
                            <w:rFonts w:ascii="Cambria Math" w:hAnsi="Cambria Math"/>
                          </w:rPr>
                          <m:t>S</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p"/>
                      </m:rPr>
                      <w:rPr>
                        <w:rFonts w:ascii="Cambria Math" w:hAnsi="Cambria Math"/>
                      </w:rPr>
                      <m:t>(</m:t>
                    </m:r>
                    <m:r>
                      <w:rPr>
                        <w:rFonts w:ascii="Cambria Math" w:hAnsi="Cambria Math"/>
                      </w:rPr>
                      <m:t>j</m:t>
                    </m:r>
                    <m:r>
                      <m:rPr>
                        <m:sty m:val="p"/>
                      </m:rPr>
                      <w:rPr>
                        <w:rFonts w:ascii="Cambria Math" w:hAnsi="Cambria Math"/>
                      </w:rPr>
                      <m:t>)∣</m:t>
                    </m:r>
                  </m:den>
                </m:f>
                <m:nary>
                  <m:naryPr>
                    <m:chr m:val="∑"/>
                    <m:limLoc m:val="undOvr"/>
                    <m:grow m:val="1"/>
                    <m:supHide m:val="1"/>
                    <m:ctrlPr>
                      <w:rPr>
                        <w:rFonts w:ascii="Cambria Math" w:hAnsi="Cambria Math"/>
                      </w:rPr>
                    </m:ctrlPr>
                  </m:naryPr>
                  <m:sub>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S</m:t>
                        </m:r>
                      </m:e>
                      <m:sub>
                        <m:sSup>
                          <m:sSupPr>
                            <m:ctrlPr>
                              <w:rPr>
                                <w:rFonts w:ascii="Cambria Math" w:hAnsi="Cambria Math"/>
                              </w:rPr>
                            </m:ctrlPr>
                          </m:sSupPr>
                          <m:e>
                            <m:r>
                              <w:rPr>
                                <w:rFonts w:ascii="Cambria Math" w:hAnsi="Cambria Math"/>
                              </w:rPr>
                              <m:t>r</m:t>
                            </m:r>
                          </m:e>
                          <m:sup>
                            <m:r>
                              <m:rPr>
                                <m:sty m:val="p"/>
                              </m:rPr>
                              <w:rPr>
                                <w:rFonts w:ascii="Cambria Math" w:hAnsi="Cambria Math"/>
                              </w:rPr>
                              <m:t>*</m:t>
                            </m:r>
                          </m:sup>
                        </m:sSup>
                      </m:sub>
                    </m:sSub>
                    <m:r>
                      <m:rPr>
                        <m:sty m:val="p"/>
                      </m:rPr>
                      <w:rPr>
                        <w:rFonts w:ascii="Cambria Math" w:hAnsi="Cambria Math"/>
                      </w:rPr>
                      <m:t>(</m:t>
                    </m:r>
                    <m:r>
                      <w:rPr>
                        <w:rFonts w:ascii="Cambria Math" w:hAnsi="Cambria Math"/>
                      </w:rPr>
                      <m:t>j</m:t>
                    </m:r>
                    <m:r>
                      <m:rPr>
                        <m:sty m:val="p"/>
                      </m:rPr>
                      <w:rPr>
                        <w:rFonts w:ascii="Cambria Math" w:hAnsi="Cambria Math"/>
                      </w:rPr>
                      <m:t>)</m:t>
                    </m:r>
                  </m:sub>
                  <m:sup/>
                  <m:e>
                    <m:sSubSup>
                      <m:sSubSupPr>
                        <m:ctrlPr>
                          <w:rPr>
                            <w:rFonts w:ascii="Cambria Math" w:hAnsi="Cambria Math"/>
                          </w:rPr>
                        </m:ctrlPr>
                      </m:sSubSupPr>
                      <m:e>
                        <m:r>
                          <w:rPr>
                            <w:rFonts w:ascii="Cambria Math" w:hAnsi="Cambria Math"/>
                          </w:rPr>
                          <m:t>ρ</m:t>
                        </m:r>
                      </m:e>
                      <m:sub>
                        <m:r>
                          <w:rPr>
                            <w:rFonts w:ascii="Cambria Math" w:hAnsi="Cambria Math"/>
                          </w:rPr>
                          <m:t>k</m:t>
                        </m:r>
                        <m:r>
                          <m:rPr>
                            <m:sty m:val="p"/>
                          </m:rPr>
                          <w:rPr>
                            <w:rFonts w:ascii="Cambria Math" w:hAnsi="Cambria Math"/>
                          </w:rPr>
                          <m:t>,</m:t>
                        </m:r>
                        <m:r>
                          <w:rPr>
                            <w:rFonts w:ascii="Cambria Math" w:hAnsi="Cambria Math"/>
                          </w:rPr>
                          <m:t>t</m:t>
                        </m:r>
                        <m:r>
                          <m:rPr>
                            <m:sty m:val="p"/>
                          </m:rPr>
                          <w:rPr>
                            <w:rFonts w:ascii="Cambria Math" w:hAnsi="Cambria Math"/>
                          </w:rPr>
                          <m: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e>
                </m:nary>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r</m:t>
                    </m:r>
                  </m:sub>
                </m:sSub>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r</m:t>
                    </m:r>
                  </m:sub>
                </m:sSub>
                <m:r>
                  <m:rPr>
                    <m:sty m:val="p"/>
                  </m:rPr>
                  <w:rPr>
                    <w:rFonts w:ascii="Cambria Math" w:hAnsi="Cambria Math"/>
                  </w:rPr>
                  <m:t>(</m:t>
                </m:r>
                <m:r>
                  <w:rPr>
                    <w:rFonts w:ascii="Cambria Math" w:hAnsi="Cambria Math"/>
                  </w:rPr>
                  <m:t>j</m:t>
                </m:r>
                <m:r>
                  <m:rPr>
                    <m:sty m:val="p"/>
                  </m:rPr>
                  <w:rPr>
                    <w:rFonts w:ascii="Cambria Math" w:hAnsi="Cambria Math"/>
                  </w:rPr>
                  <m:t>):</m:t>
                </m:r>
                <m:sSubSup>
                  <m:sSubSupPr>
                    <m:ctrlPr>
                      <w:rPr>
                        <w:rFonts w:ascii="Cambria Math" w:hAnsi="Cambria Math"/>
                      </w:rPr>
                    </m:ctrlPr>
                  </m:sSubSupPr>
                  <m:e>
                    <m:r>
                      <w:rPr>
                        <w:rFonts w:ascii="Cambria Math" w:hAnsi="Cambria Math"/>
                      </w:rPr>
                      <m:t>b</m:t>
                    </m:r>
                  </m:e>
                  <m:sub>
                    <m:r>
                      <w:rPr>
                        <w:rFonts w:ascii="Cambria Math" w:hAnsi="Cambria Math"/>
                      </w:rPr>
                      <m:t>k</m:t>
                    </m:r>
                    <m:r>
                      <m:rPr>
                        <m:sty m:val="p"/>
                      </m:rPr>
                      <w:rPr>
                        <w:rFonts w:ascii="Cambria Math" w:hAnsi="Cambria Math"/>
                      </w:rPr>
                      <m:t>,</m:t>
                    </m:r>
                    <m:r>
                      <w:rPr>
                        <w:rFonts w:ascii="Cambria Math" w:hAnsi="Cambria Math"/>
                      </w:rPr>
                      <m:t>t</m:t>
                    </m:r>
                    <m:r>
                      <m:rPr>
                        <m:sty m:val="p"/>
                      </m:rPr>
                      <w:rPr>
                        <w:rFonts w:ascii="Cambria Math" w:hAnsi="Cambria Math"/>
                      </w:rPr>
                      <m: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r>
                  <m:rPr>
                    <m:sty m:val="p"/>
                  </m:rPr>
                  <w:rPr>
                    <w:rFonts w:ascii="Cambria Math" w:hAnsi="Cambria Math"/>
                  </w:rPr>
                  <m:t>&gt;</m:t>
                </m:r>
                <m:r>
                  <w:rPr>
                    <w:rFonts w:ascii="Cambria Math" w:hAnsi="Cambria Math"/>
                  </w:rPr>
                  <m:t>ϵ</m:t>
                </m:r>
                <m:r>
                  <m:rPr>
                    <m:sty m:val="p"/>
                  </m:rPr>
                  <w:rPr>
                    <w:rFonts w:ascii="Cambria Math" w:hAnsi="Cambria Math"/>
                  </w:rPr>
                  <m:t>}.</m:t>
                </m:r>
              </m:oMath>
            </m:oMathPara>
          </w:p>
        </w:tc>
        <w:tc>
          <w:tcPr>
            <w:tcW w:w="697" w:type="dxa"/>
            <w:vAlign w:val="center"/>
          </w:tcPr>
          <w:p w14:paraId="0386DEFA" w14:textId="43C6F1AF" w:rsidR="00AC6722" w:rsidRPr="00B62318" w:rsidRDefault="00AC6722" w:rsidP="00F438D9">
            <w:pPr>
              <w:jc w:val="right"/>
            </w:pPr>
            <w:bookmarkStart w:id="1" w:name="_Ref221023907"/>
            <w:r w:rsidRPr="00B62318">
              <w:t>(</w:t>
            </w:r>
            <w:r w:rsidRPr="00B62318">
              <w:fldChar w:fldCharType="begin"/>
            </w:r>
            <w:r w:rsidRPr="00B62318">
              <w:instrText xml:space="preserve"> SEQ Equation \* ARABIC </w:instrText>
            </w:r>
            <w:r w:rsidRPr="00B62318">
              <w:fldChar w:fldCharType="separate"/>
            </w:r>
            <w:r w:rsidR="00364E4E">
              <w:rPr>
                <w:noProof/>
              </w:rPr>
              <w:t>12</w:t>
            </w:r>
            <w:r w:rsidRPr="00B62318">
              <w:fldChar w:fldCharType="end"/>
            </w:r>
            <w:r w:rsidRPr="00B62318">
              <w:t>)</w:t>
            </w:r>
            <w:bookmarkEnd w:id="1"/>
          </w:p>
        </w:tc>
      </w:tr>
    </w:tbl>
    <w:p w14:paraId="6915513C" w14:textId="77777777" w:rsidR="00AC6722" w:rsidRPr="00B62318" w:rsidRDefault="00AC6722" w:rsidP="00AC6722">
      <w:r w:rsidRPr="00B62318">
        <w:t xml:space="preserve">If no neighbors with </w:t>
      </w:r>
      <m:oMath>
        <m:sSubSup>
          <m:sSubSupPr>
            <m:ctrlPr>
              <w:rPr>
                <w:rFonts w:ascii="Cambria Math" w:hAnsi="Cambria Math"/>
              </w:rPr>
            </m:ctrlPr>
          </m:sSubSupPr>
          <m:e>
            <m:r>
              <w:rPr>
                <w:rFonts w:ascii="Cambria Math" w:hAnsi="Cambria Math"/>
              </w:rPr>
              <m:t>b</m:t>
            </m:r>
          </m:e>
          <m:sub>
            <m:r>
              <w:rPr>
                <w:rFonts w:ascii="Cambria Math" w:hAnsi="Cambria Math"/>
              </w:rPr>
              <m:t>k</m:t>
            </m:r>
            <m:r>
              <m:rPr>
                <m:sty m:val="p"/>
              </m:rPr>
              <w:rPr>
                <w:rFonts w:ascii="Cambria Math" w:hAnsi="Cambria Math"/>
              </w:rPr>
              <m:t>,</m:t>
            </m:r>
            <m:r>
              <w:rPr>
                <w:rFonts w:ascii="Cambria Math" w:hAnsi="Cambria Math"/>
              </w:rPr>
              <m:t>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r>
          <m:rPr>
            <m:sty m:val="p"/>
          </m:rPr>
          <w:rPr>
            <w:rFonts w:ascii="Cambria Math" w:hAnsi="Cambria Math"/>
          </w:rPr>
          <m:t>&gt;</m:t>
        </m:r>
        <m:r>
          <w:rPr>
            <w:rFonts w:ascii="Cambria Math" w:hAnsi="Cambria Math"/>
          </w:rPr>
          <m:t>ϵ</m:t>
        </m:r>
      </m:oMath>
      <w:r w:rsidRPr="00B62318">
        <w:rPr>
          <w:rFonts w:eastAsiaTheme="minorEastAsia"/>
          <w:iCs/>
        </w:rPr>
        <w:t xml:space="preserve"> </w:t>
      </w:r>
      <w:r w:rsidRPr="00B62318">
        <w:t xml:space="preserve">exist within </w:t>
      </w:r>
      <m:oMath>
        <m:r>
          <w:rPr>
            <w:rFonts w:ascii="Cambria Math" w:hAnsi="Cambria Math"/>
          </w:rPr>
          <m:t>R</m:t>
        </m:r>
      </m:oMath>
      <w:r w:rsidRPr="00B62318">
        <w:t xml:space="preserve">, we assign a conservative default density </w:t>
      </w:r>
      <m:oMath>
        <m:sSub>
          <m:sSubPr>
            <m:ctrlPr>
              <w:rPr>
                <w:rFonts w:ascii="Cambria Math" w:hAnsi="Cambria Math"/>
              </w:rPr>
            </m:ctrlPr>
          </m:sSubPr>
          <m:e>
            <m:r>
              <w:rPr>
                <w:rFonts w:ascii="Cambria Math" w:hAnsi="Cambria Math"/>
              </w:rPr>
              <m:t>ρ</m:t>
            </m:r>
          </m:e>
          <m:sub>
            <m:r>
              <m:rPr>
                <m:sty m:val="p"/>
              </m:rPr>
              <w:rPr>
                <w:rFonts w:ascii="Cambria Math" w:hAnsi="Cambria Math"/>
              </w:rPr>
              <m:t>0</m:t>
            </m:r>
          </m:sub>
        </m:sSub>
      </m:oMath>
      <w:r w:rsidRPr="00B62318">
        <w:t>. Newly developing microcells are then updated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05FDFDBD" w14:textId="77777777" w:rsidTr="00BC3A4C">
        <w:tc>
          <w:tcPr>
            <w:tcW w:w="625" w:type="dxa"/>
          </w:tcPr>
          <w:p w14:paraId="71DA5199" w14:textId="77777777" w:rsidR="00AC6722" w:rsidRPr="00B62318" w:rsidRDefault="00AC6722" w:rsidP="00F438D9"/>
        </w:tc>
        <w:tc>
          <w:tcPr>
            <w:tcW w:w="7740" w:type="dxa"/>
            <w:vAlign w:val="center"/>
          </w:tcPr>
          <w:p w14:paraId="5F793C83" w14:textId="77777777" w:rsidR="00AC6722" w:rsidRPr="00B62318" w:rsidRDefault="00DE782A" w:rsidP="00F438D9">
            <w:pPr>
              <w:jc w:val="center"/>
            </w:pPr>
            <m:oMathPara>
              <m:oMath>
                <m:sSubSup>
                  <m:sSubSupPr>
                    <m:ctrlPr>
                      <w:rPr>
                        <w:rFonts w:ascii="Cambria Math" w:hAnsi="Cambria Math"/>
                      </w:rPr>
                    </m:ctrlPr>
                  </m:sSubSupPr>
                  <m:e>
                    <m:r>
                      <w:rPr>
                        <w:rFonts w:ascii="Cambria Math" w:hAnsi="Cambria Math"/>
                      </w:rPr>
                      <m:t>b</m:t>
                    </m:r>
                  </m:e>
                  <m:sub>
                    <m:r>
                      <w:rPr>
                        <w:rFonts w:ascii="Cambria Math" w:hAnsi="Cambria Math"/>
                      </w:rPr>
                      <m:t>j</m:t>
                    </m:r>
                    <m:r>
                      <m:rPr>
                        <m:sty m:val="p"/>
                      </m:rP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s</m:t>
                        </m:r>
                      </m:e>
                    </m:d>
                  </m:sup>
                </m:sSubSup>
                <m:r>
                  <m:rPr>
                    <m:sty m:val="p"/>
                  </m:rPr>
                  <w:rPr>
                    <w:rFonts w:ascii="Cambria Math" w:hAnsi="Cambria Math"/>
                  </w:rPr>
                  <m:t>=</m:t>
                </m:r>
                <m:func>
                  <m:funcPr>
                    <m:ctrlPr>
                      <w:rPr>
                        <w:rFonts w:ascii="Cambria Math" w:hAnsi="Cambria Math"/>
                      </w:rPr>
                    </m:ctrlPr>
                  </m:funcPr>
                  <m:fName>
                    <m:r>
                      <m:rPr>
                        <m:sty m:val="p"/>
                      </m:rPr>
                      <w:rPr>
                        <w:rFonts w:ascii="Cambria Math" w:hAnsi="Cambria Math"/>
                      </w:rPr>
                      <m:t>min</m:t>
                    </m:r>
                  </m:fName>
                  <m:e>
                    <m:r>
                      <w:rPr>
                        <w:rFonts w:ascii="Cambria Math" w:hAnsi="Cambria Math"/>
                      </w:rPr>
                      <m:t xml:space="preserve"> </m:t>
                    </m:r>
                    <m:d>
                      <m:dPr>
                        <m:sepChr m:val=","/>
                        <m:ctrlPr>
                          <w:rPr>
                            <w:rFonts w:ascii="Cambria Math" w:hAnsi="Cambria Math"/>
                          </w:rPr>
                        </m:ctrlPr>
                      </m:dPr>
                      <m:e>
                        <m:sSubSup>
                          <m:sSubSupPr>
                            <m:ctrlPr>
                              <w:rPr>
                                <w:rFonts w:ascii="Cambria Math" w:hAnsi="Cambria Math"/>
                              </w:rPr>
                            </m:ctrlPr>
                          </m:sSubSupPr>
                          <m:e>
                            <m:r>
                              <w:rPr>
                                <w:rFonts w:ascii="Cambria Math" w:hAnsi="Cambria Math"/>
                              </w:rPr>
                              <m:t>u</m:t>
                            </m:r>
                          </m:e>
                          <m:sub>
                            <m:r>
                              <w:rPr>
                                <w:rFonts w:ascii="Cambria Math" w:hAnsi="Cambria Math"/>
                              </w:rPr>
                              <m:t>j</m:t>
                            </m:r>
                            <m:r>
                              <m:rPr>
                                <m:sty m:val="p"/>
                              </m:rP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s</m:t>
                                </m:r>
                              </m:e>
                            </m:d>
                          </m:sup>
                        </m:sSubSup>
                      </m:e>
                      <m:e>
                        <m:r>
                          <m:rPr>
                            <m:nor/>
                          </m:rPr>
                          <m:t> </m:t>
                        </m:r>
                        <m:sSubSup>
                          <m:sSubSupPr>
                            <m:ctrlPr>
                              <w:rPr>
                                <w:rFonts w:ascii="Cambria Math" w:hAnsi="Cambria Math"/>
                              </w:rPr>
                            </m:ctrlPr>
                          </m:sSubSupPr>
                          <m:e>
                            <m:acc>
                              <m:accPr>
                                <m:chr m:val="̃"/>
                                <m:ctrlPr>
                                  <w:rPr>
                                    <w:rFonts w:ascii="Cambria Math" w:hAnsi="Cambria Math"/>
                                  </w:rPr>
                                </m:ctrlPr>
                              </m:accPr>
                              <m:e>
                                <m:r>
                                  <w:rPr>
                                    <w:rFonts w:ascii="Cambria Math" w:hAnsi="Cambria Math"/>
                                  </w:rPr>
                                  <m:t>ρ</m:t>
                                </m:r>
                              </m:e>
                            </m:acc>
                          </m:e>
                          <m:sub>
                            <m:r>
                              <w:rPr>
                                <w:rFonts w:ascii="Cambria Math" w:hAnsi="Cambria Math"/>
                              </w:rPr>
                              <m:t>j</m:t>
                            </m:r>
                            <m:r>
                              <m:rPr>
                                <m:sty m:val="p"/>
                              </m:rPr>
                              <w:rPr>
                                <w:rFonts w:ascii="Cambria Math" w:hAnsi="Cambria Math"/>
                              </w:rPr>
                              <m:t>,</m:t>
                            </m:r>
                            <m:r>
                              <w:rPr>
                                <w:rFonts w:ascii="Cambria Math" w:hAnsi="Cambria Math"/>
                              </w:rPr>
                              <m:t>t</m:t>
                            </m:r>
                            <m:r>
                              <m:rPr>
                                <m:sty m:val="p"/>
                              </m:rPr>
                              <w:rPr>
                                <w:rFonts w:ascii="Cambria Math" w:hAnsi="Cambria Math"/>
                              </w:rPr>
                              <m: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r>
                          <m:rPr>
                            <m:nor/>
                          </m:rPr>
                          <m:t> </m:t>
                        </m:r>
                        <m:sSubSup>
                          <m:sSubSupPr>
                            <m:ctrlPr>
                              <w:rPr>
                                <w:rFonts w:ascii="Cambria Math" w:hAnsi="Cambria Math"/>
                              </w:rPr>
                            </m:ctrlPr>
                          </m:sSubSupPr>
                          <m:e>
                            <m:r>
                              <w:rPr>
                                <w:rFonts w:ascii="Cambria Math" w:hAnsi="Cambria Math"/>
                              </w:rPr>
                              <m:t>u</m:t>
                            </m:r>
                          </m:e>
                          <m:sub>
                            <m:r>
                              <w:rPr>
                                <w:rFonts w:ascii="Cambria Math" w:hAnsi="Cambria Math"/>
                              </w:rPr>
                              <m:t>j</m:t>
                            </m:r>
                            <m:r>
                              <m:rPr>
                                <m:sty m:val="p"/>
                              </m:rP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s</m:t>
                                </m:r>
                              </m:e>
                            </m:d>
                          </m:sup>
                        </m:sSubSup>
                      </m:e>
                    </m:d>
                  </m:e>
                </m:func>
                <m:r>
                  <m:rPr>
                    <m:sty m:val="p"/>
                  </m:rPr>
                  <w:rPr>
                    <w:rFonts w:ascii="Cambria Math" w:hAnsi="Cambria Math"/>
                  </w:rPr>
                  <m:t>,</m:t>
                </m:r>
              </m:oMath>
            </m:oMathPara>
          </w:p>
        </w:tc>
        <w:tc>
          <w:tcPr>
            <w:tcW w:w="697" w:type="dxa"/>
            <w:vAlign w:val="center"/>
          </w:tcPr>
          <w:p w14:paraId="49135704" w14:textId="4D8C403B"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13</w:t>
            </w:r>
            <w:r w:rsidRPr="00B62318">
              <w:fldChar w:fldCharType="end"/>
            </w:r>
            <w:r w:rsidRPr="00B62318">
              <w:t>)</w:t>
            </w:r>
          </w:p>
        </w:tc>
      </w:tr>
    </w:tbl>
    <w:p w14:paraId="7BFBE17F" w14:textId="606B49B8" w:rsidR="00AC6722" w:rsidRPr="00B62318" w:rsidRDefault="00AC6722" w:rsidP="00AC6722">
      <w:r w:rsidRPr="00B62318">
        <w:t xml:space="preserve">with </w:t>
      </w: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ρ</m:t>
                </m:r>
              </m:e>
            </m:acc>
          </m:e>
          <m:sub>
            <m:r>
              <w:rPr>
                <w:rFonts w:ascii="Cambria Math" w:hAnsi="Cambria Math"/>
              </w:rPr>
              <m:t>j</m:t>
            </m:r>
            <m:r>
              <m:rPr>
                <m:sty m:val="p"/>
              </m:rPr>
              <w:rPr>
                <w:rFonts w:ascii="Cambria Math" w:hAnsi="Cambria Math"/>
              </w:rPr>
              <m:t>,</m:t>
            </m:r>
            <m:r>
              <w:rPr>
                <w:rFonts w:ascii="Cambria Math" w:hAnsi="Cambria Math"/>
              </w:rPr>
              <m:t>t</m:t>
            </m:r>
            <m:r>
              <m:rPr>
                <m:sty m:val="p"/>
              </m:rPr>
              <w:rPr>
                <w:rFonts w:ascii="Cambria Math" w:hAnsi="Cambria Math"/>
              </w:rPr>
              <m:t>-1</m:t>
            </m:r>
          </m:sub>
          <m:sup>
            <m:d>
              <m:dPr>
                <m:ctrlPr>
                  <w:rPr>
                    <w:rFonts w:ascii="Cambria Math" w:hAnsi="Cambria Math"/>
                  </w:rPr>
                </m:ctrlPr>
              </m:dPr>
              <m:e>
                <m:r>
                  <w:rPr>
                    <w:rFonts w:ascii="Cambria Math" w:hAnsi="Cambria Math"/>
                  </w:rPr>
                  <m:t>s</m:t>
                </m:r>
              </m:e>
            </m:d>
          </m:sup>
        </m:sSubSup>
      </m:oMath>
      <w:r w:rsidRPr="00B62318">
        <w:rPr>
          <w:rFonts w:eastAsiaTheme="minorEastAsia"/>
        </w:rPr>
        <w:t xml:space="preserve"> </w:t>
      </w:r>
      <w:r w:rsidRPr="00B62318">
        <w:t xml:space="preserve">given by Equation </w:t>
      </w:r>
      <w:r w:rsidRPr="00B62318">
        <w:fldChar w:fldCharType="begin"/>
      </w:r>
      <w:r w:rsidRPr="00B62318">
        <w:instrText xml:space="preserve"> REF _Ref221023907 \h </w:instrText>
      </w:r>
      <w:r w:rsidRPr="00B62318">
        <w:fldChar w:fldCharType="separate"/>
      </w:r>
      <w:r w:rsidR="00364E4E" w:rsidRPr="00B62318">
        <w:t>(</w:t>
      </w:r>
      <w:r w:rsidR="00364E4E">
        <w:rPr>
          <w:noProof/>
        </w:rPr>
        <w:t>12</w:t>
      </w:r>
      <w:r w:rsidR="00364E4E" w:rsidRPr="00B62318">
        <w:t>)</w:t>
      </w:r>
      <w:r w:rsidRPr="00B62318">
        <w:fldChar w:fldCharType="end"/>
      </w:r>
      <w:r w:rsidRPr="00B62318">
        <w:t xml:space="preserve"> when neighborhood information exists and by </w:t>
      </w:r>
      <m:oMath>
        <m:sSub>
          <m:sSubPr>
            <m:ctrlPr>
              <w:rPr>
                <w:rFonts w:ascii="Cambria Math" w:hAnsi="Cambria Math"/>
              </w:rPr>
            </m:ctrlPr>
          </m:sSubPr>
          <m:e>
            <m:r>
              <w:rPr>
                <w:rFonts w:ascii="Cambria Math" w:hAnsi="Cambria Math"/>
              </w:rPr>
              <m:t>ρ</m:t>
            </m:r>
          </m:e>
          <m:sub>
            <m:r>
              <m:rPr>
                <m:sty m:val="p"/>
              </m:rPr>
              <w:rPr>
                <w:rFonts w:ascii="Cambria Math" w:hAnsi="Cambria Math"/>
              </w:rPr>
              <m:t>0</m:t>
            </m:r>
          </m:sub>
        </m:sSub>
      </m:oMath>
      <w:r w:rsidRPr="00B62318">
        <w:rPr>
          <w:rFonts w:eastAsiaTheme="minorEastAsia"/>
        </w:rPr>
        <w:t xml:space="preserve"> </w:t>
      </w:r>
      <w:r w:rsidRPr="00B62318">
        <w:t xml:space="preserve">otherwise. After each update, </w:t>
      </w:r>
      <m:oMath>
        <m:sSubSup>
          <m:sSubSupPr>
            <m:ctrlPr>
              <w:rPr>
                <w:rFonts w:ascii="Cambria Math" w:hAnsi="Cambria Math"/>
              </w:rPr>
            </m:ctrlPr>
          </m:sSubSupPr>
          <m:e>
            <m:r>
              <w:rPr>
                <w:rFonts w:ascii="Cambria Math" w:hAnsi="Cambria Math"/>
              </w:rPr>
              <m:t>b</m:t>
            </m:r>
          </m:e>
          <m:sub>
            <m:r>
              <w:rPr>
                <w:rFonts w:ascii="Cambria Math" w:hAnsi="Cambria Math"/>
              </w:rPr>
              <m:t>j</m:t>
            </m:r>
            <m:r>
              <m:rPr>
                <m:sty m:val="p"/>
              </m:rP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s</m:t>
                </m:r>
              </m:e>
            </m:d>
          </m:sup>
        </m:sSubSup>
      </m:oMath>
      <w:r w:rsidRPr="00B62318">
        <w:rPr>
          <w:rFonts w:eastAsiaTheme="minorEastAsia"/>
        </w:rPr>
        <w:t xml:space="preserve"> </w:t>
      </w:r>
      <w:r w:rsidRPr="00B62318">
        <w:t xml:space="preserve">is bounded to [0, 1] and the constraint </w:t>
      </w:r>
      <m:oMath>
        <m:sSubSup>
          <m:sSubSupPr>
            <m:ctrlPr>
              <w:rPr>
                <w:rFonts w:ascii="Cambria Math" w:hAnsi="Cambria Math"/>
              </w:rPr>
            </m:ctrlPr>
          </m:sSubSupPr>
          <m:e>
            <m:r>
              <w:rPr>
                <w:rFonts w:ascii="Cambria Math" w:hAnsi="Cambria Math"/>
              </w:rPr>
              <m:t>b</m:t>
            </m:r>
          </m:e>
          <m:sub>
            <m:r>
              <w:rPr>
                <w:rFonts w:ascii="Cambria Math" w:hAnsi="Cambria Math"/>
              </w:rPr>
              <m:t>j</m:t>
            </m:r>
            <m:r>
              <m:rPr>
                <m:sty m:val="p"/>
              </m:rP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s</m:t>
                </m:r>
              </m:e>
            </m:d>
          </m:sup>
        </m:sSubSup>
        <m:r>
          <m:rPr>
            <m:sty m:val="p"/>
          </m:rPr>
          <w:rPr>
            <w:rFonts w:ascii="Cambria Math" w:hAnsi="Cambria Math"/>
          </w:rPr>
          <m:t>≤</m:t>
        </m:r>
        <m:sSubSup>
          <m:sSubSupPr>
            <m:ctrlPr>
              <w:rPr>
                <w:rFonts w:ascii="Cambria Math" w:hAnsi="Cambria Math"/>
              </w:rPr>
            </m:ctrlPr>
          </m:sSubSupPr>
          <m:e>
            <m:r>
              <w:rPr>
                <w:rFonts w:ascii="Cambria Math" w:hAnsi="Cambria Math"/>
              </w:rPr>
              <m:t>u</m:t>
            </m:r>
          </m:e>
          <m:sub>
            <m:r>
              <w:rPr>
                <w:rFonts w:ascii="Cambria Math" w:hAnsi="Cambria Math"/>
              </w:rPr>
              <m:t>j</m:t>
            </m:r>
            <m:r>
              <m:rPr>
                <m:sty m:val="p"/>
              </m:rP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s</m:t>
                </m:r>
              </m:e>
            </m:d>
          </m:sup>
        </m:sSubSup>
      </m:oMath>
      <w:r w:rsidRPr="00B62318">
        <w:rPr>
          <w:rFonts w:eastAsiaTheme="minorEastAsia"/>
        </w:rPr>
        <w:t xml:space="preserve"> </w:t>
      </w:r>
      <w:r w:rsidRPr="00B62318">
        <w:t>is enforced.</w:t>
      </w:r>
    </w:p>
    <w:p w14:paraId="0906BAED" w14:textId="77777777" w:rsidR="00AC6722" w:rsidRPr="00B62318" w:rsidRDefault="00AC6722" w:rsidP="00AC6722">
      <w:r w:rsidRPr="00B62318">
        <w:t xml:space="preserve">The procedure is applied independently under SSP1, SSP2, and SSP5, ensuring that pathway specific differences in building footprints arise solely from differences in the downscaled built-up land trajectories. For transparency, we record diagnostic metadata at each decade indicating whether </w:t>
      </w:r>
      <m:oMath>
        <m:sSubSup>
          <m:sSubSupPr>
            <m:ctrlPr>
              <w:rPr>
                <w:rFonts w:ascii="Cambria Math" w:hAnsi="Cambria Math"/>
              </w:rPr>
            </m:ctrlPr>
          </m:sSubSupPr>
          <m:e>
            <m:r>
              <w:rPr>
                <w:rFonts w:ascii="Cambria Math" w:hAnsi="Cambria Math"/>
              </w:rPr>
              <m:t>b</m:t>
            </m:r>
          </m:e>
          <m:sub>
            <m:r>
              <w:rPr>
                <w:rFonts w:ascii="Cambria Math" w:hAnsi="Cambria Math"/>
              </w:rPr>
              <m:t>j</m:t>
            </m:r>
            <m:r>
              <m:rPr>
                <m:sty m:val="p"/>
              </m:rPr>
              <w:rPr>
                <w:rFonts w:ascii="Cambria Math" w:hAnsi="Cambria Math"/>
              </w:rPr>
              <m:t>,</m:t>
            </m:r>
            <m:r>
              <w:rPr>
                <w:rFonts w:ascii="Cambria Math" w:hAnsi="Cambria Math"/>
              </w:rPr>
              <m:t>t</m:t>
            </m:r>
          </m:sub>
          <m:sup>
            <m:d>
              <m:dPr>
                <m:ctrlPr>
                  <w:rPr>
                    <w:rFonts w:ascii="Cambria Math" w:hAnsi="Cambria Math"/>
                  </w:rPr>
                </m:ctrlPr>
              </m:dPr>
              <m:e>
                <m:r>
                  <w:rPr>
                    <w:rFonts w:ascii="Cambria Math" w:hAnsi="Cambria Math"/>
                  </w:rPr>
                  <m:t>s</m:t>
                </m:r>
              </m:e>
            </m:d>
          </m:sup>
        </m:sSubSup>
      </m:oMath>
      <w:r w:rsidRPr="00B62318">
        <w:rPr>
          <w:rFonts w:eastAsiaTheme="minorEastAsia"/>
        </w:rPr>
        <w:t xml:space="preserve"> </w:t>
      </w:r>
      <w:r w:rsidRPr="00B62318">
        <w:t>was carried forward, derived from the microcell’s own density, inferred from neighborhood density, or assigned using the default density, together with the neighborhood radius used for inference. These diagnostics support auditing of when footprint estimates rely on local history versus spatial borrowing during newly developing phases.</w:t>
      </w:r>
    </w:p>
    <w:p w14:paraId="1E36DDC3" w14:textId="77777777" w:rsidR="00587F3C" w:rsidRPr="00B62318" w:rsidRDefault="00587F3C" w:rsidP="00587F3C">
      <w:pPr>
        <w:pStyle w:val="Heading3"/>
      </w:pPr>
      <w:r w:rsidRPr="00B62318">
        <w:t xml:space="preserve">Downscaling and </w:t>
      </w:r>
      <w:proofErr w:type="spellStart"/>
      <w:r w:rsidRPr="00B62318">
        <w:t>ensembling</w:t>
      </w:r>
      <w:proofErr w:type="spellEnd"/>
      <w:r w:rsidRPr="00B62318">
        <w:t xml:space="preserve"> climate projections</w:t>
      </w:r>
    </w:p>
    <w:p w14:paraId="7A843A61" w14:textId="77777777" w:rsidR="00AC6722" w:rsidRPr="00B62318" w:rsidRDefault="00AC6722" w:rsidP="00AC6722">
      <w:r w:rsidRPr="00B62318">
        <w:t>Daily maximum near-surface air temperature projections, tasmax, are downscaled from gridded CMIP6 application-ready datasets to the microcell scale and subsequently combined into multi-model ensemble estimates. The procedure preserves the native daily temporal resolution of the climate projections while providing spatially explicit temperature time-series for each microcell in the study area.</w:t>
      </w:r>
    </w:p>
    <w:p w14:paraId="3DC0821E" w14:textId="77777777" w:rsidR="00AC6722" w:rsidRPr="00B62318" w:rsidRDefault="00AC6722" w:rsidP="00AC6722">
      <w:r w:rsidRPr="00B62318">
        <w:t xml:space="preserve">Projected tasmax values are provided at an approximate spatial resolution of 5 km. To assign these projections to microcells, we adopt a centroid-based nearest-neighbor sampling approach. Each microcell is represented by its geometric centroid, and daily temperature values are assigned by selecting the tasmax value from the nearest climate grid cell to that centroid for each day. Formally, for microcell </w:t>
      </w:r>
      <m:oMath>
        <m:r>
          <w:rPr>
            <w:rFonts w:ascii="Cambria Math" w:hAnsi="Cambria Math"/>
          </w:rPr>
          <m:t>j</m:t>
        </m:r>
      </m:oMath>
      <w:r w:rsidRPr="00B62318">
        <w:rPr>
          <w:rFonts w:eastAsiaTheme="minorEastAsia"/>
        </w:rPr>
        <w:t xml:space="preserve"> </w:t>
      </w:r>
      <w:r w:rsidRPr="00B62318">
        <w:t xml:space="preserve">and day </w:t>
      </w:r>
      <m:oMath>
        <m:r>
          <w:rPr>
            <w:rFonts w:ascii="Cambria Math" w:hAnsi="Cambria Math"/>
          </w:rPr>
          <m:t>d</m:t>
        </m:r>
      </m:oMath>
      <w:r w:rsidRPr="00B62318">
        <w:t>, the assigned temperature is given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0AADA270" w14:textId="77777777" w:rsidTr="00BC3A4C">
        <w:tc>
          <w:tcPr>
            <w:tcW w:w="625" w:type="dxa"/>
          </w:tcPr>
          <w:p w14:paraId="1D4C7B83" w14:textId="77777777" w:rsidR="00AC6722" w:rsidRPr="00B62318" w:rsidRDefault="00AC6722" w:rsidP="00F438D9"/>
        </w:tc>
        <w:tc>
          <w:tcPr>
            <w:tcW w:w="7740" w:type="dxa"/>
            <w:vAlign w:val="center"/>
          </w:tcPr>
          <w:p w14:paraId="1A2B166D" w14:textId="77777777" w:rsidR="00AC6722" w:rsidRPr="00B62318" w:rsidRDefault="00DE782A" w:rsidP="00F438D9">
            <w:pPr>
              <w:jc w:val="center"/>
            </w:pPr>
            <m:oMathPara>
              <m:oMath>
                <m:sSub>
                  <m:sSubPr>
                    <m:ctrlPr>
                      <w:rPr>
                        <w:rFonts w:ascii="Cambria Math" w:hAnsi="Cambria Math"/>
                      </w:rPr>
                    </m:ctrlPr>
                  </m:sSubPr>
                  <m:e>
                    <m:r>
                      <w:rPr>
                        <w:rFonts w:ascii="Cambria Math" w:hAnsi="Cambria Math"/>
                      </w:rPr>
                      <m:t>T</m:t>
                    </m:r>
                  </m:e>
                  <m:sub>
                    <m:r>
                      <w:rPr>
                        <w:rFonts w:ascii="Cambria Math" w:hAnsi="Cambria Math"/>
                      </w:rPr>
                      <m:t>j</m:t>
                    </m:r>
                    <m:r>
                      <w:rPr>
                        <w:rFonts w:ascii="Cambria Math" w:hAnsi="Cambria Math"/>
                      </w:rPr>
                      <m:t>,</m:t>
                    </m:r>
                    <m:r>
                      <w:rPr>
                        <w:rFonts w:ascii="Cambria Math" w:hAnsi="Cambria Math"/>
                      </w:rPr>
                      <m:t>d</m:t>
                    </m:r>
                  </m:sub>
                </m:sSub>
                <m:r>
                  <w:rPr>
                    <w:rFonts w:ascii="Cambria Math" w:hAnsi="Cambria Math"/>
                  </w:rPr>
                  <m:t>=</m:t>
                </m:r>
                <m:sSub>
                  <m:sSubPr>
                    <m:ctrlPr>
                      <w:rPr>
                        <w:rFonts w:ascii="Cambria Math" w:hAnsi="Cambria Math"/>
                      </w:rPr>
                    </m:ctrlPr>
                  </m:sSubPr>
                  <m:e>
                    <m:r>
                      <m:rPr>
                        <m:nor/>
                      </m:rPr>
                      <m:t>tasmax</m:t>
                    </m:r>
                  </m:e>
                  <m:sub>
                    <m:r>
                      <m:rPr>
                        <m:nor/>
                      </m:rPr>
                      <m:t>nearest</m:t>
                    </m:r>
                  </m:sub>
                </m:sSub>
                <m:r>
                  <w:rPr>
                    <w:rFonts w:ascii="Cambria Math" w:hAnsi="Cambria Math"/>
                  </w:rPr>
                  <m:t>(</m:t>
                </m:r>
                <m:r>
                  <w:rPr>
                    <w:rFonts w:ascii="Cambria Math" w:hAnsi="Cambria Math"/>
                  </w:rPr>
                  <m:t>j</m:t>
                </m:r>
                <m:r>
                  <w:rPr>
                    <w:rFonts w:ascii="Cambria Math" w:hAnsi="Cambria Math"/>
                  </w:rPr>
                  <m:t>,</m:t>
                </m:r>
                <m:r>
                  <w:rPr>
                    <w:rFonts w:ascii="Cambria Math" w:hAnsi="Cambria Math"/>
                  </w:rPr>
                  <m:t>d</m:t>
                </m:r>
                <m:r>
                  <w:rPr>
                    <w:rFonts w:ascii="Cambria Math" w:hAnsi="Cambria Math"/>
                  </w:rPr>
                  <m:t>),</m:t>
                </m:r>
              </m:oMath>
            </m:oMathPara>
          </w:p>
        </w:tc>
        <w:tc>
          <w:tcPr>
            <w:tcW w:w="697" w:type="dxa"/>
            <w:vAlign w:val="center"/>
          </w:tcPr>
          <w:p w14:paraId="0208122B" w14:textId="5DB75CB8"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14</w:t>
            </w:r>
            <w:r w:rsidRPr="00B62318">
              <w:fldChar w:fldCharType="end"/>
            </w:r>
            <w:r w:rsidRPr="00B62318">
              <w:t>)</w:t>
            </w:r>
          </w:p>
        </w:tc>
      </w:tr>
    </w:tbl>
    <w:p w14:paraId="423D599D" w14:textId="77777777" w:rsidR="00AC6722" w:rsidRPr="00B62318" w:rsidRDefault="00AC6722" w:rsidP="00AC6722">
      <w:r w:rsidRPr="00B62318">
        <w:t xml:space="preserve">where </w:t>
      </w:r>
      <m:oMath>
        <m:sSub>
          <m:sSubPr>
            <m:ctrlPr>
              <w:rPr>
                <w:rFonts w:ascii="Cambria Math" w:hAnsi="Cambria Math"/>
              </w:rPr>
            </m:ctrlPr>
          </m:sSubPr>
          <m:e>
            <m:r>
              <m:rPr>
                <m:nor/>
              </m:rPr>
              <m:t>tasmax</m:t>
            </m:r>
          </m:e>
          <m:sub>
            <m:r>
              <m:rPr>
                <m:nor/>
              </m:rPr>
              <m:t>nearest</m:t>
            </m:r>
          </m:sub>
        </m:sSub>
      </m:oMath>
      <w:r w:rsidRPr="00B62318">
        <w:rPr>
          <w:rFonts w:eastAsiaTheme="minorEastAsia"/>
        </w:rPr>
        <w:t xml:space="preserve"> </w:t>
      </w:r>
      <w:r w:rsidRPr="00B62318">
        <w:t xml:space="preserve">denotes the daily maximum temperature of the climate grid cell closest to the centroid of microcell </w:t>
      </w:r>
      <m:oMath>
        <m:r>
          <w:rPr>
            <w:rFonts w:ascii="Cambria Math" w:hAnsi="Cambria Math"/>
          </w:rPr>
          <m:t>j</m:t>
        </m:r>
      </m:oMath>
      <w:r w:rsidRPr="00B62318">
        <w:t>. No spatial interpolation or sub-grid averaging is applied. Consequently, microcells located within the same climate grid cell receive identical daily temperature values, and no artificial spatial variability is introduced beyond that resolved by the climate data. This procedure is applied independently for each climate model, emissions pathway, and target year, producing model-specific daily temperature time-series at the microcell level.</w:t>
      </w:r>
    </w:p>
    <w:p w14:paraId="46A3ABF9" w14:textId="77777777" w:rsidR="00AC6722" w:rsidRPr="00B62318" w:rsidRDefault="00AC6722" w:rsidP="00AC6722">
      <w:r w:rsidRPr="00B62318">
        <w:t xml:space="preserve">To characterize uncertainty across climate responses, we construct a multi-model ensemble using eight CMIP6 global climate models. For each emissions pathway and target year, daily tasmax projections from all models are combined at the microcell level, producing model-aligned daily temperature time-series for each spatial unit. For subsequent modelling, we use only the ensemble mean of daily maximum temperature. This ensemble mean is aggregated across all days in a given year to obtain a single annual average daily maximum temperature for each microcell, emissions pathway, and target year. </w:t>
      </w:r>
    </w:p>
    <w:p w14:paraId="1009591C" w14:textId="372A65EB" w:rsidR="00AC6722" w:rsidRPr="00B62318" w:rsidRDefault="00AC6722" w:rsidP="00AC6722">
      <w:pPr>
        <w:pStyle w:val="Heading2"/>
      </w:pPr>
      <w:r w:rsidRPr="00B62318">
        <w:t xml:space="preserve"> Adaptation </w:t>
      </w:r>
      <w:r w:rsidR="00FC67A5">
        <w:t>regime</w:t>
      </w:r>
      <w:r w:rsidRPr="00B62318">
        <w:t xml:space="preserve"> design</w:t>
      </w:r>
    </w:p>
    <w:p w14:paraId="51AC3EFE" w14:textId="0FD9624A" w:rsidR="00AC6722" w:rsidRPr="00B62318" w:rsidRDefault="00AC6722" w:rsidP="00AC6722">
      <w:r w:rsidRPr="00B62318">
        <w:t xml:space="preserve">We adopt a structured experimental design that separates exogenous future conditions from endogenous procedural choices, and further distinguishes between normative prioritization, allocation </w:t>
      </w:r>
      <w:r w:rsidR="007734E3">
        <w:t>timeline</w:t>
      </w:r>
      <w:r w:rsidRPr="00B62318">
        <w:t xml:space="preserve">, and budget availability. This separation is essential for identifying when and how lock-ins emerge, and for avoiding conflation between uncertainty, values, and policy intervention. In the </w:t>
      </w:r>
      <w:r w:rsidR="00FC67A5">
        <w:t>regime</w:t>
      </w:r>
      <w:r w:rsidRPr="00B62318">
        <w:t xml:space="preserve"> framework, SSP–RCP scenarios define external conditions that shape the decision space for adaptation, rather than choices that can be revised or </w:t>
      </w:r>
      <w:r w:rsidR="00076106">
        <w:t>shifted</w:t>
      </w:r>
      <w:r w:rsidRPr="00B62318">
        <w:t xml:space="preserve"> by local decision makers. Justice principles, allocation </w:t>
      </w:r>
      <w:r w:rsidR="007734E3" w:rsidRPr="007734E3">
        <w:t>timelines</w:t>
      </w:r>
      <w:r w:rsidRPr="00B62318">
        <w:t>, and total canopy budgets, by contrast, represent policy constraints on budget availability that structure how adaptation unfolds within those external conditions.</w:t>
      </w:r>
    </w:p>
    <w:p w14:paraId="57F97C79" w14:textId="77777777" w:rsidR="00AC6722" w:rsidRPr="00B62318" w:rsidRDefault="00AC6722" w:rsidP="00AC6722">
      <w:pPr>
        <w:pStyle w:val="Heading3"/>
      </w:pPr>
      <w:r w:rsidRPr="00B62318">
        <w:t>Exogenous futures and constrained decision spaces</w:t>
      </w:r>
    </w:p>
    <w:p w14:paraId="192924DF" w14:textId="77777777" w:rsidR="00AC6722" w:rsidRPr="00B62318" w:rsidRDefault="00AC6722" w:rsidP="00AC6722">
      <w:r w:rsidRPr="00B62318">
        <w:t>We represent future climate and urban development conditions using three coupled SSP–RCP scenarios: SSP1–2.6, SSP2–4.5, and SSP5–8.5. These scenarios jointly determine two time-varying constraints on adaptation. First, they determine trajectories of urban land development, which are downscaled to the microcell level and translated into projected building footprint fractions. As built-up land expands, the feasible space for tree canopy contracts, and previously established canopy may be lost when built expansion exceeds local capacity. These changes directly affect the maximum attainable canopy fraction in each microcell at each decade. Second, SSP–RCP scenarios determine projected heat exposure through decadal estimates of annual mean daily maximum near-surface air temperature. These projections do not influence feasibility directly, but they condition priority under the prioritarian justice principle by identifying which neighborhoods are most exposed to heat at each decision point.</w:t>
      </w:r>
    </w:p>
    <w:p w14:paraId="5A783C9A" w14:textId="77777777" w:rsidR="00AC6722" w:rsidRPr="00B62318" w:rsidRDefault="00AC6722" w:rsidP="00AC6722">
      <w:r w:rsidRPr="00B62318">
        <w:lastRenderedPageBreak/>
        <w:t>Crucially, SSP–RCP scenarios define exogenous trajectories of climate and urban development. They evolve independently of local adaptation actions and cannot be altered by reallocating canopy. Their role in the analysis is to progressively reshape the physical and climatic context within which adaptation decisions are made, thereby influencing the consequences and reversibility of those decisions. Lock-in is therefore not attributed to the choice of an SSP–RCP, but to how procedural decisions interact with the constraints those futures impose.</w:t>
      </w:r>
    </w:p>
    <w:p w14:paraId="51B9C59F" w14:textId="783BA518" w:rsidR="00AC6722" w:rsidRPr="00B62318" w:rsidRDefault="00AC6722" w:rsidP="00AC6722">
      <w:pPr>
        <w:pStyle w:val="Heading3"/>
      </w:pPr>
      <w:r w:rsidRPr="00B62318">
        <w:t xml:space="preserve">Procedural choices: justice principles and allocation </w:t>
      </w:r>
      <w:r w:rsidR="007734E3">
        <w:t>timelines</w:t>
      </w:r>
    </w:p>
    <w:p w14:paraId="5EDF5142" w14:textId="77777777" w:rsidR="00AC6722" w:rsidRPr="00B62318" w:rsidRDefault="00AC6722" w:rsidP="00AC6722">
      <w:r w:rsidRPr="00B62318">
        <w:t>Within each SSP–RCP scenario, we model adaptation as a sequence of decadal decisions about where and when to allocate tree canopy. Two distinct types of procedural choice structure this sequence.</w:t>
      </w:r>
    </w:p>
    <w:p w14:paraId="383D2B6A" w14:textId="77777777" w:rsidR="00AC6722" w:rsidRPr="00B62318" w:rsidRDefault="00AC6722" w:rsidP="00AC6722">
      <w:r w:rsidRPr="00B62318">
        <w:t>The first is normative prioritization, represented by three justice principles: utilitarian, sufficientarian, and prioritarian. These principles determine how available canopy resources are distributed across microcells within a given decade, conditional on the current state of the system and the remaining feasible capacity. Justice principles are held fixed within each model run, reflecting sustained normative commitments rather than ad hoc reallocations.</w:t>
      </w:r>
    </w:p>
    <w:p w14:paraId="1DB76491" w14:textId="53316E86" w:rsidR="00AC6722" w:rsidRPr="00B62318" w:rsidRDefault="00AC6722" w:rsidP="00AC6722">
      <w:r w:rsidRPr="00B62318">
        <w:t xml:space="preserve">The second is temporal sequencing, represented by alternative allocation </w:t>
      </w:r>
      <w:r w:rsidR="007734E3">
        <w:t xml:space="preserve">timelines </w:t>
      </w:r>
      <w:r w:rsidRPr="00B62318">
        <w:t xml:space="preserve">that determine how a fixed total canopy budget is distributed over time. We define four distinct allocation </w:t>
      </w:r>
      <w:r w:rsidR="007734E3">
        <w:t xml:space="preserve">timelines </w:t>
      </w:r>
      <w:r w:rsidRPr="00B62318">
        <w:t xml:space="preserve">that describe how the total available tree canopy is deployed across the planning horizon: a linear </w:t>
      </w:r>
      <w:r w:rsidR="007734E3">
        <w:t xml:space="preserve">timeline </w:t>
      </w:r>
      <w:r w:rsidRPr="00B62318">
        <w:t xml:space="preserve">with uniform allocation over time, an early-heavy </w:t>
      </w:r>
      <w:r w:rsidR="007734E3">
        <w:t xml:space="preserve">timeline </w:t>
      </w:r>
      <w:r w:rsidRPr="00B62318">
        <w:t xml:space="preserve">that front-loads allocation, a late-heavy </w:t>
      </w:r>
      <w:r w:rsidR="007734E3">
        <w:t xml:space="preserve">timeline </w:t>
      </w:r>
      <w:r w:rsidRPr="00B62318">
        <w:t xml:space="preserve">that defers allocation to later decades, and a mid-heavy </w:t>
      </w:r>
      <w:r w:rsidR="007734E3">
        <w:t xml:space="preserve">timeline </w:t>
      </w:r>
      <w:r w:rsidRPr="00B62318">
        <w:t xml:space="preserve">that concentrates allocation around mid-century </w:t>
      </w:r>
      <w:r w:rsidR="00E44DBD" w:rsidRPr="00E44DBD">
        <w:t xml:space="preserve">(Extended Data Fig. 2a). </w:t>
      </w:r>
      <w:r w:rsidRPr="00B62318">
        <w:t>We evaluate cumulative allocations at discrete decadal time points, reflecting the temporal resolution at which allocation outcomes are analyzed in this study and excluding intermediate years that are not explicitly assessed (</w:t>
      </w:r>
      <w:r w:rsidR="00497EED" w:rsidRPr="009B2EB4">
        <w:t>Extended Data Fig. 2</w:t>
      </w:r>
      <w:r w:rsidR="00497EED">
        <w:t>b</w:t>
      </w:r>
      <w:r w:rsidRPr="00B62318">
        <w:t xml:space="preserve">). Total budget availability varies across a wide range of cumulative levels, while maintaining the same </w:t>
      </w:r>
      <w:r w:rsidR="007734E3">
        <w:t xml:space="preserve">timeline </w:t>
      </w:r>
      <w:r w:rsidRPr="00B62318">
        <w:t>shapes. Once allocated, the canopy is assumed to persist in subsequent periods, so that cumulative allocation at any point reflects all prior allocations and the sequential structure of decisions over time.</w:t>
      </w:r>
    </w:p>
    <w:p w14:paraId="1F99C719" w14:textId="7B708641" w:rsidR="00AC6722" w:rsidRPr="00B62318" w:rsidRDefault="00AC6722" w:rsidP="00AC6722">
      <w:r w:rsidRPr="00B62318">
        <w:t xml:space="preserve">Each </w:t>
      </w:r>
      <w:r w:rsidR="007734E3">
        <w:t xml:space="preserve">timeline </w:t>
      </w:r>
      <w:r w:rsidRPr="00B62318">
        <w:t xml:space="preserve">specifies the timing of budget availability across decades, independent of where those resources are ultimately allocated. By separating allocation </w:t>
      </w:r>
      <w:r w:rsidR="007734E3">
        <w:t xml:space="preserve">timelines </w:t>
      </w:r>
      <w:r w:rsidRPr="00B62318">
        <w:t xml:space="preserve">from normative prioritization, we isolate the procedural effects of early versus delayed commitment while holding justice principles constant. Such distinction is central to the analysis of lock-in. Because canopy allocation is cumulative and subject to feasibility constraints that evolve over time, early allocations influence not only current outcomes but also the marginal effectiveness and feasibility of future allocations. Allocation </w:t>
      </w:r>
      <w:r w:rsidR="007734E3">
        <w:t xml:space="preserve">timelines </w:t>
      </w:r>
      <w:r w:rsidRPr="00B62318">
        <w:t>therefore govern when commitments are made and how rapidly the decision space contracts, even when later decision makers face the same justice principles and nominal budget availability.</w:t>
      </w:r>
    </w:p>
    <w:p w14:paraId="6977DB4D" w14:textId="7DCAB895" w:rsidR="00AC6722" w:rsidRPr="00B62318" w:rsidRDefault="00FC4767" w:rsidP="00AC6722">
      <w:pPr>
        <w:pStyle w:val="Heading3"/>
      </w:pPr>
      <w:r w:rsidRPr="00B62318">
        <w:lastRenderedPageBreak/>
        <w:t>B</w:t>
      </w:r>
      <w:r w:rsidR="00AC6722" w:rsidRPr="00B62318">
        <w:t>udget availability as an intervention constraint</w:t>
      </w:r>
    </w:p>
    <w:p w14:paraId="36251548" w14:textId="7BC9062B" w:rsidR="00AC6722" w:rsidRPr="00B62318" w:rsidRDefault="00AC6722" w:rsidP="00AC6722">
      <w:r w:rsidRPr="00B62318">
        <w:t xml:space="preserve">In addition to allocation </w:t>
      </w:r>
      <w:r w:rsidR="00A526A2">
        <w:t>timelines</w:t>
      </w:r>
      <w:r w:rsidRPr="00B62318">
        <w:t xml:space="preserve"> and prioritization, we vary the total cumulative canopy budget available by 2100 across a wide range of values, from 25 million to 4 billion square meters of tree canopy. Total budget represents a policy-relevant intervention parameter that constrains the upper bound of achievable canopy expansion over the planning horizon, but does not constitute a </w:t>
      </w:r>
      <w:r w:rsidR="005A0E15">
        <w:t>regime</w:t>
      </w:r>
      <w:r w:rsidRPr="00B62318">
        <w:t xml:space="preserve"> in itself. For a given </w:t>
      </w:r>
      <w:r w:rsidR="005A0E15">
        <w:t>regime</w:t>
      </w:r>
      <w:r w:rsidRPr="00B62318">
        <w:t xml:space="preserve"> shape, changing the total budget scales the magnitude of decadal allocations without altering their temporal profile (</w:t>
      </w:r>
      <w:r w:rsidR="00B31D00" w:rsidRPr="009B2EB4">
        <w:t>Extended Data Fig. 2</w:t>
      </w:r>
      <w:r w:rsidRPr="00B62318">
        <w:t>a).</w:t>
      </w:r>
    </w:p>
    <w:p w14:paraId="47AE2BBF" w14:textId="23C72193" w:rsidR="00AC6722" w:rsidRPr="00B62318" w:rsidRDefault="00AC6722" w:rsidP="00AC6722">
      <w:r w:rsidRPr="00B62318">
        <w:t xml:space="preserve">Varying total canopy budgets serves two purposes. Substantively, it allows us to examine adaptation outcomes under both resource scarcity and relative abundance. Analytically, it provides a critical test of procedural lock-in. If lock-in were driven solely by insufficient resources, increasing total budgets would eliminate or substantially weaken it. By contrast, persistence of lock-in effects across high-budget </w:t>
      </w:r>
      <w:r w:rsidR="000271CA">
        <w:t>regimes</w:t>
      </w:r>
      <w:r w:rsidRPr="00B62318">
        <w:t xml:space="preserve"> indicates that early procedural commitments, rather than scarcity alone, constrain future choices.</w:t>
      </w:r>
    </w:p>
    <w:p w14:paraId="7FD107E3" w14:textId="77777777" w:rsidR="00AC6722" w:rsidRPr="00B62318" w:rsidRDefault="00AC6722" w:rsidP="00AC6722">
      <w:pPr>
        <w:pStyle w:val="Heading3"/>
      </w:pPr>
      <w:r w:rsidRPr="00B62318">
        <w:t>Sequential implementation and experimental design</w:t>
      </w:r>
    </w:p>
    <w:p w14:paraId="112896F0" w14:textId="56BC86A3" w:rsidR="00AC6722" w:rsidRPr="00B62318" w:rsidRDefault="00AC6722" w:rsidP="00AC6722">
      <w:r w:rsidRPr="00B62318">
        <w:t xml:space="preserve">Each model run is defined by a unique combination of SSP–RCP scenario, justice principle, allocation </w:t>
      </w:r>
      <w:r w:rsidR="007734E3">
        <w:t>timeline</w:t>
      </w:r>
      <w:r w:rsidRPr="00B62318">
        <w:t xml:space="preserve">, and total canopy budget. Starting from observed baseline canopy conditions in 2020, the system is updated sequentially at decadal decision points (2040, 2050, 2060, 2070, 2080, 2090, and 2100; </w:t>
      </w:r>
      <w:r w:rsidR="00B31D00" w:rsidRPr="009B2EB4">
        <w:t>Extended Data Fig. 2</w:t>
      </w:r>
      <w:r w:rsidRPr="00B62318">
        <w:t>b). At the beginning of each decade, feasible canopy bounds are updated based on projected building footprints and land-use-specific canopy limits, and any forced canopy losses are applied. The decade-specific canopy budget is then allocated according to the selected justice principle, yielding the canopy state carried forward to the next decision point.</w:t>
      </w:r>
    </w:p>
    <w:p w14:paraId="5D33383F" w14:textId="0811A0BD" w:rsidR="00AC6722" w:rsidRPr="00B62318" w:rsidRDefault="00AC6722" w:rsidP="00AC6722">
      <w:r w:rsidRPr="00B62318">
        <w:t xml:space="preserve">All runs share identical spatial units, feasibility constraints, and state update rules. Differences in outcomes therefore arise solely from differences in exogenous futures, normative prioritization, allocation </w:t>
      </w:r>
      <w:r w:rsidR="007734E3">
        <w:t>timeline</w:t>
      </w:r>
      <w:r w:rsidRPr="00B62318">
        <w:t xml:space="preserve">, and budget availability. This factorial design enables direct comparison of adaptation </w:t>
      </w:r>
      <w:r w:rsidR="000271CA">
        <w:t xml:space="preserve">regimes </w:t>
      </w:r>
      <w:r w:rsidRPr="00B62318">
        <w:t xml:space="preserve"> with identical cumulative resources but different sequencing, and of justice principles operating under identical external conditions. Lock-in is identified not as an assumed property of any single </w:t>
      </w:r>
      <w:r w:rsidR="00C939FC">
        <w:t>regime</w:t>
      </w:r>
      <w:r w:rsidRPr="00B62318">
        <w:t>, but as an emergent feature of sequential decision making under evolving constraints.</w:t>
      </w:r>
    </w:p>
    <w:p w14:paraId="75301CC2" w14:textId="77777777" w:rsidR="002442C0" w:rsidRPr="00B62318" w:rsidRDefault="002442C0" w:rsidP="002442C0">
      <w:pPr>
        <w:pStyle w:val="Heading2"/>
      </w:pPr>
      <w:r w:rsidRPr="00B62318">
        <w:t>Operationalization of justice theories</w:t>
      </w:r>
    </w:p>
    <w:p w14:paraId="0A11059D" w14:textId="77777777" w:rsidR="00AC6722" w:rsidRPr="00B62318" w:rsidRDefault="00AC6722" w:rsidP="00AC6722">
      <w:r w:rsidRPr="00B62318">
        <w:t>We operationalize three justice principles for allocating tree canopy, including utilitarian, sufficientarian, and prioritarian, within a common analytical framework. All three logics operate over the same spatial units, state variables, feasibility constraints, and temporal updating structure, and differ only in the rule used to prioritize allocations across microcells. This shared structure enables direct comparison of justice logics without confounding differences in physical constraints or system dynamics.</w:t>
      </w:r>
    </w:p>
    <w:p w14:paraId="4A110118" w14:textId="77777777" w:rsidR="00AC6722" w:rsidRPr="00B62318" w:rsidRDefault="00AC6722" w:rsidP="00AC6722">
      <w:r w:rsidRPr="00B62318">
        <w:lastRenderedPageBreak/>
        <w:t xml:space="preserve">Let microcells be indexed by </w:t>
      </w:r>
      <m:oMath>
        <m:r>
          <w:rPr>
            <w:rFonts w:ascii="Cambria Math" w:hAnsi="Cambria Math"/>
          </w:rPr>
          <m:t>j</m:t>
        </m:r>
      </m:oMath>
      <w:r w:rsidRPr="00B62318">
        <w:rPr>
          <w:rFonts w:eastAsiaTheme="minorEastAsia"/>
          <w:iCs/>
        </w:rPr>
        <w:t xml:space="preserve"> </w:t>
      </w:r>
      <w:r w:rsidRPr="00B62318">
        <w:t xml:space="preserve">and decadal time steps by </w:t>
      </w:r>
      <m:oMath>
        <m:r>
          <w:rPr>
            <w:rFonts w:ascii="Cambria Math" w:hAnsi="Cambria Math"/>
          </w:rPr>
          <m:t>t</m:t>
        </m:r>
      </m:oMath>
      <w:r w:rsidRPr="00B62318">
        <w:t xml:space="preserve">. Let </w:t>
      </w:r>
      <m:oMath>
        <m:sSub>
          <m:sSubPr>
            <m:ctrlPr>
              <w:rPr>
                <w:rFonts w:ascii="Cambria Math" w:hAnsi="Cambria Math"/>
              </w:rPr>
            </m:ctrlPr>
          </m:sSub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∈[0,1]</m:t>
        </m:r>
      </m:oMath>
      <w:r w:rsidRPr="00B62318">
        <w:rPr>
          <w:rFonts w:eastAsiaTheme="minorEastAsia"/>
        </w:rPr>
        <w:t xml:space="preserve"> </w:t>
      </w:r>
      <w:r w:rsidRPr="00B62318">
        <w:t xml:space="preserve">denote the tree canopy fraction in microcell </w:t>
      </w:r>
      <m:oMath>
        <m:r>
          <w:rPr>
            <w:rFonts w:ascii="Cambria Math" w:hAnsi="Cambria Math"/>
          </w:rPr>
          <m:t>j</m:t>
        </m:r>
      </m:oMath>
      <w:r w:rsidRPr="00B62318">
        <w:rPr>
          <w:rFonts w:eastAsiaTheme="minorEastAsia"/>
          <w:iCs/>
        </w:rPr>
        <w:t xml:space="preserve"> </w:t>
      </w:r>
      <w:r w:rsidRPr="00B62318">
        <w:t xml:space="preserve">at the beginning of decade </w:t>
      </w:r>
      <m:oMath>
        <m:r>
          <w:rPr>
            <w:rFonts w:ascii="Cambria Math" w:hAnsi="Cambria Math"/>
          </w:rPr>
          <m:t>t</m:t>
        </m:r>
      </m:oMath>
      <w:r w:rsidRPr="00B62318">
        <w:t xml:space="preserve">, </w:t>
      </w:r>
      <m:oMath>
        <m:sSub>
          <m:sSubPr>
            <m:ctrlPr>
              <w:rPr>
                <w:rFonts w:ascii="Cambria Math" w:hAnsi="Cambria Math"/>
              </w:rPr>
            </m:ctrlPr>
          </m:sSubPr>
          <m:e>
            <m:r>
              <w:rPr>
                <w:rFonts w:ascii="Cambria Math" w:hAnsi="Cambria Math"/>
              </w:rPr>
              <m:t>A</m:t>
            </m:r>
          </m:e>
          <m:sub>
            <m:r>
              <w:rPr>
                <w:rFonts w:ascii="Cambria Math" w:hAnsi="Cambria Math"/>
              </w:rPr>
              <m:t>j</m:t>
            </m:r>
          </m:sub>
        </m:sSub>
      </m:oMath>
      <w:r w:rsidRPr="00B62318">
        <w:rPr>
          <w:rFonts w:eastAsiaTheme="minorEastAsia"/>
        </w:rPr>
        <w:t xml:space="preserve"> </w:t>
      </w:r>
      <w:r w:rsidRPr="00B62318">
        <w:t xml:space="preserve">denote microcell area, and </w:t>
      </w:r>
      <m:oMath>
        <m:sSub>
          <m:sSubPr>
            <m:ctrlPr>
              <w:rPr>
                <w:rFonts w:ascii="Cambria Math" w:hAnsi="Cambria Math"/>
              </w:rPr>
            </m:ctrlPr>
          </m:sSubPr>
          <m:e>
            <m:r>
              <w:rPr>
                <w:rFonts w:ascii="Cambria Math" w:hAnsi="Cambria Math"/>
              </w:rPr>
              <m:t>b</m:t>
            </m:r>
          </m:e>
          <m:sub>
            <m:r>
              <w:rPr>
                <w:rFonts w:ascii="Cambria Math" w:hAnsi="Cambria Math"/>
              </w:rPr>
              <m:t>j</m:t>
            </m:r>
            <m:r>
              <m:rPr>
                <m:sty m:val="p"/>
              </m:rPr>
              <w:rPr>
                <w:rFonts w:ascii="Cambria Math" w:hAnsi="Cambria Math"/>
              </w:rPr>
              <m:t>,</m:t>
            </m:r>
            <m:r>
              <w:rPr>
                <w:rFonts w:ascii="Cambria Math" w:hAnsi="Cambria Math"/>
              </w:rPr>
              <m:t>t</m:t>
            </m:r>
          </m:sub>
        </m:sSub>
      </m:oMath>
      <w:r w:rsidRPr="00B62318">
        <w:rPr>
          <w:rFonts w:eastAsiaTheme="minorEastAsia"/>
        </w:rPr>
        <w:t xml:space="preserve"> </w:t>
      </w:r>
      <w:r w:rsidRPr="00B62318">
        <w:t xml:space="preserve">denote the building footprint fraction. Canopy allocation is subject to biophysical and land-use constraints common to all justice logics. Canopy cannot exceed available non-built land, given by </w:t>
      </w:r>
      <m:oMath>
        <m:r>
          <m:rPr>
            <m:sty m:val="p"/>
          </m:rPr>
          <w:rPr>
            <w:rFonts w:ascii="Cambria Math" w:hAnsi="Cambria Math"/>
          </w:rPr>
          <m:t>1-</m:t>
        </m:r>
        <m:sSub>
          <m:sSubPr>
            <m:ctrlPr>
              <w:rPr>
                <w:rFonts w:ascii="Cambria Math" w:hAnsi="Cambria Math"/>
              </w:rPr>
            </m:ctrlPr>
          </m:sSubPr>
          <m:e>
            <m:r>
              <w:rPr>
                <w:rFonts w:ascii="Cambria Math" w:hAnsi="Cambria Math"/>
              </w:rPr>
              <m:t>b</m:t>
            </m:r>
          </m:e>
          <m:sub>
            <m:r>
              <w:rPr>
                <w:rFonts w:ascii="Cambria Math" w:hAnsi="Cambria Math"/>
              </w:rPr>
              <m:t>j</m:t>
            </m:r>
            <m:r>
              <m:rPr>
                <m:sty m:val="p"/>
              </m:rPr>
              <w:rPr>
                <w:rFonts w:ascii="Cambria Math" w:hAnsi="Cambria Math"/>
              </w:rPr>
              <m:t>,</m:t>
            </m:r>
            <m:r>
              <w:rPr>
                <w:rFonts w:ascii="Cambria Math" w:hAnsi="Cambria Math"/>
              </w:rPr>
              <m:t>t</m:t>
            </m:r>
          </m:sub>
        </m:sSub>
      </m:oMath>
      <w:r w:rsidRPr="00B62318">
        <w:t xml:space="preserve">, and is further constrained by land-use-specific structural limits. Each microcell is assigned a dominant land-use category, and the maximum observed baseline canopy fraction in 2020 within that category defines an empirical upper bound </w:t>
      </w:r>
      <m:oMath>
        <m:sSub>
          <m:sSubPr>
            <m:ctrlPr>
              <w:rPr>
                <w:rFonts w:ascii="Cambria Math" w:hAnsi="Cambria Math"/>
              </w:rPr>
            </m:ctrlPr>
          </m:sSubPr>
          <m:e>
            <m:r>
              <w:rPr>
                <w:rFonts w:ascii="Cambria Math" w:hAnsi="Cambria Math"/>
              </w:rPr>
              <m:t>m</m:t>
            </m:r>
          </m:e>
          <m:sub>
            <m:r>
              <w:rPr>
                <w:rFonts w:ascii="Cambria Math" w:hAnsi="Cambria Math"/>
              </w:rPr>
              <m:t>j</m:t>
            </m:r>
          </m:sub>
        </m:sSub>
      </m:oMath>
      <w:r w:rsidRPr="00B62318">
        <w:t xml:space="preserve">. The feasible canopy fraction at time </w:t>
      </w:r>
      <m:oMath>
        <m:r>
          <w:rPr>
            <w:rFonts w:ascii="Cambria Math" w:hAnsi="Cambria Math"/>
          </w:rPr>
          <m:t>t</m:t>
        </m:r>
      </m:oMath>
      <w:r w:rsidRPr="00B62318">
        <w:rPr>
          <w:rFonts w:eastAsiaTheme="minorEastAsia"/>
          <w:iCs/>
        </w:rPr>
        <w:t xml:space="preserve"> </w:t>
      </w:r>
      <w:r w:rsidRPr="00B62318">
        <w:t>is therefore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546B795B" w14:textId="77777777" w:rsidTr="00847F2D">
        <w:tc>
          <w:tcPr>
            <w:tcW w:w="625" w:type="dxa"/>
          </w:tcPr>
          <w:p w14:paraId="0963E43E" w14:textId="77777777" w:rsidR="00AC6722" w:rsidRPr="00B62318" w:rsidRDefault="00AC6722" w:rsidP="00F438D9"/>
        </w:tc>
        <w:tc>
          <w:tcPr>
            <w:tcW w:w="7740" w:type="dxa"/>
            <w:vAlign w:val="center"/>
          </w:tcPr>
          <w:p w14:paraId="5837CEED" w14:textId="77777777" w:rsidR="00AC6722" w:rsidRPr="00B62318" w:rsidRDefault="00DE782A" w:rsidP="00F438D9">
            <w:pPr>
              <w:jc w:val="center"/>
            </w:pPr>
            <m:oMathPara>
              <m:oMath>
                <m:sSub>
                  <m:sSubPr>
                    <m:ctrlPr>
                      <w:rPr>
                        <w:rFonts w:ascii="Cambria Math" w:hAnsi="Cambria Math"/>
                      </w:rPr>
                    </m:ctrlPr>
                  </m:sSubPr>
                  <m:e>
                    <m:acc>
                      <m:accPr>
                        <m:chr m:val="ˉ"/>
                        <m:ctrlPr>
                          <w:rPr>
                            <w:rFonts w:ascii="Cambria Math" w:hAnsi="Cambria Math"/>
                          </w:rPr>
                        </m:ctrlPr>
                      </m:accPr>
                      <m:e>
                        <m:r>
                          <w:rPr>
                            <w:rFonts w:ascii="Cambria Math" w:hAnsi="Cambria Math"/>
                          </w:rPr>
                          <m:t>c</m:t>
                        </m:r>
                      </m:e>
                    </m:acc>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=min⁡</m:t>
                </m:r>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b</m:t>
                        </m:r>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m:t>
                    </m:r>
                    <m:r>
                      <m:rPr>
                        <m:nor/>
                      </m:rPr>
                      <m:t>  </m:t>
                    </m:r>
                    <m:sSub>
                      <m:sSubPr>
                        <m:ctrlPr>
                          <w:rPr>
                            <w:rFonts w:ascii="Cambria Math" w:hAnsi="Cambria Math"/>
                          </w:rPr>
                        </m:ctrlPr>
                      </m:sSubPr>
                      <m:e>
                        <m:r>
                          <w:rPr>
                            <w:rFonts w:ascii="Cambria Math" w:hAnsi="Cambria Math"/>
                          </w:rPr>
                          <m:t>m</m:t>
                        </m:r>
                      </m:e>
                      <m:sub>
                        <m:r>
                          <w:rPr>
                            <w:rFonts w:ascii="Cambria Math" w:hAnsi="Cambria Math"/>
                          </w:rPr>
                          <m:t>j</m:t>
                        </m:r>
                      </m:sub>
                    </m:sSub>
                  </m:e>
                </m:d>
                <m:r>
                  <m:rPr>
                    <m:sty m:val="p"/>
                  </m:rPr>
                  <w:rPr>
                    <w:rFonts w:ascii="Cambria Math" w:hAnsi="Cambria Math"/>
                  </w:rPr>
                  <m:t>.</m:t>
                </m:r>
              </m:oMath>
            </m:oMathPara>
          </w:p>
        </w:tc>
        <w:tc>
          <w:tcPr>
            <w:tcW w:w="697" w:type="dxa"/>
            <w:vAlign w:val="center"/>
          </w:tcPr>
          <w:p w14:paraId="700A40F9" w14:textId="4207BCD7" w:rsidR="00AC6722" w:rsidRPr="00B62318" w:rsidRDefault="00AC6722" w:rsidP="00F438D9">
            <w:pPr>
              <w:jc w:val="right"/>
            </w:pPr>
            <w:bookmarkStart w:id="2" w:name="_Ref221790440"/>
            <w:r w:rsidRPr="00B62318">
              <w:t>(</w:t>
            </w:r>
            <w:r w:rsidRPr="00B62318">
              <w:fldChar w:fldCharType="begin"/>
            </w:r>
            <w:r w:rsidRPr="00B62318">
              <w:instrText xml:space="preserve"> SEQ Equation \* ARABIC </w:instrText>
            </w:r>
            <w:r w:rsidRPr="00B62318">
              <w:fldChar w:fldCharType="separate"/>
            </w:r>
            <w:r w:rsidR="00364E4E">
              <w:rPr>
                <w:noProof/>
              </w:rPr>
              <w:t>15</w:t>
            </w:r>
            <w:r w:rsidRPr="00B62318">
              <w:fldChar w:fldCharType="end"/>
            </w:r>
            <w:r w:rsidRPr="00B62318">
              <w:t>)</w:t>
            </w:r>
            <w:bookmarkEnd w:id="2"/>
          </w:p>
        </w:tc>
      </w:tr>
    </w:tbl>
    <w:p w14:paraId="3A1B7D4A" w14:textId="77777777" w:rsidR="00AC6722" w:rsidRPr="00B62318" w:rsidRDefault="00AC6722" w:rsidP="00AC6722">
      <w:r w:rsidRPr="00B62318">
        <w:t xml:space="preserve">If existing canopy exceeds this bound due to </w:t>
      </w:r>
      <w:proofErr w:type="spellStart"/>
      <w:r w:rsidRPr="00B62318">
        <w:t>built</w:t>
      </w:r>
      <w:proofErr w:type="spellEnd"/>
      <w:r w:rsidRPr="00B62318">
        <w:t xml:space="preserve"> expansion, canopy loss is enforced prior to allocation. Let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4ACFB58F" w14:textId="77777777" w:rsidTr="00847F2D">
        <w:tc>
          <w:tcPr>
            <w:tcW w:w="625" w:type="dxa"/>
          </w:tcPr>
          <w:p w14:paraId="4BA24292" w14:textId="77777777" w:rsidR="00AC6722" w:rsidRPr="00B62318" w:rsidRDefault="00AC6722" w:rsidP="00F438D9"/>
        </w:tc>
        <w:tc>
          <w:tcPr>
            <w:tcW w:w="7740" w:type="dxa"/>
            <w:vAlign w:val="center"/>
          </w:tcPr>
          <w:p w14:paraId="2AE0A7D8" w14:textId="77777777" w:rsidR="00AC6722" w:rsidRPr="00B62318" w:rsidRDefault="00DE782A" w:rsidP="00F438D9">
            <w:pPr>
              <w:jc w:val="center"/>
            </w:pPr>
            <m:oMathPara>
              <m:oMath>
                <m:sSubSup>
                  <m:sSubSupPr>
                    <m:ctrlPr>
                      <w:rPr>
                        <w:rFonts w:ascii="Cambria Math" w:hAnsi="Cambria Math"/>
                      </w:rPr>
                    </m:ctrlPr>
                  </m:sSubSup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up>
                    <m:r>
                      <m:rPr>
                        <m:sty m:val="p"/>
                      </m:rPr>
                      <w:rPr>
                        <w:rFonts w:ascii="Cambria Math" w:hAnsi="Cambria Math"/>
                      </w:rPr>
                      <m:t>0</m:t>
                    </m:r>
                  </m:sup>
                </m:sSubSup>
                <m:r>
                  <m:rPr>
                    <m:sty m:val="p"/>
                  </m:rPr>
                  <w:rPr>
                    <w:rFonts w:ascii="Cambria Math" w:hAnsi="Cambria Math"/>
                  </w:rPr>
                  <m:t>=min⁡</m:t>
                </m:r>
                <m:d>
                  <m:dPr>
                    <m:sepChr m:val=","/>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Sub>
                  </m:e>
                  <m:e>
                    <m:r>
                      <m:rPr>
                        <m:nor/>
                      </m:rPr>
                      <m:t> </m:t>
                    </m:r>
                    <m:sSub>
                      <m:sSubPr>
                        <m:ctrlPr>
                          <w:rPr>
                            <w:rFonts w:ascii="Cambria Math" w:hAnsi="Cambria Math"/>
                          </w:rPr>
                        </m:ctrlPr>
                      </m:sSubPr>
                      <m:e>
                        <m:acc>
                          <m:accPr>
                            <m:chr m:val="ˉ"/>
                            <m:ctrlPr>
                              <w:rPr>
                                <w:rFonts w:ascii="Cambria Math" w:hAnsi="Cambria Math"/>
                              </w:rPr>
                            </m:ctrlPr>
                          </m:accPr>
                          <m:e>
                            <m:r>
                              <w:rPr>
                                <w:rFonts w:ascii="Cambria Math" w:hAnsi="Cambria Math"/>
                              </w:rPr>
                              <m:t>c</m:t>
                            </m:r>
                          </m:e>
                        </m:acc>
                      </m:e>
                      <m:sub>
                        <m:r>
                          <w:rPr>
                            <w:rFonts w:ascii="Cambria Math" w:hAnsi="Cambria Math"/>
                          </w:rPr>
                          <m:t>j</m:t>
                        </m:r>
                        <m:r>
                          <m:rPr>
                            <m:sty m:val="p"/>
                          </m:rPr>
                          <w:rPr>
                            <w:rFonts w:ascii="Cambria Math" w:hAnsi="Cambria Math"/>
                          </w:rPr>
                          <m:t>,</m:t>
                        </m:r>
                        <m:r>
                          <w:rPr>
                            <w:rFonts w:ascii="Cambria Math" w:hAnsi="Cambria Math"/>
                          </w:rPr>
                          <m:t>t</m:t>
                        </m:r>
                      </m:sub>
                    </m:sSub>
                  </m:e>
                </m:d>
              </m:oMath>
            </m:oMathPara>
          </w:p>
        </w:tc>
        <w:tc>
          <w:tcPr>
            <w:tcW w:w="697" w:type="dxa"/>
            <w:vAlign w:val="center"/>
          </w:tcPr>
          <w:p w14:paraId="0793C3EB" w14:textId="279AE285" w:rsidR="00AC6722" w:rsidRPr="00B62318" w:rsidRDefault="00AC6722" w:rsidP="00F438D9">
            <w:pPr>
              <w:jc w:val="right"/>
            </w:pPr>
            <w:bookmarkStart w:id="3" w:name="_Ref221790482"/>
            <w:r w:rsidRPr="00B62318">
              <w:t>(</w:t>
            </w:r>
            <w:r w:rsidRPr="00B62318">
              <w:fldChar w:fldCharType="begin"/>
            </w:r>
            <w:r w:rsidRPr="00B62318">
              <w:instrText xml:space="preserve"> SEQ Equation \* ARABIC </w:instrText>
            </w:r>
            <w:r w:rsidRPr="00B62318">
              <w:fldChar w:fldCharType="separate"/>
            </w:r>
            <w:r w:rsidR="00364E4E">
              <w:rPr>
                <w:noProof/>
              </w:rPr>
              <w:t>16</w:t>
            </w:r>
            <w:r w:rsidRPr="00B62318">
              <w:fldChar w:fldCharType="end"/>
            </w:r>
            <w:r w:rsidRPr="00B62318">
              <w:t>)</w:t>
            </w:r>
            <w:bookmarkEnd w:id="3"/>
          </w:p>
        </w:tc>
      </w:tr>
    </w:tbl>
    <w:p w14:paraId="1D7508B7" w14:textId="77777777" w:rsidR="00AC6722" w:rsidRPr="00B62318" w:rsidRDefault="00AC6722" w:rsidP="00AC6722">
      <w:r w:rsidRPr="00B62318">
        <w:t xml:space="preserve">denote the canopy fraction after any enforced loss. All allocations described below operate on </w:t>
      </w:r>
      <m:oMath>
        <m:sSubSup>
          <m:sSubSupPr>
            <m:ctrlPr>
              <w:rPr>
                <w:rFonts w:ascii="Cambria Math" w:hAnsi="Cambria Math"/>
              </w:rPr>
            </m:ctrlPr>
          </m:sSubSup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up>
            <m:r>
              <m:rPr>
                <m:sty m:val="p"/>
              </m:rPr>
              <w:rPr>
                <w:rFonts w:ascii="Cambria Math" w:hAnsi="Cambria Math"/>
              </w:rPr>
              <m:t>0</m:t>
            </m:r>
          </m:sup>
        </m:sSubSup>
      </m:oMath>
      <w:r w:rsidRPr="00B62318">
        <w:rPr>
          <w:rFonts w:eastAsiaTheme="minorEastAsia"/>
        </w:rPr>
        <w:t xml:space="preserve"> </w:t>
      </w:r>
      <w:r w:rsidRPr="00B62318">
        <w:t xml:space="preserve">and respect the remaining feasible capacity </w:t>
      </w:r>
      <m:oMath>
        <m:r>
          <m:rPr>
            <m:sty m:val="p"/>
          </m:rPr>
          <w:rPr>
            <w:rFonts w:ascii="Cambria Math" w:hAnsi="Cambria Math"/>
          </w:rPr>
          <m:t>(</m:t>
        </m:r>
        <m:sSub>
          <m:sSubPr>
            <m:ctrlPr>
              <w:rPr>
                <w:rFonts w:ascii="Cambria Math" w:hAnsi="Cambria Math"/>
              </w:rPr>
            </m:ctrlPr>
          </m:sSubPr>
          <m:e>
            <m:acc>
              <m:accPr>
                <m:chr m:val="ˉ"/>
                <m:ctrlPr>
                  <w:rPr>
                    <w:rFonts w:ascii="Cambria Math" w:hAnsi="Cambria Math"/>
                  </w:rPr>
                </m:ctrlPr>
              </m:accPr>
              <m:e>
                <m:r>
                  <w:rPr>
                    <w:rFonts w:ascii="Cambria Math" w:hAnsi="Cambria Math"/>
                  </w:rPr>
                  <m:t>c</m:t>
                </m:r>
              </m:e>
            </m:acc>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up>
            <m:r>
              <m:rPr>
                <m:sty m:val="p"/>
              </m:rPr>
              <w:rPr>
                <w:rFonts w:ascii="Cambria Math" w:hAnsi="Cambria Math"/>
              </w:rPr>
              <m:t>0</m:t>
            </m:r>
          </m:sup>
        </m:sSubSup>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j</m:t>
            </m:r>
          </m:sub>
        </m:sSub>
      </m:oMath>
      <w:r w:rsidRPr="00B62318">
        <w:t>.</w:t>
      </w:r>
    </w:p>
    <w:p w14:paraId="2DDC1F2F" w14:textId="77777777" w:rsidR="00AC6722" w:rsidRPr="00B62318" w:rsidRDefault="00AC6722" w:rsidP="00AC6722">
      <w:r w:rsidRPr="00B62318">
        <w:t xml:space="preserve">At each decade, a fixed canopy area budget </w:t>
      </w:r>
      <m:oMath>
        <m:sSub>
          <m:sSubPr>
            <m:ctrlPr>
              <w:rPr>
                <w:rFonts w:ascii="Cambria Math" w:hAnsi="Cambria Math"/>
              </w:rPr>
            </m:ctrlPr>
          </m:sSubPr>
          <m:e>
            <m:r>
              <w:rPr>
                <w:rFonts w:ascii="Cambria Math" w:hAnsi="Cambria Math"/>
              </w:rPr>
              <m:t>R</m:t>
            </m:r>
          </m:e>
          <m:sub>
            <m:r>
              <w:rPr>
                <w:rFonts w:ascii="Cambria Math" w:hAnsi="Cambria Math"/>
              </w:rPr>
              <m:t>t</m:t>
            </m:r>
          </m:sub>
        </m:sSub>
      </m:oMath>
      <w:r w:rsidRPr="00B62318">
        <w:rPr>
          <w:rFonts w:eastAsiaTheme="minorEastAsia"/>
        </w:rPr>
        <w:t xml:space="preserve"> </w:t>
      </w:r>
      <w:r w:rsidRPr="00B62318">
        <w:t xml:space="preserve">is available for allocation. Canopy added during decade </w:t>
      </w:r>
      <m:oMath>
        <m:r>
          <w:rPr>
            <w:rFonts w:ascii="Cambria Math" w:hAnsi="Cambria Math"/>
          </w:rPr>
          <m:t>t</m:t>
        </m:r>
      </m:oMath>
      <w:r w:rsidRPr="00B62318">
        <w:rPr>
          <w:rFonts w:eastAsiaTheme="minorEastAsia"/>
          <w:iCs/>
        </w:rPr>
        <w:t xml:space="preserve"> </w:t>
      </w:r>
      <w:r w:rsidRPr="00B62318">
        <w:t xml:space="preserve">is denoted </w:t>
      </w:r>
      <m:oMath>
        <m:r>
          <m:rPr>
            <m:sty m:val="p"/>
          </m:rPr>
          <w:rPr>
            <w:rFonts w:ascii="Cambria Math" w:hAnsi="Cambria Math"/>
          </w:rPr>
          <m:t>Δ</m:t>
        </m:r>
        <m:sSub>
          <m:sSubPr>
            <m:ctrlPr>
              <w:rPr>
                <w:rFonts w:ascii="Cambria Math" w:hAnsi="Cambria Math"/>
              </w:rPr>
            </m:ctrlPr>
          </m:sSub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Sub>
      </m:oMath>
      <w:r w:rsidRPr="00B62318">
        <w:t>, and canopy fractions are updated consistently across all justice logics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10120CFB" w14:textId="77777777" w:rsidTr="00847F2D">
        <w:tc>
          <w:tcPr>
            <w:tcW w:w="625" w:type="dxa"/>
          </w:tcPr>
          <w:p w14:paraId="70A52B95" w14:textId="77777777" w:rsidR="00AC6722" w:rsidRPr="00B62318" w:rsidRDefault="00AC6722" w:rsidP="00F438D9"/>
        </w:tc>
        <w:tc>
          <w:tcPr>
            <w:tcW w:w="7740" w:type="dxa"/>
            <w:vAlign w:val="center"/>
          </w:tcPr>
          <w:p w14:paraId="0B85E759" w14:textId="77777777" w:rsidR="00AC6722" w:rsidRPr="00B62318" w:rsidRDefault="00DE782A" w:rsidP="00F438D9">
            <w:pPr>
              <w:jc w:val="center"/>
            </w:pPr>
            <m:oMathPara>
              <m:oMath>
                <m:sSub>
                  <m:sSubPr>
                    <m:ctrlPr>
                      <w:rPr>
                        <w:rFonts w:ascii="Cambria Math" w:hAnsi="Cambria Math"/>
                      </w:rPr>
                    </m:ctrlPr>
                  </m:sSub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r>
                      <m:rPr>
                        <m:sty m:val="p"/>
                      </m:rPr>
                      <w:rPr>
                        <w:rFonts w:ascii="Cambria Math" w:hAnsi="Cambria Math"/>
                      </w:rPr>
                      <m:t>+1</m:t>
                    </m:r>
                  </m:sub>
                </m:sSub>
                <m:r>
                  <m:rPr>
                    <m:sty m:val="p"/>
                  </m:rP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up>
                    <m:r>
                      <m:rPr>
                        <m:sty m:val="p"/>
                      </m:rPr>
                      <w:rPr>
                        <w:rFonts w:ascii="Cambria Math" w:hAnsi="Cambria Math"/>
                      </w:rPr>
                      <m:t>0</m:t>
                    </m:r>
                  </m:sup>
                </m:sSubSup>
                <m:r>
                  <m:rPr>
                    <m:sty m:val="p"/>
                  </m:rPr>
                  <w:rPr>
                    <w:rFonts w:ascii="Cambria Math" w:hAnsi="Cambria Math"/>
                  </w:rPr>
                  <m:t>+Δ</m:t>
                </m:r>
                <m:sSub>
                  <m:sSubPr>
                    <m:ctrlPr>
                      <w:rPr>
                        <w:rFonts w:ascii="Cambria Math" w:hAnsi="Cambria Math"/>
                      </w:rPr>
                    </m:ctrlPr>
                  </m:sSub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m:t>
                </m:r>
              </m:oMath>
            </m:oMathPara>
          </w:p>
        </w:tc>
        <w:tc>
          <w:tcPr>
            <w:tcW w:w="697" w:type="dxa"/>
            <w:vAlign w:val="center"/>
          </w:tcPr>
          <w:p w14:paraId="2B08EA52" w14:textId="4F381DE5" w:rsidR="00AC6722" w:rsidRPr="00B62318" w:rsidRDefault="00AC6722" w:rsidP="00F438D9">
            <w:pPr>
              <w:jc w:val="right"/>
            </w:pPr>
            <w:bookmarkStart w:id="4" w:name="_Ref221793251"/>
            <w:r w:rsidRPr="00B62318">
              <w:t>(</w:t>
            </w:r>
            <w:r w:rsidRPr="00B62318">
              <w:fldChar w:fldCharType="begin"/>
            </w:r>
            <w:r w:rsidRPr="00B62318">
              <w:instrText xml:space="preserve"> SEQ Equation \* ARABIC </w:instrText>
            </w:r>
            <w:r w:rsidRPr="00B62318">
              <w:fldChar w:fldCharType="separate"/>
            </w:r>
            <w:r w:rsidR="00364E4E">
              <w:rPr>
                <w:noProof/>
              </w:rPr>
              <w:t>17</w:t>
            </w:r>
            <w:r w:rsidRPr="00B62318">
              <w:fldChar w:fldCharType="end"/>
            </w:r>
            <w:r w:rsidRPr="00B62318">
              <w:t>)</w:t>
            </w:r>
            <w:bookmarkEnd w:id="4"/>
          </w:p>
        </w:tc>
      </w:tr>
    </w:tbl>
    <w:p w14:paraId="1F88ADB6" w14:textId="77777777" w:rsidR="00AC6722" w:rsidRPr="00B62318" w:rsidRDefault="00AC6722" w:rsidP="00AC6722">
      <w:r w:rsidRPr="00B62318">
        <w:t>with the resulting distribution serving as the initial condition for the subsequent decade.</w:t>
      </w:r>
    </w:p>
    <w:p w14:paraId="597CDF41" w14:textId="77777777" w:rsidR="00AC6722" w:rsidRPr="00B62318" w:rsidRDefault="00AC6722" w:rsidP="00AC6722">
      <w:pPr>
        <w:pStyle w:val="Heading3"/>
        <w:rPr>
          <w:rFonts w:eastAsiaTheme="minorHAnsi"/>
        </w:rPr>
      </w:pPr>
      <w:r w:rsidRPr="00B62318">
        <w:t>U</w:t>
      </w:r>
      <w:r w:rsidRPr="00B62318">
        <w:rPr>
          <w:rFonts w:eastAsiaTheme="minorHAnsi"/>
        </w:rPr>
        <w:t xml:space="preserve">tilitarian </w:t>
      </w:r>
    </w:p>
    <w:p w14:paraId="268DAD09" w14:textId="77777777" w:rsidR="00AC6722" w:rsidRPr="00B62318" w:rsidRDefault="00AC6722" w:rsidP="00AC6722">
      <w:r w:rsidRPr="00B62318">
        <w:t>We operationalize utilitarian justice as an efficiency-based allocation principle in which canopy resources are distributed to maximize aggregate daytime cooling across the urban system. Under this interpretation, justice is defined in terms of total welfare: each unit of canopy is allocated to the location where it yields the greatest marginal reduction in daytime temperature anomaly per unit area, subject to the feasibility constraints defined above.</w:t>
      </w:r>
    </w:p>
    <w:p w14:paraId="243405BE" w14:textId="7C1E824C" w:rsidR="00AC6722" w:rsidRPr="00B62318" w:rsidRDefault="00AC6722" w:rsidP="00AC6722">
      <w:r w:rsidRPr="00B62318">
        <w:t xml:space="preserve">To represent marginal cooling benefits, we draw on the empirically estimated canopy–temperature relationship reported by </w:t>
      </w:r>
      <w:hyperlink w:anchor="_ENREF_13_73" w:tooltip="Ziter, 2019 #1070" w:history="1">
        <w:r w:rsidR="00673035" w:rsidRPr="00B62318">
          <w:fldChar w:fldCharType="begin"/>
        </w:r>
        <w:r w:rsidR="00673035" w:rsidRPr="00B62318">
          <w:instrText xml:space="preserve"> ADDIN EN.CITE &lt;EndNote&gt;&lt;Cite AuthorYear="1"&gt;&lt;Author&gt;Ziter&lt;/Author&gt;&lt;Year&gt;2019&lt;/Year&gt;&lt;RecNum&gt;1070&lt;/RecNum&gt;&lt;DisplayText&gt;Ziter et al. (2019)&lt;/DisplayText&gt;&lt;record&gt;&lt;rec-number&gt;1070&lt;/rec-number&gt;&lt;foreign-keys&gt;&lt;key app="EN" db-id="ssraawt0aw9azuedz5b5pfszez0twxsdzpz2" timestamp="1724112245"&gt;1070&lt;/key&gt;&lt;/foreign-keys&gt;&lt;ref-type name="Journal Article"&gt;17&lt;/ref-type&gt;&lt;contributors&gt;&lt;authors&gt;&lt;author&gt;Ziter, Carly D&lt;/author&gt;&lt;author&gt;Pedersen, Eric J&lt;/author&gt;&lt;author&gt;Kucharik, Christopher J&lt;/author&gt;&lt;author&gt;Turner, Monica G&lt;/author&gt;&lt;/authors&gt;&lt;/contributors&gt;&lt;titles&gt;&lt;title&gt;Scale-dependent interactions between tree canopy cover and impervious surfaces reduce daytime urban heat during summer&lt;/title&gt;&lt;secondary-title&gt;Proceedings of the National Academy of Sciences&lt;/secondary-title&gt;&lt;/titles&gt;&lt;periodical&gt;&lt;full-title&gt;Proceedings of the National Academy of Sciences&lt;/full-title&gt;&lt;/periodical&gt;&lt;pages&gt;7575-7580&lt;/pages&gt;&lt;volume&gt;116&lt;/volume&gt;&lt;number&gt;15&lt;/number&gt;&lt;dates&gt;&lt;year&gt;2019&lt;/year&gt;&lt;/dates&gt;&lt;isbn&gt;0027-8424&lt;/isbn&gt;&lt;urls&gt;&lt;/urls&gt;&lt;/record&gt;&lt;/Cite&gt;&lt;/EndNote&gt;</w:instrText>
        </w:r>
        <w:r w:rsidR="00673035" w:rsidRPr="00B62318">
          <w:fldChar w:fldCharType="separate"/>
        </w:r>
        <w:r w:rsidR="00673035" w:rsidRPr="00B62318">
          <w:rPr>
            <w:noProof/>
          </w:rPr>
          <w:t>Ziter et al. (2019)</w:t>
        </w:r>
        <w:r w:rsidR="00673035" w:rsidRPr="00B62318">
          <w:fldChar w:fldCharType="end"/>
        </w:r>
      </w:hyperlink>
      <w:r w:rsidRPr="00B62318">
        <w:t xml:space="preserve">, which quantifies nonlinear and scale-dependent interactions between tree canopy and daytime summer air temperature using mobile measurements in Madison, Wisconsin. We reproduce the reported 90 m neighborhood-scale response using the original data and model specification and extract the partial effect of canopy cover while holding other covariates constant. This yields a smooth empirical response </w:t>
      </w:r>
      <m:oMath>
        <m:acc>
          <m:accPr>
            <m:ctrlPr>
              <w:rPr>
                <w:rFonts w:ascii="Cambria Math" w:hAnsi="Cambria Math"/>
              </w:rPr>
            </m:ctrlPr>
          </m:accPr>
          <m:e>
            <m:r>
              <w:rPr>
                <w:rFonts w:ascii="Cambria Math" w:hAnsi="Cambria Math"/>
              </w:rPr>
              <m:t>f</m:t>
            </m:r>
          </m:e>
        </m:acc>
        <m:r>
          <m:rPr>
            <m:sty m:val="p"/>
          </m:rPr>
          <w:rPr>
            <w:rFonts w:ascii="Cambria Math" w:hAnsi="Cambria Math"/>
          </w:rPr>
          <m:t>(</m:t>
        </m:r>
        <m:r>
          <w:rPr>
            <w:rFonts w:ascii="Cambria Math" w:hAnsi="Cambria Math"/>
          </w:rPr>
          <m:t>c</m:t>
        </m:r>
        <m:r>
          <m:rPr>
            <m:sty m:val="p"/>
          </m:rPr>
          <w:rPr>
            <w:rFonts w:ascii="Cambria Math" w:hAnsi="Cambria Math"/>
          </w:rPr>
          <m:t>)</m:t>
        </m:r>
      </m:oMath>
      <w:r w:rsidRPr="00B62318">
        <w:rPr>
          <w:rFonts w:eastAsiaTheme="minorEastAsia"/>
        </w:rPr>
        <w:t xml:space="preserve"> </w:t>
      </w:r>
      <w:r w:rsidRPr="00B62318">
        <w:t xml:space="preserve">defined over canopy fractions </w:t>
      </w:r>
      <m:oMath>
        <m:r>
          <w:rPr>
            <w:rFonts w:ascii="Cambria Math" w:hAnsi="Cambria Math"/>
          </w:rPr>
          <m:t>c</m:t>
        </m:r>
        <m:r>
          <m:rPr>
            <m:sty m:val="p"/>
          </m:rPr>
          <w:rPr>
            <w:rFonts w:ascii="Cambria Math" w:hAnsi="Cambria Math"/>
          </w:rPr>
          <m:t>∈[0,1]</m:t>
        </m:r>
      </m:oMath>
      <w:r w:rsidRPr="00B62318">
        <w:t xml:space="preserve">, where more negative values indicate greater cooling. Because Madison and Greater Sydney differ in climate, vegetation composition, urban form, and background meteorology, we do not interpret this relationship as a transferable predictor of </w:t>
      </w:r>
      <w:r w:rsidRPr="00B62318">
        <w:lastRenderedPageBreak/>
        <w:t>absolute temperature change. Instead, the reproduced response is treated as an empirical summary of the nonlinear canopy–cooling relationship identified in that study and is used solely to rank relative marginal cooling benefits across locations with different baseline canopy levels.</w:t>
      </w:r>
    </w:p>
    <w:p w14:paraId="7ACD0AD5" w14:textId="77777777" w:rsidR="00AC6722" w:rsidRPr="00B62318" w:rsidRDefault="00AC6722" w:rsidP="00AC6722">
      <w:r w:rsidRPr="00B62318">
        <w:t xml:space="preserve">For numerical optimization, </w:t>
      </w:r>
      <m:oMath>
        <m:acc>
          <m:accPr>
            <m:ctrlPr>
              <w:rPr>
                <w:rFonts w:ascii="Cambria Math" w:hAnsi="Cambria Math"/>
              </w:rPr>
            </m:ctrlPr>
          </m:accPr>
          <m:e>
            <m:r>
              <w:rPr>
                <w:rFonts w:ascii="Cambria Math" w:hAnsi="Cambria Math"/>
              </w:rPr>
              <m:t>f</m:t>
            </m:r>
          </m:e>
        </m:acc>
        <m:r>
          <m:rPr>
            <m:sty m:val="p"/>
          </m:rPr>
          <w:rPr>
            <w:rFonts w:ascii="Cambria Math" w:hAnsi="Cambria Math"/>
          </w:rPr>
          <m:t>(</m:t>
        </m:r>
        <m:r>
          <w:rPr>
            <w:rFonts w:ascii="Cambria Math" w:hAnsi="Cambria Math"/>
          </w:rPr>
          <m:t>c</m:t>
        </m:r>
        <m:r>
          <m:rPr>
            <m:sty m:val="p"/>
          </m:rPr>
          <w:rPr>
            <w:rFonts w:ascii="Cambria Math" w:hAnsi="Cambria Math"/>
          </w:rPr>
          <m:t>)</m:t>
        </m:r>
      </m:oMath>
      <w:r w:rsidRPr="00B62318">
        <w:rPr>
          <w:rFonts w:eastAsiaTheme="minorEastAsia"/>
        </w:rPr>
        <w:t xml:space="preserve"> </w:t>
      </w:r>
      <w:r w:rsidRPr="00B62318">
        <w:t xml:space="preserve">is approximated by a low-dimensional polynomial surrogate. This approximation serves only as a numerical device that enables marginal cooling to be evaluated at arbitrary canopy fractions during optimization; its coefficients are not interpreted physically, and allocation outcomes do not depend on their exact values. To eliminate numerical artefacts introduced by polynomial fitting, we enforce a monotone non-increasing envelope on the fitted response. Let </w:t>
      </w:r>
      <m:oMath>
        <m:sSub>
          <m:sSubPr>
            <m:ctrlPr>
              <w:rPr>
                <w:rFonts w:ascii="Cambria Math" w:hAnsi="Cambria Math"/>
              </w:rPr>
            </m:ctrlPr>
          </m:sSubPr>
          <m:e>
            <m:r>
              <w:rPr>
                <w:rFonts w:ascii="Cambria Math" w:hAnsi="Cambria Math"/>
              </w:rPr>
              <m:t>f</m:t>
            </m:r>
          </m:e>
          <m:sub>
            <m:r>
              <m:rPr>
                <m:sty m:val="p"/>
              </m:rPr>
              <w:rPr>
                <w:rFonts w:ascii="Cambria Math" w:hAnsi="Cambria Math"/>
              </w:rPr>
              <m:t>raw</m:t>
            </m:r>
          </m:sub>
        </m:sSub>
        <m:r>
          <w:rPr>
            <w:rFonts w:ascii="Cambria Math" w:hAnsi="Cambria Math"/>
          </w:rPr>
          <m:t>(c)</m:t>
        </m:r>
      </m:oMath>
      <w:r w:rsidRPr="00B62318">
        <w:rPr>
          <w:rFonts w:eastAsiaTheme="minorEastAsia"/>
        </w:rPr>
        <w:t xml:space="preserve"> </w:t>
      </w:r>
      <w:r w:rsidRPr="00B62318">
        <w:t xml:space="preserve">denote the polynomial approximation. Evaluated on a dense grid </w:t>
      </w:r>
      <m:oMath>
        <m:sSub>
          <m:sSubPr>
            <m:ctrlPr>
              <w:rPr>
                <w:rFonts w:ascii="Cambria Math" w:hAnsi="Cambria Math"/>
              </w:rPr>
            </m:ctrlPr>
          </m:sSubPr>
          <m:e>
            <m:r>
              <w:rPr>
                <w:rFonts w:ascii="Cambria Math" w:hAnsi="Cambria Math"/>
              </w:rPr>
              <m:t>c</m:t>
            </m:r>
          </m:e>
          <m:sub>
            <m:r>
              <w:rPr>
                <w:rFonts w:ascii="Cambria Math" w:hAnsi="Cambria Math"/>
              </w:rPr>
              <m:t>k</m:t>
            </m:r>
          </m:sub>
        </m:sSub>
        <m:r>
          <w:rPr>
            <w:rFonts w:ascii="Cambria Math" w:hAnsi="Cambria Math"/>
          </w:rPr>
          <m:t>∈[0,1]</m:t>
        </m:r>
      </m:oMath>
      <w:r w:rsidRPr="00B62318">
        <w:t>, the response used in optimization is defined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678383E1" w14:textId="77777777" w:rsidTr="00847F2D">
        <w:tc>
          <w:tcPr>
            <w:tcW w:w="625" w:type="dxa"/>
          </w:tcPr>
          <w:p w14:paraId="27259227" w14:textId="77777777" w:rsidR="00AC6722" w:rsidRPr="00B62318" w:rsidRDefault="00AC6722" w:rsidP="00F438D9"/>
        </w:tc>
        <w:tc>
          <w:tcPr>
            <w:tcW w:w="7740" w:type="dxa"/>
            <w:vAlign w:val="center"/>
          </w:tcPr>
          <w:p w14:paraId="6764B6E9" w14:textId="77777777" w:rsidR="00AC6722" w:rsidRPr="00B62318" w:rsidRDefault="00AC6722" w:rsidP="00F438D9">
            <w:pPr>
              <w:jc w:val="center"/>
            </w:pPr>
            <m:oMathPara>
              <m:oMath>
                <m:r>
                  <w:rPr>
                    <w:rFonts w:ascii="Cambria Math" w:hAnsi="Cambria Math"/>
                  </w:rPr>
                  <m:t>f(</m:t>
                </m:r>
                <m:sSub>
                  <m:sSubPr>
                    <m:ctrlPr>
                      <w:rPr>
                        <w:rFonts w:ascii="Cambria Math" w:hAnsi="Cambria Math"/>
                      </w:rPr>
                    </m:ctrlPr>
                  </m:sSubPr>
                  <m:e>
                    <m:r>
                      <w:rPr>
                        <w:rFonts w:ascii="Cambria Math" w:hAnsi="Cambria Math"/>
                      </w:rPr>
                      <m:t>c</m:t>
                    </m:r>
                  </m:e>
                  <m:sub>
                    <m:r>
                      <w:rPr>
                        <w:rFonts w:ascii="Cambria Math" w:hAnsi="Cambria Math"/>
                      </w:rPr>
                      <m:t>k</m:t>
                    </m:r>
                  </m:sub>
                </m:sSub>
                <m:r>
                  <w:rPr>
                    <w:rFonts w:ascii="Cambria Math" w:hAnsi="Cambria Math"/>
                  </w:rPr>
                  <m:t>)=</m:t>
                </m:r>
                <m:limLow>
                  <m:limLowPr>
                    <m:ctrlPr>
                      <w:rPr>
                        <w:rFonts w:ascii="Cambria Math" w:hAnsi="Cambria Math"/>
                      </w:rPr>
                    </m:ctrlPr>
                  </m:limLowPr>
                  <m:e>
                    <m:r>
                      <m:rPr>
                        <m:sty m:val="p"/>
                      </m:rPr>
                      <w:rPr>
                        <w:rFonts w:ascii="Cambria Math" w:hAnsi="Cambria Math"/>
                      </w:rPr>
                      <m:t>min</m:t>
                    </m:r>
                    <m:r>
                      <w:rPr>
                        <w:rFonts w:ascii="Cambria Math" w:hAnsi="Cambria Math"/>
                      </w:rPr>
                      <m:t>⁡</m:t>
                    </m:r>
                  </m:e>
                  <m:lim>
                    <m:r>
                      <w:rPr>
                        <w:rFonts w:ascii="Cambria Math" w:hAnsi="Cambria Math"/>
                      </w:rPr>
                      <m:t>0≤r≤k</m:t>
                    </m:r>
                  </m:lim>
                </m:limLow>
                <m:sSub>
                  <m:sSubPr>
                    <m:ctrlPr>
                      <w:rPr>
                        <w:rFonts w:ascii="Cambria Math" w:hAnsi="Cambria Math"/>
                      </w:rPr>
                    </m:ctrlPr>
                  </m:sSubPr>
                  <m:e>
                    <m:r>
                      <w:rPr>
                        <w:rFonts w:ascii="Cambria Math" w:hAnsi="Cambria Math"/>
                      </w:rPr>
                      <m:t>f</m:t>
                    </m:r>
                  </m:e>
                  <m:sub>
                    <m:r>
                      <m:rPr>
                        <m:sty m:val="p"/>
                      </m:rPr>
                      <w:rPr>
                        <w:rFonts w:ascii="Cambria Math" w:hAnsi="Cambria Math"/>
                      </w:rPr>
                      <m:t>raw</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r</m:t>
                    </m:r>
                  </m:sub>
                </m:sSub>
                <m:r>
                  <w:rPr>
                    <w:rFonts w:ascii="Cambria Math" w:hAnsi="Cambria Math"/>
                  </w:rPr>
                  <m:t>),</m:t>
                </m:r>
              </m:oMath>
            </m:oMathPara>
          </w:p>
        </w:tc>
        <w:tc>
          <w:tcPr>
            <w:tcW w:w="697" w:type="dxa"/>
            <w:vAlign w:val="center"/>
          </w:tcPr>
          <w:p w14:paraId="1DC9F332" w14:textId="4A1C3529"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18</w:t>
            </w:r>
            <w:r w:rsidRPr="00B62318">
              <w:fldChar w:fldCharType="end"/>
            </w:r>
            <w:r w:rsidRPr="00B62318">
              <w:t>)</w:t>
            </w:r>
          </w:p>
        </w:tc>
      </w:tr>
    </w:tbl>
    <w:p w14:paraId="3B6729DA" w14:textId="77777777" w:rsidR="00AC6722" w:rsidRPr="00B62318" w:rsidRDefault="00AC6722" w:rsidP="00AC6722">
      <w:r w:rsidRPr="00B62318">
        <w:t xml:space="preserve">with linear interpolation used for intermediate values. This construction ensures that increasing canopy fraction never increases the temperature anomaly score. The resulting function </w:t>
      </w:r>
      <m:oMath>
        <m:r>
          <w:rPr>
            <w:rFonts w:ascii="Cambria Math" w:hAnsi="Cambria Math"/>
          </w:rPr>
          <m:t>f(c)</m:t>
        </m:r>
      </m:oMath>
      <w:r w:rsidRPr="00B62318">
        <w:rPr>
          <w:rFonts w:eastAsiaTheme="minorEastAsia"/>
        </w:rPr>
        <w:t xml:space="preserve"> </w:t>
      </w:r>
      <w:r w:rsidRPr="00B62318">
        <w:t>is used only to evaluate relative cooling gains and is not interpreted as a transferable predictor of absolute temperature change.</w:t>
      </w:r>
    </w:p>
    <w:p w14:paraId="7FBD653C" w14:textId="77777777" w:rsidR="00AC6722" w:rsidRPr="00B62318" w:rsidRDefault="00AC6722" w:rsidP="00AC6722">
      <w:r w:rsidRPr="00B62318">
        <w:t xml:space="preserve">Given current feasible canopy levels, the total cooling gain available in microcell </w:t>
      </w:r>
      <m:oMath>
        <m:r>
          <w:rPr>
            <w:rFonts w:ascii="Cambria Math" w:hAnsi="Cambria Math"/>
          </w:rPr>
          <m:t>j</m:t>
        </m:r>
      </m:oMath>
      <w:r w:rsidRPr="00B62318">
        <w:rPr>
          <w:rFonts w:eastAsiaTheme="minorEastAsia"/>
          <w:iCs/>
        </w:rPr>
        <w:t xml:space="preserve"> </w:t>
      </w:r>
      <w:r w:rsidRPr="00B62318">
        <w:t>if filled to capacity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71987B35" w14:textId="77777777" w:rsidTr="00847F2D">
        <w:tc>
          <w:tcPr>
            <w:tcW w:w="625" w:type="dxa"/>
          </w:tcPr>
          <w:p w14:paraId="1FE1B538" w14:textId="77777777" w:rsidR="00AC6722" w:rsidRPr="00B62318" w:rsidRDefault="00AC6722" w:rsidP="00F438D9"/>
        </w:tc>
        <w:tc>
          <w:tcPr>
            <w:tcW w:w="7740" w:type="dxa"/>
            <w:vAlign w:val="center"/>
          </w:tcPr>
          <w:p w14:paraId="30F1FA17" w14:textId="77777777" w:rsidR="00AC6722" w:rsidRPr="00B62318" w:rsidRDefault="00DE782A" w:rsidP="00F438D9">
            <w:pPr>
              <w:jc w:val="center"/>
            </w:pPr>
            <m:oMathPara>
              <m:oMath>
                <m:sSubSup>
                  <m:sSubSupPr>
                    <m:ctrlPr>
                      <w:rPr>
                        <w:rFonts w:ascii="Cambria Math" w:hAnsi="Cambria Math"/>
                      </w:rPr>
                    </m:ctrlPr>
                  </m:sSubSupPr>
                  <m:e>
                    <m:r>
                      <w:rPr>
                        <w:rFonts w:ascii="Cambria Math" w:hAnsi="Cambria Math"/>
                      </w:rPr>
                      <m:t>G</m:t>
                    </m:r>
                  </m:e>
                  <m:sub>
                    <m:r>
                      <w:rPr>
                        <w:rFonts w:ascii="Cambria Math" w:hAnsi="Cambria Math"/>
                      </w:rPr>
                      <m:t>j</m:t>
                    </m:r>
                    <m:r>
                      <m:rPr>
                        <m:sty m:val="p"/>
                      </m:rPr>
                      <w:rPr>
                        <w:rFonts w:ascii="Cambria Math" w:hAnsi="Cambria Math"/>
                      </w:rPr>
                      <m:t>,</m:t>
                    </m:r>
                    <m:r>
                      <w:rPr>
                        <w:rFonts w:ascii="Cambria Math" w:hAnsi="Cambria Math"/>
                      </w:rPr>
                      <m:t>t</m:t>
                    </m:r>
                  </m:sub>
                  <m:sup>
                    <m:r>
                      <m:rPr>
                        <m:sty m:val="p"/>
                      </m:rPr>
                      <w:rPr>
                        <w:rFonts w:ascii="Cambria Math" w:hAnsi="Cambria Math"/>
                      </w:rPr>
                      <m:t>max</m:t>
                    </m:r>
                  </m:sup>
                </m:sSubSup>
                <m:r>
                  <m:rPr>
                    <m:sty m:val="p"/>
                  </m:rPr>
                  <w:rPr>
                    <w:rFonts w:ascii="Cambria Math" w:hAnsi="Cambria Math"/>
                  </w:rPr>
                  <m:t>=max⁡</m:t>
                </m:r>
                <m:d>
                  <m:dPr>
                    <m:ctrlPr>
                      <w:rPr>
                        <w:rFonts w:ascii="Cambria Math" w:hAnsi="Cambria Math"/>
                      </w:rPr>
                    </m:ctrlPr>
                  </m:dPr>
                  <m:e>
                    <m:r>
                      <m:rPr>
                        <m:sty m:val="p"/>
                      </m:rPr>
                      <w:rPr>
                        <w:rFonts w:ascii="Cambria Math" w:hAnsi="Cambria Math"/>
                      </w:rPr>
                      <m:t>0,</m:t>
                    </m:r>
                    <m:r>
                      <m:rPr>
                        <m:nor/>
                      </m:rPr>
                      <m:t> </m:t>
                    </m:r>
                    <m:r>
                      <w:rPr>
                        <w:rFonts w:ascii="Cambria Math" w:hAnsi="Cambria Math"/>
                      </w:rPr>
                      <m:t>f</m:t>
                    </m:r>
                    <m:r>
                      <m:rPr>
                        <m:sty m:val="p"/>
                      </m:rP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up>
                        <m:r>
                          <m:rPr>
                            <m:sty m:val="p"/>
                          </m:rPr>
                          <w:rPr>
                            <w:rFonts w:ascii="Cambria Math" w:hAnsi="Cambria Math"/>
                          </w:rPr>
                          <m:t>0</m:t>
                        </m:r>
                      </m:sup>
                    </m:sSubSup>
                    <m:r>
                      <m:rPr>
                        <m:sty m:val="p"/>
                      </m:rPr>
                      <w:rPr>
                        <w:rFonts w:ascii="Cambria Math" w:hAnsi="Cambria Math"/>
                      </w:rPr>
                      <m:t>)-</m:t>
                    </m:r>
                    <m:r>
                      <w:rPr>
                        <w:rFonts w:ascii="Cambria Math" w:hAnsi="Cambria Math"/>
                      </w:rPr>
                      <m:t>f</m:t>
                    </m:r>
                    <m:r>
                      <m:rPr>
                        <m:sty m:val="p"/>
                      </m:rPr>
                      <w:rPr>
                        <w:rFonts w:ascii="Cambria Math" w:hAnsi="Cambria Math"/>
                      </w:rPr>
                      <m:t>(</m:t>
                    </m:r>
                    <m:sSub>
                      <m:sSubPr>
                        <m:ctrlPr>
                          <w:rPr>
                            <w:rFonts w:ascii="Cambria Math" w:hAnsi="Cambria Math"/>
                          </w:rPr>
                        </m:ctrlPr>
                      </m:sSubPr>
                      <m:e>
                        <m:acc>
                          <m:accPr>
                            <m:chr m:val="ˉ"/>
                            <m:ctrlPr>
                              <w:rPr>
                                <w:rFonts w:ascii="Cambria Math" w:hAnsi="Cambria Math"/>
                              </w:rPr>
                            </m:ctrlPr>
                          </m:accPr>
                          <m:e>
                            <m:r>
                              <w:rPr>
                                <w:rFonts w:ascii="Cambria Math" w:hAnsi="Cambria Math"/>
                              </w:rPr>
                              <m:t>c</m:t>
                            </m:r>
                          </m:e>
                        </m:acc>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m:t>
                    </m:r>
                  </m:e>
                </m:d>
                <m:r>
                  <m:rPr>
                    <m:sty m:val="p"/>
                  </m:rPr>
                  <w:rPr>
                    <w:rFonts w:ascii="Cambria Math" w:hAnsi="Cambria Math"/>
                  </w:rPr>
                  <m:t>,</m:t>
                </m:r>
              </m:oMath>
            </m:oMathPara>
          </w:p>
        </w:tc>
        <w:tc>
          <w:tcPr>
            <w:tcW w:w="697" w:type="dxa"/>
            <w:vAlign w:val="center"/>
          </w:tcPr>
          <w:p w14:paraId="4E14088A" w14:textId="16E45CB1"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19</w:t>
            </w:r>
            <w:r w:rsidRPr="00B62318">
              <w:fldChar w:fldCharType="end"/>
            </w:r>
            <w:r w:rsidRPr="00B62318">
              <w:t>)</w:t>
            </w:r>
          </w:p>
        </w:tc>
      </w:tr>
    </w:tbl>
    <w:p w14:paraId="01BBA1BC" w14:textId="77777777" w:rsidR="00AC6722" w:rsidRPr="00B62318" w:rsidRDefault="00AC6722" w:rsidP="00AC6722">
      <w:r w:rsidRPr="00B62318">
        <w:t xml:space="preserve">and the remaining plantable canopy area is </w:t>
      </w:r>
      <m:oMath>
        <m:r>
          <m:rPr>
            <m:sty m:val="p"/>
          </m:rPr>
          <w:rPr>
            <w:rFonts w:ascii="Cambria Math" w:hAnsi="Cambria Math"/>
          </w:rPr>
          <m:t>(</m:t>
        </m:r>
        <m:sSub>
          <m:sSubPr>
            <m:ctrlPr>
              <w:rPr>
                <w:rFonts w:ascii="Cambria Math" w:hAnsi="Cambria Math"/>
              </w:rPr>
            </m:ctrlPr>
          </m:sSubPr>
          <m:e>
            <m:acc>
              <m:accPr>
                <m:chr m:val="ˉ"/>
                <m:ctrlPr>
                  <w:rPr>
                    <w:rFonts w:ascii="Cambria Math" w:hAnsi="Cambria Math"/>
                  </w:rPr>
                </m:ctrlPr>
              </m:accPr>
              <m:e>
                <m:r>
                  <w:rPr>
                    <w:rFonts w:ascii="Cambria Math" w:hAnsi="Cambria Math"/>
                  </w:rPr>
                  <m:t>c</m:t>
                </m:r>
              </m:e>
            </m:acc>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up>
            <m:r>
              <m:rPr>
                <m:sty m:val="p"/>
              </m:rPr>
              <w:rPr>
                <w:rFonts w:ascii="Cambria Math" w:hAnsi="Cambria Math"/>
              </w:rPr>
              <m:t>0</m:t>
            </m:r>
          </m:sup>
        </m:sSubSup>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j</m:t>
            </m:r>
          </m:sub>
        </m:sSub>
      </m:oMath>
      <w:r w:rsidRPr="00B62318">
        <w:t>. We define marginal cooling efficiency as cooling gain per unit canopy area,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3D5226CA" w14:textId="77777777" w:rsidTr="00847F2D">
        <w:tc>
          <w:tcPr>
            <w:tcW w:w="625" w:type="dxa"/>
          </w:tcPr>
          <w:p w14:paraId="163857FB" w14:textId="77777777" w:rsidR="00AC6722" w:rsidRPr="00B62318" w:rsidRDefault="00AC6722" w:rsidP="00F438D9"/>
        </w:tc>
        <w:tc>
          <w:tcPr>
            <w:tcW w:w="7740" w:type="dxa"/>
            <w:vAlign w:val="center"/>
          </w:tcPr>
          <w:p w14:paraId="0A93F1E2" w14:textId="77777777" w:rsidR="00AC6722" w:rsidRPr="00B62318" w:rsidRDefault="00DE782A" w:rsidP="00F438D9">
            <w:pPr>
              <w:jc w:val="center"/>
            </w:pPr>
            <m:oMathPara>
              <m:oMath>
                <m:sSub>
                  <m:sSubPr>
                    <m:ctrlPr>
                      <w:rPr>
                        <w:rFonts w:ascii="Cambria Math" w:hAnsi="Cambria Math"/>
                      </w:rPr>
                    </m:ctrlPr>
                  </m:sSubPr>
                  <m:e>
                    <m:r>
                      <w:rPr>
                        <w:rFonts w:ascii="Cambria Math" w:hAnsi="Cambria Math"/>
                      </w:rPr>
                      <m:t>e</m:t>
                    </m:r>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f>
                            <m:fPr>
                              <m:ctrlPr>
                                <w:rPr>
                                  <w:rFonts w:ascii="Cambria Math" w:hAnsi="Cambria Math"/>
                                </w:rPr>
                              </m:ctrlPr>
                            </m:fPr>
                            <m:num>
                              <m:sSubSup>
                                <m:sSubSupPr>
                                  <m:ctrlPr>
                                    <w:rPr>
                                      <w:rFonts w:ascii="Cambria Math" w:hAnsi="Cambria Math"/>
                                    </w:rPr>
                                  </m:ctrlPr>
                                </m:sSubSupPr>
                                <m:e>
                                  <m:r>
                                    <w:rPr>
                                      <w:rFonts w:ascii="Cambria Math" w:hAnsi="Cambria Math"/>
                                    </w:rPr>
                                    <m:t>G</m:t>
                                  </m:r>
                                </m:e>
                                <m:sub>
                                  <m:r>
                                    <w:rPr>
                                      <w:rFonts w:ascii="Cambria Math" w:hAnsi="Cambria Math"/>
                                    </w:rPr>
                                    <m:t>j</m:t>
                                  </m:r>
                                  <m:r>
                                    <m:rPr>
                                      <m:sty m:val="p"/>
                                    </m:rPr>
                                    <w:rPr>
                                      <w:rFonts w:ascii="Cambria Math" w:hAnsi="Cambria Math"/>
                                    </w:rPr>
                                    <m:t>,</m:t>
                                  </m:r>
                                  <m:r>
                                    <w:rPr>
                                      <w:rFonts w:ascii="Cambria Math" w:hAnsi="Cambria Math"/>
                                    </w:rPr>
                                    <m:t>t</m:t>
                                  </m:r>
                                </m:sub>
                                <m:sup>
                                  <m:r>
                                    <m:rPr>
                                      <m:sty m:val="p"/>
                                    </m:rPr>
                                    <w:rPr>
                                      <w:rFonts w:ascii="Cambria Math" w:hAnsi="Cambria Math"/>
                                    </w:rPr>
                                    <m:t>max</m:t>
                                  </m:r>
                                </m:sup>
                              </m:sSubSup>
                            </m:num>
                            <m:den>
                              <m:r>
                                <m:rPr>
                                  <m:sty m:val="p"/>
                                </m:rPr>
                                <w:rPr>
                                  <w:rFonts w:ascii="Cambria Math" w:hAnsi="Cambria Math"/>
                                </w:rPr>
                                <m:t>(</m:t>
                              </m:r>
                              <m:sSub>
                                <m:sSubPr>
                                  <m:ctrlPr>
                                    <w:rPr>
                                      <w:rFonts w:ascii="Cambria Math" w:hAnsi="Cambria Math"/>
                                    </w:rPr>
                                  </m:ctrlPr>
                                </m:sSubPr>
                                <m:e>
                                  <m:acc>
                                    <m:accPr>
                                      <m:chr m:val="ˉ"/>
                                      <m:ctrlPr>
                                        <w:rPr>
                                          <w:rFonts w:ascii="Cambria Math" w:hAnsi="Cambria Math"/>
                                        </w:rPr>
                                      </m:ctrlPr>
                                    </m:accPr>
                                    <m:e>
                                      <m:r>
                                        <w:rPr>
                                          <w:rFonts w:ascii="Cambria Math" w:hAnsi="Cambria Math"/>
                                        </w:rPr>
                                        <m:t>c</m:t>
                                      </m:r>
                                    </m:e>
                                  </m:acc>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up>
                                  <m:r>
                                    <m:rPr>
                                      <m:sty m:val="p"/>
                                    </m:rPr>
                                    <w:rPr>
                                      <w:rFonts w:ascii="Cambria Math" w:hAnsi="Cambria Math"/>
                                    </w:rPr>
                                    <m:t>0</m:t>
                                  </m:r>
                                </m:sup>
                              </m:sSubSup>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j</m:t>
                                  </m:r>
                                </m:sub>
                              </m:sSub>
                            </m:den>
                          </m:f>
                          <m:r>
                            <m:rPr>
                              <m:sty m:val="p"/>
                            </m:rPr>
                            <w:rPr>
                              <w:rFonts w:ascii="Cambria Math" w:hAnsi="Cambria Math"/>
                            </w:rPr>
                            <m:t>,</m:t>
                          </m:r>
                        </m:e>
                        <m:e>
                          <m:r>
                            <m:rPr>
                              <m:nor/>
                            </m:rPr>
                            <m:t xml:space="preserve">if </m:t>
                          </m:r>
                          <m:sSub>
                            <m:sSubPr>
                              <m:ctrlPr>
                                <w:rPr>
                                  <w:rFonts w:ascii="Cambria Math" w:hAnsi="Cambria Math"/>
                                </w:rPr>
                              </m:ctrlPr>
                            </m:sSubPr>
                            <m:e>
                              <m:acc>
                                <m:accPr>
                                  <m:chr m:val="ˉ"/>
                                  <m:ctrlPr>
                                    <w:rPr>
                                      <w:rFonts w:ascii="Cambria Math" w:hAnsi="Cambria Math"/>
                                    </w:rPr>
                                  </m:ctrlPr>
                                </m:accPr>
                                <m:e>
                                  <m:r>
                                    <w:rPr>
                                      <w:rFonts w:ascii="Cambria Math" w:hAnsi="Cambria Math"/>
                                    </w:rPr>
                                    <m:t>c</m:t>
                                  </m:r>
                                </m:e>
                              </m:acc>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&gt;</m:t>
                          </m:r>
                          <m:sSubSup>
                            <m:sSubSupPr>
                              <m:ctrlPr>
                                <w:rPr>
                                  <w:rFonts w:ascii="Cambria Math" w:hAnsi="Cambria Math"/>
                                </w:rPr>
                              </m:ctrlPr>
                            </m:sSubSup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up>
                              <m:r>
                                <m:rPr>
                                  <m:sty m:val="p"/>
                                </m:rPr>
                                <w:rPr>
                                  <w:rFonts w:ascii="Cambria Math" w:hAnsi="Cambria Math"/>
                                </w:rPr>
                                <m:t>0</m:t>
                              </m:r>
                            </m:sup>
                          </m:sSubSup>
                          <m:r>
                            <m:rPr>
                              <m:sty m:val="p"/>
                            </m:rPr>
                            <w:rPr>
                              <w:rFonts w:ascii="Cambria Math" w:hAnsi="Cambria Math"/>
                            </w:rPr>
                            <m:t>,</m:t>
                          </m:r>
                        </m:e>
                      </m:mr>
                      <m:mr>
                        <m:e>
                          <m:r>
                            <m:rPr>
                              <m:sty m:val="p"/>
                            </m:rPr>
                            <w:rPr>
                              <w:rFonts w:ascii="Cambria Math" w:hAnsi="Cambria Math"/>
                            </w:rPr>
                            <m:t>0,</m:t>
                          </m:r>
                        </m:e>
                        <m:e>
                          <m:r>
                            <m:rPr>
                              <m:nor/>
                            </m:rPr>
                            <m:t>otherwise</m:t>
                          </m:r>
                          <m:r>
                            <m:rPr>
                              <m:sty m:val="p"/>
                            </m:rPr>
                            <w:rPr>
                              <w:rFonts w:ascii="Cambria Math" w:hAnsi="Cambria Math"/>
                            </w:rPr>
                            <m:t>.</m:t>
                          </m:r>
                        </m:e>
                      </m:mr>
                    </m:m>
                  </m:e>
                </m:d>
              </m:oMath>
            </m:oMathPara>
          </w:p>
        </w:tc>
        <w:tc>
          <w:tcPr>
            <w:tcW w:w="697" w:type="dxa"/>
            <w:vAlign w:val="center"/>
          </w:tcPr>
          <w:p w14:paraId="68B33055" w14:textId="19762A22"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20</w:t>
            </w:r>
            <w:r w:rsidRPr="00B62318">
              <w:fldChar w:fldCharType="end"/>
            </w:r>
            <w:r w:rsidRPr="00B62318">
              <w:t>)</w:t>
            </w:r>
          </w:p>
        </w:tc>
      </w:tr>
    </w:tbl>
    <w:p w14:paraId="13A6DB2B" w14:textId="77777777" w:rsidR="00AC6722" w:rsidRPr="00B62318" w:rsidRDefault="00AC6722" w:rsidP="00AC6722">
      <w:r w:rsidRPr="00B62318">
        <w:t xml:space="preserve">Canopy is allocated greedily in descending order of </w:t>
      </w:r>
      <m:oMath>
        <m:sSub>
          <m:sSubPr>
            <m:ctrlPr>
              <w:rPr>
                <w:rFonts w:ascii="Cambria Math" w:hAnsi="Cambria Math"/>
              </w:rPr>
            </m:ctrlPr>
          </m:sSubPr>
          <m:e>
            <m:r>
              <w:rPr>
                <w:rFonts w:ascii="Cambria Math" w:hAnsi="Cambria Math"/>
              </w:rPr>
              <m:t>e</m:t>
            </m:r>
          </m:e>
          <m:sub>
            <m:r>
              <w:rPr>
                <w:rFonts w:ascii="Cambria Math" w:hAnsi="Cambria Math"/>
              </w:rPr>
              <m:t>j,t</m:t>
            </m:r>
          </m:sub>
        </m:sSub>
      </m:oMath>
      <w:r w:rsidRPr="00B62318">
        <w:rPr>
          <w:rFonts w:eastAsiaTheme="minorEastAsia"/>
        </w:rPr>
        <w:t xml:space="preserve"> </w:t>
      </w:r>
      <w:r w:rsidRPr="00B62318">
        <w:t xml:space="preserve">until the budget </w:t>
      </w:r>
      <m:oMath>
        <m:sSub>
          <m:sSubPr>
            <m:ctrlPr>
              <w:rPr>
                <w:rFonts w:ascii="Cambria Math" w:hAnsi="Cambria Math"/>
              </w:rPr>
            </m:ctrlPr>
          </m:sSubPr>
          <m:e>
            <m:r>
              <w:rPr>
                <w:rFonts w:ascii="Cambria Math" w:hAnsi="Cambria Math"/>
              </w:rPr>
              <m:t>R</m:t>
            </m:r>
          </m:e>
          <m:sub>
            <m:r>
              <w:rPr>
                <w:rFonts w:ascii="Cambria Math" w:hAnsi="Cambria Math"/>
              </w:rPr>
              <m:t>t</m:t>
            </m:r>
          </m:sub>
        </m:sSub>
      </m:oMath>
      <w:r w:rsidRPr="00B62318">
        <w:rPr>
          <w:rFonts w:eastAsiaTheme="minorEastAsia"/>
        </w:rPr>
        <w:t xml:space="preserve"> </w:t>
      </w:r>
      <w:r w:rsidRPr="00B62318">
        <w:t xml:space="preserve">is exhausted or no remaining capacity exists. Because the utilitarian objective is additive across microcells and </w:t>
      </w:r>
      <m:oMath>
        <m:sSub>
          <m:sSubPr>
            <m:ctrlPr>
              <w:rPr>
                <w:rFonts w:ascii="Cambria Math" w:hAnsi="Cambria Math"/>
              </w:rPr>
            </m:ctrlPr>
          </m:sSubPr>
          <m:e>
            <m:r>
              <w:rPr>
                <w:rFonts w:ascii="Cambria Math" w:hAnsi="Cambria Math"/>
              </w:rPr>
              <m:t>e</m:t>
            </m:r>
          </m:e>
          <m:sub>
            <m:r>
              <w:rPr>
                <w:rFonts w:ascii="Cambria Math" w:hAnsi="Cambria Math"/>
              </w:rPr>
              <m:t>j,t</m:t>
            </m:r>
          </m:sub>
        </m:sSub>
      </m:oMath>
      <w:r w:rsidRPr="00B62318">
        <w:t>represents marginal benefit per unit area, this procedure yields the utilitarian optimum under the adopted response shape and constraints. Throughout, the canopy–temperature function is used only to compare relative cooling benefits under alternative allocations, and resulting canopy distributions should be interpreted as efficiency-maximizing outcomes under a utilitarian justice principle rather than as predictions of realized air temperatures.</w:t>
      </w:r>
    </w:p>
    <w:p w14:paraId="0332B48D" w14:textId="77777777" w:rsidR="00AC6722" w:rsidRPr="00B62318" w:rsidRDefault="00AC6722" w:rsidP="00AC6722">
      <w:pPr>
        <w:pStyle w:val="Heading3"/>
      </w:pPr>
      <w:r w:rsidRPr="00B62318">
        <w:t xml:space="preserve">Sufficientarian </w:t>
      </w:r>
    </w:p>
    <w:p w14:paraId="4B4533FA" w14:textId="64CC4826" w:rsidR="00AC6722" w:rsidRPr="00B62318" w:rsidRDefault="00AC6722" w:rsidP="00AC6722">
      <w:r w:rsidRPr="00B62318">
        <w:t xml:space="preserve">We operationalize sufficientarian justice as a threshold-oriented allocation rule for tree canopy, in which priority is given to ensuring that all neighborhoods attain an adequate minimum level of canopy cover before additional resources are allocated elsewhere. The sufficientarian logic is informed by the 3-30-300 rule, and in particular by its emphasis that neighborhoods should </w:t>
      </w:r>
      <w:r w:rsidRPr="00B62318">
        <w:lastRenderedPageBreak/>
        <w:t xml:space="preserve">achieve approximately 30% tree canopy cover as a baseline condition for urban livability </w:t>
      </w:r>
      <w:r w:rsidRPr="00B62318">
        <w:fldChar w:fldCharType="begin"/>
      </w:r>
      <w:r w:rsidR="00402049" w:rsidRPr="00B62318">
        <w:instrText xml:space="preserve"> ADDIN EN.CITE &lt;EndNote&gt;&lt;Cite&gt;&lt;Author&gt;Browning&lt;/Author&gt;&lt;Year&gt;2024&lt;/Year&gt;&lt;RecNum&gt;1274&lt;/RecNum&gt;&lt;DisplayText&gt;(Browning et al., 2024; Konijnendijk, 2023)&lt;/DisplayText&gt;&lt;record&gt;&lt;rec-number&gt;1274&lt;/rec-number&gt;&lt;foreign-keys&gt;&lt;key app="EN" db-id="ssraawt0aw9azuedz5b5pfszez0twxsdzpz2" timestamp="1755493828"&gt;1274&lt;/key&gt;&lt;/foreign-keys&gt;&lt;ref-type name="Journal Article"&gt;17&lt;/ref-type&gt;&lt;contributors&gt;&lt;authors&gt;&lt;author&gt;Browning, MHEM&lt;/author&gt;&lt;author&gt;Locke, Dexter H&lt;/author&gt;&lt;author&gt;Konijnendijk, Cecil&lt;/author&gt;&lt;author&gt;Labib, SM&lt;/author&gt;&lt;author&gt;Rigolon, Alessandro&lt;/author&gt;&lt;author&gt;Yeager, Ray&lt;/author&gt;&lt;author&gt;Bardhan, Mondira&lt;/author&gt;&lt;author&gt;Berland, Adam&lt;/author&gt;&lt;author&gt;Dadvand, Payam&lt;/author&gt;&lt;author&gt;Helbich, Marco&lt;/author&gt;&lt;/authors&gt;&lt;/contributors&gt;&lt;titles&gt;&lt;title&gt;Measuring the 3-30-300 rule to help cities meet nature access thresholds&lt;/title&gt;&lt;secondary-title&gt;Science of The Total Environment&lt;/secondary-title&gt;&lt;/titles&gt;&lt;periodical&gt;&lt;full-title&gt;Science of the Total Environment&lt;/full-title&gt;&lt;/periodical&gt;&lt;pages&gt;167739&lt;/pages&gt;&lt;volume&gt;907&lt;/volume&gt;&lt;dates&gt;&lt;year&gt;2024&lt;/year&gt;&lt;/dates&gt;&lt;isbn&gt;0048-9697&lt;/isbn&gt;&lt;urls&gt;&lt;/urls&gt;&lt;/record&gt;&lt;/Cite&gt;&lt;Cite&gt;&lt;Author&gt;Konijnendijk&lt;/Author&gt;&lt;Year&gt;2023&lt;/Year&gt;&lt;RecNum&gt;1276&lt;/RecNum&gt;&lt;record&gt;&lt;rec-number&gt;1276&lt;/rec-number&gt;&lt;foreign-keys&gt;&lt;key app="EN" db-id="ssraawt0aw9azuedz5b5pfszez0twxsdzpz2" timestamp="1755493871"&gt;1276&lt;/key&gt;&lt;/foreign-keys&gt;&lt;ref-type name="Journal Article"&gt;17&lt;/ref-type&gt;&lt;contributors&gt;&lt;authors&gt;&lt;author&gt;Konijnendijk, Cecil C&lt;/author&gt;&lt;/authors&gt;&lt;/contributors&gt;&lt;titles&gt;&lt;title&gt;Evidence-based guidelines for greener, healthier, more resilient neighbourhoods: Introducing the 3–30–300 rule&lt;/title&gt;&lt;secondary-title&gt;Journal of forestry research&lt;/secondary-title&gt;&lt;/titles&gt;&lt;periodical&gt;&lt;full-title&gt;Journal of forestry research&lt;/full-title&gt;&lt;/periodical&gt;&lt;pages&gt;821-830&lt;/pages&gt;&lt;volume&gt;34&lt;/volume&gt;&lt;number&gt;3&lt;/number&gt;&lt;dates&gt;&lt;year&gt;2023&lt;/year&gt;&lt;/dates&gt;&lt;isbn&gt;1007-662X&lt;/isbn&gt;&lt;urls&gt;&lt;/urls&gt;&lt;/record&gt;&lt;/Cite&gt;&lt;/EndNote&gt;</w:instrText>
      </w:r>
      <w:r w:rsidRPr="00B62318">
        <w:fldChar w:fldCharType="separate"/>
      </w:r>
      <w:r w:rsidR="00402049" w:rsidRPr="00B62318">
        <w:rPr>
          <w:noProof/>
        </w:rPr>
        <w:t>(</w:t>
      </w:r>
      <w:hyperlink w:anchor="_ENREF_13_10" w:tooltip="Browning, 2024 #1274" w:history="1">
        <w:r w:rsidR="00673035" w:rsidRPr="00B62318">
          <w:rPr>
            <w:noProof/>
          </w:rPr>
          <w:t>Browning et al., 2024</w:t>
        </w:r>
      </w:hyperlink>
      <w:r w:rsidR="00402049" w:rsidRPr="00B62318">
        <w:rPr>
          <w:noProof/>
        </w:rPr>
        <w:t xml:space="preserve">; </w:t>
      </w:r>
      <w:hyperlink w:anchor="_ENREF_13_36" w:tooltip="Konijnendijk, 2023 #1276" w:history="1">
        <w:r w:rsidR="00673035" w:rsidRPr="00B62318">
          <w:rPr>
            <w:noProof/>
          </w:rPr>
          <w:t>Konijnendijk, 2023</w:t>
        </w:r>
      </w:hyperlink>
      <w:r w:rsidR="00402049" w:rsidRPr="00B62318">
        <w:rPr>
          <w:noProof/>
        </w:rPr>
        <w:t>)</w:t>
      </w:r>
      <w:r w:rsidRPr="00B62318">
        <w:fldChar w:fldCharType="end"/>
      </w:r>
      <w:r w:rsidRPr="00B62318">
        <w:t>. Because the 3-30-300 rule is articulated using indicators and spatial units that differ from our microcell representation, we do not impose a fixed 30% target directly. Instead, we adopt the normative structure of the rule by operationalizing sufficiency as the progressive reduction of canopy shortfall in low-canopy neighborhoods toward a common minimum level that is determined endogenously by resource and feasibility constraints.</w:t>
      </w:r>
    </w:p>
    <w:p w14:paraId="38E7E4DA" w14:textId="35778620" w:rsidR="00AC6722" w:rsidRPr="00B62318" w:rsidRDefault="00AC6722" w:rsidP="00AC6722">
      <w:r w:rsidRPr="00B62318">
        <w:t xml:space="preserve">Given the post-loss canopy state </w:t>
      </w:r>
      <m:oMath>
        <m:sSubSup>
          <m:sSubSupPr>
            <m:ctrlPr>
              <w:rPr>
                <w:rFonts w:ascii="Cambria Math" w:hAnsi="Cambria Math"/>
              </w:rPr>
            </m:ctrlPr>
          </m:sSubSup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up>
            <m:r>
              <m:rPr>
                <m:sty m:val="p"/>
              </m:rPr>
              <w:rPr>
                <w:rFonts w:ascii="Cambria Math" w:hAnsi="Cambria Math"/>
              </w:rPr>
              <m:t>0</m:t>
            </m:r>
          </m:sup>
        </m:sSubSup>
      </m:oMath>
      <w:r w:rsidRPr="00B62318">
        <w:rPr>
          <w:rFonts w:eastAsiaTheme="minorEastAsia"/>
        </w:rPr>
        <w:t xml:space="preserve"> </w:t>
      </w:r>
      <w:r w:rsidRPr="00B62318">
        <w:t xml:space="preserve">and feasible maximum </w:t>
      </w:r>
      <m:oMath>
        <m:sSub>
          <m:sSubPr>
            <m:ctrlPr>
              <w:rPr>
                <w:rFonts w:ascii="Cambria Math" w:hAnsi="Cambria Math"/>
              </w:rPr>
            </m:ctrlPr>
          </m:sSubPr>
          <m:e>
            <m:acc>
              <m:accPr>
                <m:chr m:val="ˉ"/>
                <m:ctrlPr>
                  <w:rPr>
                    <w:rFonts w:ascii="Cambria Math" w:hAnsi="Cambria Math"/>
                  </w:rPr>
                </m:ctrlPr>
              </m:accPr>
              <m:e>
                <m:r>
                  <w:rPr>
                    <w:rFonts w:ascii="Cambria Math" w:hAnsi="Cambria Math"/>
                  </w:rPr>
                  <m:t>c</m:t>
                </m:r>
              </m:e>
            </m:acc>
          </m:e>
          <m:sub>
            <m:r>
              <w:rPr>
                <w:rFonts w:ascii="Cambria Math" w:hAnsi="Cambria Math"/>
              </w:rPr>
              <m:t>j</m:t>
            </m:r>
            <m:r>
              <m:rPr>
                <m:sty m:val="p"/>
              </m:rPr>
              <w:rPr>
                <w:rFonts w:ascii="Cambria Math" w:hAnsi="Cambria Math"/>
              </w:rPr>
              <m:t>,</m:t>
            </m:r>
            <m:r>
              <w:rPr>
                <w:rFonts w:ascii="Cambria Math" w:hAnsi="Cambria Math"/>
              </w:rPr>
              <m:t>t</m:t>
            </m:r>
          </m:sub>
        </m:sSub>
      </m:oMath>
      <w:r w:rsidRPr="00B62318">
        <w:t xml:space="preserve">, the sufficientarian allocator distributes the available budget </w:t>
      </w:r>
      <m:oMath>
        <m:sSub>
          <m:sSubPr>
            <m:ctrlPr>
              <w:rPr>
                <w:rFonts w:ascii="Cambria Math" w:hAnsi="Cambria Math"/>
              </w:rPr>
            </m:ctrlPr>
          </m:sSubPr>
          <m:e>
            <m:r>
              <w:rPr>
                <w:rFonts w:ascii="Cambria Math" w:hAnsi="Cambria Math"/>
              </w:rPr>
              <m:t>R</m:t>
            </m:r>
          </m:e>
          <m:sub>
            <m:r>
              <w:rPr>
                <w:rFonts w:ascii="Cambria Math" w:hAnsi="Cambria Math"/>
              </w:rPr>
              <m:t>t</m:t>
            </m:r>
          </m:sub>
        </m:sSub>
      </m:oMath>
      <w:r w:rsidRPr="00B62318">
        <w:rPr>
          <w:rFonts w:eastAsiaTheme="minorEastAsia"/>
        </w:rPr>
        <w:t xml:space="preserve"> </w:t>
      </w:r>
      <w:r w:rsidRPr="00B62318">
        <w:t xml:space="preserve">by progressively raising the lowest-canopy microcells first, independent of cooling efficiency or heat exposure. Allocation proceeds according to a progressive filling (water-filling) rule widely used in max–min fairness problems </w:t>
      </w:r>
      <w:r w:rsidRPr="00B62318">
        <w:fldChar w:fldCharType="begin"/>
      </w:r>
      <w:r w:rsidR="00402049" w:rsidRPr="00B62318">
        <w:instrText xml:space="preserve"> ADDIN EN.CITE &lt;EndNote&gt;&lt;Cite&gt;&lt;Author&gt;Radunovic&lt;/Author&gt;&lt;Year&gt;2007&lt;/Year&gt;&lt;RecNum&gt;1461&lt;/RecNum&gt;&lt;DisplayText&gt;(Bertsekas &amp;amp; Gallager, 2021; Radunovic &amp;amp; Le Boudec, 2007)&lt;/DisplayText&gt;&lt;record&gt;&lt;rec-number&gt;1461&lt;/rec-number&gt;&lt;foreign-keys&gt;&lt;key app="EN" db-id="ssraawt0aw9azuedz5b5pfszez0twxsdzpz2" timestamp="1770012411"&gt;1461&lt;/key&gt;&lt;/foreign-keys&gt;&lt;ref-type name="Journal Article"&gt;17&lt;/ref-type&gt;&lt;contributors&gt;&lt;authors&gt;&lt;author&gt;Radunovic, Bozidar&lt;/author&gt;&lt;author&gt;Le Boudec, Jean-Yves&lt;/author&gt;&lt;/authors&gt;&lt;/contributors&gt;&lt;titles&gt;&lt;title&gt;A unified framework for max-min and min-max fairness with applications&lt;/title&gt;&lt;secondary-title&gt;IEEE/ACM Transactions on networking&lt;/secondary-title&gt;&lt;/titles&gt;&lt;periodical&gt;&lt;full-title&gt;IEEE/ACM Transactions on networking&lt;/full-title&gt;&lt;/periodical&gt;&lt;pages&gt;1073-1083&lt;/pages&gt;&lt;volume&gt;15&lt;/volume&gt;&lt;number&gt;5&lt;/number&gt;&lt;dates&gt;&lt;year&gt;2007&lt;/year&gt;&lt;/dates&gt;&lt;isbn&gt;1063-6692&lt;/isbn&gt;&lt;urls&gt;&lt;/urls&gt;&lt;/record&gt;&lt;/Cite&gt;&lt;Cite&gt;&lt;Author&gt;Bertsekas&lt;/Author&gt;&lt;Year&gt;2021&lt;/Year&gt;&lt;RecNum&gt;1462&lt;/RecNum&gt;&lt;record&gt;&lt;rec-number&gt;1462&lt;/rec-number&gt;&lt;foreign-keys&gt;&lt;key app="EN" db-id="ssraawt0aw9azuedz5b5pfszez0twxsdzpz2" timestamp="1770012415"&gt;1462&lt;/key&gt;&lt;/foreign-keys&gt;&lt;ref-type name="Book"&gt;6&lt;/ref-type&gt;&lt;contributors&gt;&lt;authors&gt;&lt;author&gt;Bertsekas, Dimitri&lt;/author&gt;&lt;author&gt;Gallager, Robert&lt;/author&gt;&lt;/authors&gt;&lt;/contributors&gt;&lt;titles&gt;&lt;title&gt;Data networks&lt;/title&gt;&lt;/titles&gt;&lt;dates&gt;&lt;year&gt;2021&lt;/year&gt;&lt;/dates&gt;&lt;publisher&gt;Athena Scientific&lt;/publisher&gt;&lt;isbn&gt;1886529221&lt;/isbn&gt;&lt;urls&gt;&lt;/urls&gt;&lt;/record&gt;&lt;/Cite&gt;&lt;/EndNote&gt;</w:instrText>
      </w:r>
      <w:r w:rsidRPr="00B62318">
        <w:fldChar w:fldCharType="separate"/>
      </w:r>
      <w:r w:rsidR="00402049" w:rsidRPr="00B62318">
        <w:rPr>
          <w:noProof/>
        </w:rPr>
        <w:t>(</w:t>
      </w:r>
      <w:hyperlink w:anchor="_ENREF_13_4" w:tooltip="Bertsekas, 2021 #1462" w:history="1">
        <w:r w:rsidR="00673035" w:rsidRPr="00B62318">
          <w:rPr>
            <w:noProof/>
          </w:rPr>
          <w:t>Bertsekas &amp; Gallager, 2021</w:t>
        </w:r>
      </w:hyperlink>
      <w:r w:rsidR="00402049" w:rsidRPr="00B62318">
        <w:rPr>
          <w:noProof/>
        </w:rPr>
        <w:t xml:space="preserve">; </w:t>
      </w:r>
      <w:hyperlink w:anchor="_ENREF_13_50" w:tooltip="Radunovic, 2007 #1461" w:history="1">
        <w:r w:rsidR="00673035" w:rsidRPr="00B62318">
          <w:rPr>
            <w:noProof/>
          </w:rPr>
          <w:t>Radunovic &amp; Le Boudec, 2007</w:t>
        </w:r>
      </w:hyperlink>
      <w:r w:rsidR="00402049" w:rsidRPr="00B62318">
        <w:rPr>
          <w:noProof/>
        </w:rPr>
        <w:t>)</w:t>
      </w:r>
      <w:r w:rsidRPr="00B62318">
        <w:fldChar w:fldCharType="end"/>
      </w:r>
      <w:r w:rsidRPr="00B62318">
        <w:t xml:space="preserve">. Operationally, a target canopy level </w:t>
      </w:r>
      <m:oMath>
        <m:sSub>
          <m:sSubPr>
            <m:ctrlPr>
              <w:rPr>
                <w:rFonts w:ascii="Cambria Math" w:hAnsi="Cambria Math"/>
              </w:rPr>
            </m:ctrlPr>
          </m:sSubPr>
          <m:e>
            <m:r>
              <w:rPr>
                <w:rFonts w:ascii="Cambria Math" w:hAnsi="Cambria Math"/>
              </w:rPr>
              <m:t>τ</m:t>
            </m:r>
          </m:e>
          <m:sub>
            <m:r>
              <w:rPr>
                <w:rFonts w:ascii="Cambria Math" w:hAnsi="Cambria Math"/>
              </w:rPr>
              <m:t>t</m:t>
            </m:r>
          </m:sub>
        </m:sSub>
      </m:oMath>
      <w:r w:rsidRPr="00B62318">
        <w:rPr>
          <w:rFonts w:eastAsiaTheme="minorEastAsia"/>
        </w:rPr>
        <w:t xml:space="preserve"> </w:t>
      </w:r>
      <w:r w:rsidRPr="00B62318">
        <w:t xml:space="preserve">is identified such that canopy in each microcell is increased toward </w:t>
      </w:r>
      <m:oMath>
        <m:r>
          <m:rPr>
            <m:sty m:val="p"/>
          </m:rPr>
          <w:rPr>
            <w:rFonts w:ascii="Cambria Math" w:hAnsi="Cambria Math"/>
          </w:rPr>
          <m:t>min⁡(</m:t>
        </m:r>
        <m:sSub>
          <m:sSubPr>
            <m:ctrlPr>
              <w:rPr>
                <w:rFonts w:ascii="Cambria Math" w:hAnsi="Cambria Math"/>
              </w:rPr>
            </m:ctrlPr>
          </m:sSubPr>
          <m:e>
            <m:acc>
              <m:accPr>
                <m:chr m:val="ˉ"/>
                <m:ctrlPr>
                  <w:rPr>
                    <w:rFonts w:ascii="Cambria Math" w:hAnsi="Cambria Math"/>
                  </w:rPr>
                </m:ctrlPr>
              </m:accPr>
              <m:e>
                <m:r>
                  <w:rPr>
                    <w:rFonts w:ascii="Cambria Math" w:hAnsi="Cambria Math"/>
                  </w:rPr>
                  <m:t>c</m:t>
                </m:r>
              </m:e>
            </m:acc>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τ</m:t>
            </m:r>
          </m:e>
          <m:sub>
            <m:r>
              <w:rPr>
                <w:rFonts w:ascii="Cambria Math" w:hAnsi="Cambria Math"/>
              </w:rPr>
              <m:t>t</m:t>
            </m:r>
          </m:sub>
        </m:sSub>
        <m:r>
          <m:rPr>
            <m:sty m:val="p"/>
          </m:rPr>
          <w:rPr>
            <w:rFonts w:ascii="Cambria Math" w:hAnsi="Cambria Math"/>
          </w:rPr>
          <m:t>)</m:t>
        </m:r>
      </m:oMath>
      <w:r w:rsidRPr="00B62318">
        <w:t>. The canopy increment is given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02189DDE" w14:textId="77777777" w:rsidTr="00847F2D">
        <w:tc>
          <w:tcPr>
            <w:tcW w:w="625" w:type="dxa"/>
          </w:tcPr>
          <w:p w14:paraId="3343404F" w14:textId="77777777" w:rsidR="00AC6722" w:rsidRPr="00B62318" w:rsidRDefault="00AC6722" w:rsidP="00F438D9"/>
        </w:tc>
        <w:tc>
          <w:tcPr>
            <w:tcW w:w="7740" w:type="dxa"/>
            <w:vAlign w:val="center"/>
          </w:tcPr>
          <w:p w14:paraId="3606EA9F" w14:textId="77777777" w:rsidR="00AC6722" w:rsidRPr="00B62318" w:rsidRDefault="00AC6722" w:rsidP="00F438D9">
            <w:pPr>
              <w:jc w:val="center"/>
            </w:pPr>
            <m:oMathPara>
              <m:oMath>
                <m:r>
                  <m:rPr>
                    <m:sty m:val="p"/>
                  </m:rPr>
                  <w:rPr>
                    <w:rFonts w:ascii="Cambria Math" w:hAnsi="Cambria Math"/>
                  </w:rPr>
                  <m:t>Δ</m:t>
                </m:r>
                <m:sSub>
                  <m:sSubPr>
                    <m:ctrlPr>
                      <w:rPr>
                        <w:rFonts w:ascii="Cambria Math" w:hAnsi="Cambria Math"/>
                      </w:rPr>
                    </m:ctrlPr>
                  </m:sSub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m:t>
                </m:r>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r>
                          <m:rPr>
                            <m:sty m:val="p"/>
                          </m:rPr>
                          <w:rPr>
                            <w:rFonts w:ascii="Cambria Math" w:hAnsi="Cambria Math"/>
                          </w:rPr>
                          <m:t>0,</m:t>
                        </m:r>
                        <m:r>
                          <m:rPr>
                            <m:nor/>
                          </m:rPr>
                          <m:t> </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
                                  <m:sSubPr>
                                    <m:ctrlPr>
                                      <w:rPr>
                                        <w:rFonts w:ascii="Cambria Math" w:hAnsi="Cambria Math"/>
                                      </w:rPr>
                                    </m:ctrlPr>
                                  </m:sSubPr>
                                  <m:e>
                                    <m:acc>
                                      <m:accPr>
                                        <m:chr m:val="ˉ"/>
                                        <m:ctrlPr>
                                          <w:rPr>
                                            <w:rFonts w:ascii="Cambria Math" w:hAnsi="Cambria Math"/>
                                          </w:rPr>
                                        </m:ctrlPr>
                                      </m:accPr>
                                      <m:e>
                                        <m:r>
                                          <w:rPr>
                                            <w:rFonts w:ascii="Cambria Math" w:hAnsi="Cambria Math"/>
                                          </w:rPr>
                                          <m:t>c</m:t>
                                        </m:r>
                                      </m:e>
                                    </m:acc>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τ</m:t>
                                    </m:r>
                                  </m:e>
                                  <m:sub>
                                    <m:r>
                                      <w:rPr>
                                        <w:rFonts w:ascii="Cambria Math" w:hAnsi="Cambria Math"/>
                                      </w:rPr>
                                      <m:t>t</m:t>
                                    </m:r>
                                  </m:sub>
                                </m:sSub>
                              </m:e>
                            </m:d>
                          </m:e>
                        </m:func>
                        <m:r>
                          <m:rPr>
                            <m:sty m:val="p"/>
                          </m:rP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up>
                            <m:r>
                              <m:rPr>
                                <m:sty m:val="p"/>
                              </m:rPr>
                              <w:rPr>
                                <w:rFonts w:ascii="Cambria Math" w:hAnsi="Cambria Math"/>
                              </w:rPr>
                              <m:t>0</m:t>
                            </m:r>
                          </m:sup>
                        </m:sSubSup>
                      </m:e>
                    </m:d>
                  </m:e>
                </m:func>
                <m:r>
                  <m:rPr>
                    <m:sty m:val="p"/>
                  </m:rPr>
                  <w:rPr>
                    <w:rFonts w:ascii="Cambria Math" w:hAnsi="Cambria Math"/>
                  </w:rPr>
                  <m:t>,</m:t>
                </m:r>
              </m:oMath>
            </m:oMathPara>
          </w:p>
        </w:tc>
        <w:tc>
          <w:tcPr>
            <w:tcW w:w="697" w:type="dxa"/>
            <w:vAlign w:val="center"/>
          </w:tcPr>
          <w:p w14:paraId="42639A06" w14:textId="057C3436"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21</w:t>
            </w:r>
            <w:r w:rsidRPr="00B62318">
              <w:fldChar w:fldCharType="end"/>
            </w:r>
            <w:r w:rsidRPr="00B62318">
              <w:t>)</w:t>
            </w:r>
          </w:p>
        </w:tc>
      </w:tr>
    </w:tbl>
    <w:p w14:paraId="056CFE48" w14:textId="77777777" w:rsidR="00AC6722" w:rsidRPr="00B62318" w:rsidRDefault="00AC6722" w:rsidP="00AC6722">
      <w:r w:rsidRPr="00B62318">
        <w:t>subject to the area canopy budget constraint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528D3D0C" w14:textId="77777777" w:rsidTr="00847F2D">
        <w:tc>
          <w:tcPr>
            <w:tcW w:w="625" w:type="dxa"/>
          </w:tcPr>
          <w:p w14:paraId="4163BF37" w14:textId="77777777" w:rsidR="00AC6722" w:rsidRPr="00B62318" w:rsidRDefault="00AC6722" w:rsidP="00F438D9"/>
        </w:tc>
        <w:tc>
          <w:tcPr>
            <w:tcW w:w="7740" w:type="dxa"/>
            <w:vAlign w:val="center"/>
          </w:tcPr>
          <w:p w14:paraId="2AAB6E26" w14:textId="77777777" w:rsidR="00AC6722" w:rsidRPr="00B62318" w:rsidRDefault="00DE782A" w:rsidP="00F438D9">
            <w:pPr>
              <w:jc w:val="center"/>
            </w:pPr>
            <m:oMathPara>
              <m:oMath>
                <m:nary>
                  <m:naryPr>
                    <m:chr m:val="∑"/>
                    <m:limLoc m:val="undOvr"/>
                    <m:grow m:val="1"/>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A</m:t>
                        </m:r>
                      </m:e>
                      <m:sub>
                        <m:r>
                          <w:rPr>
                            <w:rFonts w:ascii="Cambria Math" w:hAnsi="Cambria Math"/>
                          </w:rPr>
                          <m:t>j</m:t>
                        </m:r>
                      </m:sub>
                    </m:sSub>
                  </m:e>
                </m:nary>
                <m:r>
                  <m:rPr>
                    <m:sty m:val="p"/>
                  </m:rPr>
                  <w:rPr>
                    <w:rFonts w:ascii="Cambria Math" w:hAnsi="Cambria Math"/>
                  </w:rPr>
                  <m:t>Δ</m:t>
                </m:r>
                <m:sSub>
                  <m:sSubPr>
                    <m:ctrlPr>
                      <w:rPr>
                        <w:rFonts w:ascii="Cambria Math" w:hAnsi="Cambria Math"/>
                      </w:rPr>
                    </m:ctrlPr>
                  </m:sSubPr>
                  <m:e>
                    <m:r>
                      <w:rPr>
                        <w:rFonts w:ascii="Cambria Math" w:hAnsi="Cambria Math"/>
                      </w:rPr>
                      <m:t>c</m:t>
                    </m:r>
                  </m:e>
                  <m:sub>
                    <m:r>
                      <w:rPr>
                        <w:rFonts w:ascii="Cambria Math" w:hAnsi="Cambria Math"/>
                      </w:rPr>
                      <m:t>j</m:t>
                    </m:r>
                    <m:r>
                      <w:rPr>
                        <w:rFonts w:ascii="Cambria Math" w:hAnsi="Cambria Math"/>
                      </w:rPr>
                      <m:t>,</m:t>
                    </m:r>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t</m:t>
                    </m:r>
                  </m:sub>
                </m:sSub>
                <m:r>
                  <m:rPr>
                    <m:sty m:val="p"/>
                  </m:rPr>
                  <w:rPr>
                    <w:rFonts w:ascii="Cambria Math" w:hAnsi="Cambria Math"/>
                  </w:rPr>
                  <m:t>.</m:t>
                </m:r>
              </m:oMath>
            </m:oMathPara>
          </w:p>
        </w:tc>
        <w:tc>
          <w:tcPr>
            <w:tcW w:w="697" w:type="dxa"/>
            <w:vAlign w:val="center"/>
          </w:tcPr>
          <w:p w14:paraId="0DAD75CF" w14:textId="64ED946A"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22</w:t>
            </w:r>
            <w:r w:rsidRPr="00B62318">
              <w:fldChar w:fldCharType="end"/>
            </w:r>
            <w:r w:rsidRPr="00B62318">
              <w:t>)</w:t>
            </w:r>
          </w:p>
        </w:tc>
      </w:tr>
    </w:tbl>
    <w:p w14:paraId="0F6BCDB4" w14:textId="77777777" w:rsidR="00AC6722" w:rsidRPr="00B62318" w:rsidRDefault="00AC6722" w:rsidP="00AC6722">
      <w:r w:rsidRPr="00B62318">
        <w:t xml:space="preserve">The value of </w:t>
      </w:r>
      <m:oMath>
        <m:sSub>
          <m:sSubPr>
            <m:ctrlPr>
              <w:rPr>
                <w:rFonts w:ascii="Cambria Math" w:hAnsi="Cambria Math"/>
              </w:rPr>
            </m:ctrlPr>
          </m:sSubPr>
          <m:e>
            <m:r>
              <w:rPr>
                <w:rFonts w:ascii="Cambria Math" w:hAnsi="Cambria Math"/>
              </w:rPr>
              <m:t>τ</m:t>
            </m:r>
          </m:e>
          <m:sub>
            <m:r>
              <w:rPr>
                <w:rFonts w:ascii="Cambria Math" w:hAnsi="Cambria Math"/>
              </w:rPr>
              <m:t>t</m:t>
            </m:r>
          </m:sub>
        </m:sSub>
      </m:oMath>
      <w:r w:rsidRPr="00B62318">
        <w:rPr>
          <w:rFonts w:eastAsiaTheme="minorEastAsia"/>
        </w:rPr>
        <w:t xml:space="preserve"> </w:t>
      </w:r>
      <w:r w:rsidRPr="00B62318">
        <w:t>is determined endogenously at each decade so that the available canopy budget is fully utilized whenever sufficient remaining capacity exists. If the canopy budget is insufficient to raise all microcells to a common level, it is fully absorbed by the lowest-canopy microcells. If the canopy budget exceeds remaining capacity, all microcells saturate at their feasible maxima.</w:t>
      </w:r>
    </w:p>
    <w:p w14:paraId="35BF2BC9" w14:textId="77777777" w:rsidR="00AC6722" w:rsidRPr="00B62318" w:rsidRDefault="00AC6722" w:rsidP="00AC6722">
      <w:pPr>
        <w:pStyle w:val="Heading3"/>
      </w:pPr>
      <w:r w:rsidRPr="00B62318">
        <w:t xml:space="preserve">Prioritarian </w:t>
      </w:r>
    </w:p>
    <w:p w14:paraId="01FF9D1C" w14:textId="77777777" w:rsidR="00AC6722" w:rsidRPr="00B62318" w:rsidRDefault="00AC6722" w:rsidP="00AC6722">
      <w:r w:rsidRPr="00B62318">
        <w:t xml:space="preserve">We operationalize prioritarian justice as a heat-exposure-weighted allocation rule in which priority is given to neighborhoods facing higher thermal exposure. Under this interpretation, justice assigns greater moral weight to improvements in worse-off conditions. Here, “worse off” is defined operationally as higher projected daytime heat exposure, represented by the annual mean daytime air temperature anomaly </w:t>
      </w:r>
      <m:oMath>
        <m:sSub>
          <m:sSubPr>
            <m:ctrlPr>
              <w:rPr>
                <w:rFonts w:ascii="Cambria Math" w:hAnsi="Cambria Math"/>
              </w:rPr>
            </m:ctrlPr>
          </m:sSubPr>
          <m:e>
            <m:r>
              <w:rPr>
                <w:rFonts w:ascii="Cambria Math" w:hAnsi="Cambria Math"/>
              </w:rPr>
              <m:t>T</m:t>
            </m:r>
          </m:e>
          <m:sub>
            <m:r>
              <w:rPr>
                <w:rFonts w:ascii="Cambria Math" w:hAnsi="Cambria Math"/>
              </w:rPr>
              <m:t>j</m:t>
            </m:r>
            <m:r>
              <m:rPr>
                <m:sty m:val="p"/>
              </m:rPr>
              <w:rPr>
                <w:rFonts w:ascii="Cambria Math" w:hAnsi="Cambria Math"/>
              </w:rPr>
              <m:t>,</m:t>
            </m:r>
            <m:r>
              <w:rPr>
                <w:rFonts w:ascii="Cambria Math" w:hAnsi="Cambria Math"/>
              </w:rPr>
              <m:t>t</m:t>
            </m:r>
          </m:sub>
        </m:sSub>
      </m:oMath>
      <w:r w:rsidRPr="00B62318">
        <w:t xml:space="preserve">. The prioritarian allocation uses </w:t>
      </w:r>
      <m:oMath>
        <m:sSub>
          <m:sSubPr>
            <m:ctrlPr>
              <w:rPr>
                <w:rFonts w:ascii="Cambria Math" w:hAnsi="Cambria Math"/>
              </w:rPr>
            </m:ctrlPr>
          </m:sSubPr>
          <m:e>
            <m:r>
              <w:rPr>
                <w:rFonts w:ascii="Cambria Math" w:hAnsi="Cambria Math"/>
              </w:rPr>
              <m:t>T</m:t>
            </m:r>
          </m:e>
          <m:sub>
            <m:r>
              <w:rPr>
                <w:rFonts w:ascii="Cambria Math" w:hAnsi="Cambria Math"/>
              </w:rPr>
              <m:t>j</m:t>
            </m:r>
            <m:r>
              <m:rPr>
                <m:sty m:val="p"/>
              </m:rPr>
              <w:rPr>
                <w:rFonts w:ascii="Cambria Math" w:hAnsi="Cambria Math"/>
              </w:rPr>
              <m:t>,</m:t>
            </m:r>
            <m:r>
              <w:rPr>
                <w:rFonts w:ascii="Cambria Math" w:hAnsi="Cambria Math"/>
              </w:rPr>
              <m:t>t</m:t>
            </m:r>
          </m:sub>
        </m:sSub>
      </m:oMath>
      <w:r w:rsidRPr="00B62318">
        <w:rPr>
          <w:rFonts w:eastAsiaTheme="minorEastAsia"/>
        </w:rPr>
        <w:t xml:space="preserve"> </w:t>
      </w:r>
      <w:r w:rsidRPr="00B62318">
        <w:t>solely to establish priority ordering; it does not enter the allocation magnitude directly.</w:t>
      </w:r>
    </w:p>
    <w:p w14:paraId="463ADB8A" w14:textId="77777777" w:rsidR="00AC6722" w:rsidRPr="00B62318" w:rsidRDefault="00AC6722" w:rsidP="00AC6722">
      <w:r w:rsidRPr="00B62318">
        <w:t xml:space="preserve">Given the post-loss canopy state </w:t>
      </w:r>
      <m:oMath>
        <m:sSubSup>
          <m:sSubSupPr>
            <m:ctrlPr>
              <w:rPr>
                <w:rFonts w:ascii="Cambria Math" w:hAnsi="Cambria Math"/>
              </w:rPr>
            </m:ctrlPr>
          </m:sSubSup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up>
            <m:r>
              <m:rPr>
                <m:sty m:val="p"/>
              </m:rPr>
              <w:rPr>
                <w:rFonts w:ascii="Cambria Math" w:hAnsi="Cambria Math"/>
              </w:rPr>
              <m:t>0</m:t>
            </m:r>
          </m:sup>
        </m:sSubSup>
      </m:oMath>
      <w:r w:rsidRPr="00B62318">
        <w:rPr>
          <w:rFonts w:eastAsiaTheme="minorEastAsia"/>
        </w:rPr>
        <w:t xml:space="preserve"> </w:t>
      </w:r>
      <w:r w:rsidRPr="00B62318">
        <w:t xml:space="preserve">and feasible maximum </w:t>
      </w:r>
      <m:oMath>
        <m:sSub>
          <m:sSubPr>
            <m:ctrlPr>
              <w:rPr>
                <w:rFonts w:ascii="Cambria Math" w:hAnsi="Cambria Math"/>
              </w:rPr>
            </m:ctrlPr>
          </m:sSubPr>
          <m:e>
            <m:acc>
              <m:accPr>
                <m:chr m:val="ˉ"/>
                <m:ctrlPr>
                  <w:rPr>
                    <w:rFonts w:ascii="Cambria Math" w:hAnsi="Cambria Math"/>
                  </w:rPr>
                </m:ctrlPr>
              </m:accPr>
              <m:e>
                <m:r>
                  <w:rPr>
                    <w:rFonts w:ascii="Cambria Math" w:hAnsi="Cambria Math"/>
                  </w:rPr>
                  <m:t>c</m:t>
                </m:r>
              </m:e>
            </m:acc>
          </m:e>
          <m:sub>
            <m:r>
              <w:rPr>
                <w:rFonts w:ascii="Cambria Math" w:hAnsi="Cambria Math"/>
              </w:rPr>
              <m:t>j</m:t>
            </m:r>
            <m:r>
              <m:rPr>
                <m:sty m:val="p"/>
              </m:rPr>
              <w:rPr>
                <w:rFonts w:ascii="Cambria Math" w:hAnsi="Cambria Math"/>
              </w:rPr>
              <m:t>,</m:t>
            </m:r>
            <m:r>
              <w:rPr>
                <w:rFonts w:ascii="Cambria Math" w:hAnsi="Cambria Math"/>
              </w:rPr>
              <m:t>t</m:t>
            </m:r>
          </m:sub>
        </m:sSub>
      </m:oMath>
      <w:r w:rsidRPr="00B62318">
        <w:t xml:space="preserve">, the available canopy budget </w:t>
      </w:r>
      <m:oMath>
        <m:sSub>
          <m:sSubPr>
            <m:ctrlPr>
              <w:rPr>
                <w:rFonts w:ascii="Cambria Math" w:hAnsi="Cambria Math"/>
              </w:rPr>
            </m:ctrlPr>
          </m:sSubPr>
          <m:e>
            <m:r>
              <w:rPr>
                <w:rFonts w:ascii="Cambria Math" w:hAnsi="Cambria Math"/>
              </w:rPr>
              <m:t>R</m:t>
            </m:r>
          </m:e>
          <m:sub>
            <m:r>
              <w:rPr>
                <w:rFonts w:ascii="Cambria Math" w:hAnsi="Cambria Math"/>
              </w:rPr>
              <m:t>t</m:t>
            </m:r>
          </m:sub>
        </m:sSub>
      </m:oMath>
      <w:r w:rsidRPr="00B62318">
        <w:rPr>
          <w:rFonts w:eastAsiaTheme="minorEastAsia"/>
        </w:rPr>
        <w:t xml:space="preserve"> </w:t>
      </w:r>
      <w:r w:rsidRPr="00B62318">
        <w:t xml:space="preserve">is allocated by ranking microcells in descending order of </w:t>
      </w:r>
      <m:oMath>
        <m:sSub>
          <m:sSubPr>
            <m:ctrlPr>
              <w:rPr>
                <w:rFonts w:ascii="Cambria Math" w:hAnsi="Cambria Math"/>
              </w:rPr>
            </m:ctrlPr>
          </m:sSubPr>
          <m:e>
            <m:r>
              <w:rPr>
                <w:rFonts w:ascii="Cambria Math" w:hAnsi="Cambria Math"/>
              </w:rPr>
              <m:t>T</m:t>
            </m:r>
          </m:e>
          <m:sub>
            <m:r>
              <w:rPr>
                <w:rFonts w:ascii="Cambria Math" w:hAnsi="Cambria Math"/>
              </w:rPr>
              <m:t>j</m:t>
            </m:r>
            <m:r>
              <m:rPr>
                <m:sty m:val="p"/>
              </m:rPr>
              <w:rPr>
                <w:rFonts w:ascii="Cambria Math" w:hAnsi="Cambria Math"/>
              </w:rPr>
              <m:t>,</m:t>
            </m:r>
            <m:r>
              <w:rPr>
                <w:rFonts w:ascii="Cambria Math" w:hAnsi="Cambria Math"/>
              </w:rPr>
              <m:t>t</m:t>
            </m:r>
          </m:sub>
        </m:sSub>
      </m:oMath>
      <w:r w:rsidRPr="00B62318">
        <w:rPr>
          <w:rFonts w:eastAsiaTheme="minorEastAsia"/>
        </w:rPr>
        <w:t xml:space="preserve"> </w:t>
      </w:r>
      <w:r w:rsidRPr="00B62318">
        <w:t xml:space="preserve">and serving hotter microcells first. To ensure equitable treatment among microcells experiencing similar heat exposure, allocation proceeds in groups with approximately equal </w:t>
      </w:r>
      <m:oMath>
        <m:sSub>
          <m:sSubPr>
            <m:ctrlPr>
              <w:rPr>
                <w:rFonts w:ascii="Cambria Math" w:hAnsi="Cambria Math"/>
              </w:rPr>
            </m:ctrlPr>
          </m:sSubPr>
          <m:e>
            <m:r>
              <w:rPr>
                <w:rFonts w:ascii="Cambria Math" w:hAnsi="Cambria Math"/>
              </w:rPr>
              <m:t>T</m:t>
            </m:r>
          </m:e>
          <m:sub>
            <m:r>
              <w:rPr>
                <w:rFonts w:ascii="Cambria Math" w:hAnsi="Cambria Math"/>
              </w:rPr>
              <m:t>j</m:t>
            </m:r>
            <m:r>
              <m:rPr>
                <m:sty m:val="p"/>
              </m:rPr>
              <w:rPr>
                <w:rFonts w:ascii="Cambria Math" w:hAnsi="Cambria Math"/>
              </w:rPr>
              <m:t>,</m:t>
            </m:r>
            <m:r>
              <w:rPr>
                <w:rFonts w:ascii="Cambria Math" w:hAnsi="Cambria Math"/>
              </w:rPr>
              <m:t>t</m:t>
            </m:r>
          </m:sub>
        </m:sSub>
      </m:oMath>
      <w:r w:rsidRPr="00B62318">
        <w:t>, referred to as heat bands.</w:t>
      </w:r>
    </w:p>
    <w:p w14:paraId="5B0528F5" w14:textId="77777777" w:rsidR="00AC6722" w:rsidRPr="00B62318" w:rsidRDefault="00AC6722" w:rsidP="00AC6722">
      <w:r w:rsidRPr="00B62318">
        <w:lastRenderedPageBreak/>
        <w:t xml:space="preserve">For each heat band, the allocator first determines whether the remaining canopy budget is sufficient to fill all microcells in the band to their feasible canopy limits. If sufficient, canopy is added until </w:t>
      </w:r>
      <m:oMath>
        <m:sSub>
          <m:sSubPr>
            <m:ctrlPr>
              <w:rPr>
                <w:rFonts w:ascii="Cambria Math" w:hAnsi="Cambria Math"/>
              </w:rPr>
            </m:ctrlPr>
          </m:sSub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rPr>
            </m:ctrlPr>
          </m:sSubPr>
          <m:e>
            <m:acc>
              <m:accPr>
                <m:chr m:val="ˉ"/>
                <m:ctrlPr>
                  <w:rPr>
                    <w:rFonts w:ascii="Cambria Math" w:hAnsi="Cambria Math"/>
                  </w:rPr>
                </m:ctrlPr>
              </m:accPr>
              <m:e>
                <m:r>
                  <w:rPr>
                    <w:rFonts w:ascii="Cambria Math" w:hAnsi="Cambria Math"/>
                  </w:rPr>
                  <m:t>c</m:t>
                </m:r>
              </m:e>
            </m:acc>
          </m:e>
          <m:sub>
            <m:r>
              <w:rPr>
                <w:rFonts w:ascii="Cambria Math" w:hAnsi="Cambria Math"/>
              </w:rPr>
              <m:t>j</m:t>
            </m:r>
            <m:r>
              <m:rPr>
                <m:sty m:val="p"/>
              </m:rPr>
              <w:rPr>
                <w:rFonts w:ascii="Cambria Math" w:hAnsi="Cambria Math"/>
              </w:rPr>
              <m:t>,</m:t>
            </m:r>
            <m:r>
              <w:rPr>
                <w:rFonts w:ascii="Cambria Math" w:hAnsi="Cambria Math"/>
              </w:rPr>
              <m:t>t</m:t>
            </m:r>
          </m:sub>
        </m:sSub>
      </m:oMath>
      <w:r w:rsidRPr="00B62318">
        <w:rPr>
          <w:rFonts w:eastAsiaTheme="minorEastAsia"/>
        </w:rPr>
        <w:t xml:space="preserve"> </w:t>
      </w:r>
      <w:r w:rsidRPr="00B62318">
        <w:t xml:space="preserve">for all microcells in the band. If insufficient, the remaining canopy budget is distributed uniformly across the band by applying a common canopy fraction increment </w:t>
      </w:r>
      <m:oMath>
        <m:sSub>
          <m:sSubPr>
            <m:ctrlPr>
              <w:rPr>
                <w:rFonts w:ascii="Cambria Math" w:hAnsi="Cambria Math"/>
              </w:rPr>
            </m:ctrlPr>
          </m:sSubPr>
          <m:e>
            <m:r>
              <w:rPr>
                <w:rFonts w:ascii="Cambria Math" w:hAnsi="Cambria Math"/>
              </w:rPr>
              <m:t>δ</m:t>
            </m:r>
          </m:e>
          <m:sub>
            <m:r>
              <w:rPr>
                <w:rFonts w:ascii="Cambria Math" w:hAnsi="Cambria Math"/>
              </w:rPr>
              <m:t>t</m:t>
            </m:r>
          </m:sub>
        </m:sSub>
      </m:oMath>
      <w:r w:rsidRPr="00B62318">
        <w:t>, capped by each microcell’s remaining capacity. The resulting increment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5AA855DD" w14:textId="77777777" w:rsidTr="00847F2D">
        <w:tc>
          <w:tcPr>
            <w:tcW w:w="625" w:type="dxa"/>
          </w:tcPr>
          <w:p w14:paraId="70011817" w14:textId="77777777" w:rsidR="00AC6722" w:rsidRPr="00B62318" w:rsidRDefault="00AC6722" w:rsidP="00F438D9"/>
        </w:tc>
        <w:tc>
          <w:tcPr>
            <w:tcW w:w="7740" w:type="dxa"/>
            <w:vAlign w:val="center"/>
          </w:tcPr>
          <w:p w14:paraId="7506296E" w14:textId="77777777" w:rsidR="00AC6722" w:rsidRPr="00B62318" w:rsidRDefault="00AC6722" w:rsidP="00F438D9">
            <w:pPr>
              <w:jc w:val="center"/>
            </w:pPr>
            <m:oMathPara>
              <m:oMath>
                <m:r>
                  <m:rPr>
                    <m:sty m:val="p"/>
                  </m:rPr>
                  <w:rPr>
                    <w:rFonts w:ascii="Cambria Math" w:hAnsi="Cambria Math"/>
                  </w:rPr>
                  <m:t>Δ</m:t>
                </m:r>
                <m:sSub>
                  <m:sSubPr>
                    <m:ctrlPr>
                      <w:rPr>
                        <w:rFonts w:ascii="Cambria Math" w:hAnsi="Cambria Math"/>
                      </w:rPr>
                    </m:ctrlPr>
                  </m:sSub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=min⁡</m:t>
                </m:r>
                <m:d>
                  <m:dPr>
                    <m:ctrlPr>
                      <w:rPr>
                        <w:rFonts w:ascii="Cambria Math" w:hAnsi="Cambria Math"/>
                      </w:rPr>
                    </m:ctrlPr>
                  </m:dPr>
                  <m:e>
                    <m:sSub>
                      <m:sSubPr>
                        <m:ctrlPr>
                          <w:rPr>
                            <w:rFonts w:ascii="Cambria Math" w:hAnsi="Cambria Math"/>
                          </w:rPr>
                        </m:ctrlPr>
                      </m:sSubPr>
                      <m:e>
                        <m:acc>
                          <m:accPr>
                            <m:chr m:val="ˉ"/>
                            <m:ctrlPr>
                              <w:rPr>
                                <w:rFonts w:ascii="Cambria Math" w:hAnsi="Cambria Math"/>
                              </w:rPr>
                            </m:ctrlPr>
                          </m:accPr>
                          <m:e>
                            <m:r>
                              <w:rPr>
                                <w:rFonts w:ascii="Cambria Math" w:hAnsi="Cambria Math"/>
                              </w:rPr>
                              <m:t>c</m:t>
                            </m:r>
                          </m:e>
                        </m:acc>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j</m:t>
                        </m:r>
                        <m:r>
                          <m:rPr>
                            <m:sty m:val="p"/>
                          </m:rPr>
                          <w:rPr>
                            <w:rFonts w:ascii="Cambria Math" w:hAnsi="Cambria Math"/>
                          </w:rPr>
                          <m:t>,</m:t>
                        </m:r>
                        <m:r>
                          <w:rPr>
                            <w:rFonts w:ascii="Cambria Math" w:hAnsi="Cambria Math"/>
                          </w:rPr>
                          <m:t>t</m:t>
                        </m:r>
                      </m:sub>
                      <m:sup>
                        <m:r>
                          <m:rPr>
                            <m:sty m:val="p"/>
                          </m:rPr>
                          <w:rPr>
                            <w:rFonts w:ascii="Cambria Math" w:hAnsi="Cambria Math"/>
                          </w:rPr>
                          <m:t>0</m:t>
                        </m:r>
                      </m:sup>
                    </m:sSubSup>
                    <m:r>
                      <m:rPr>
                        <m:sty m:val="p"/>
                      </m:rPr>
                      <w:rPr>
                        <w:rFonts w:ascii="Cambria Math" w:hAnsi="Cambria Math"/>
                      </w:rPr>
                      <m:t>,</m:t>
                    </m:r>
                    <m:r>
                      <m:rPr>
                        <m:nor/>
                      </m:rPr>
                      <m:t> </m:t>
                    </m:r>
                    <m:sSub>
                      <m:sSubPr>
                        <m:ctrlPr>
                          <w:rPr>
                            <w:rFonts w:ascii="Cambria Math" w:hAnsi="Cambria Math"/>
                          </w:rPr>
                        </m:ctrlPr>
                      </m:sSubPr>
                      <m:e>
                        <m:r>
                          <w:rPr>
                            <w:rFonts w:ascii="Cambria Math" w:hAnsi="Cambria Math"/>
                          </w:rPr>
                          <m:t>δ</m:t>
                        </m:r>
                      </m:e>
                      <m:sub>
                        <m:r>
                          <w:rPr>
                            <w:rFonts w:ascii="Cambria Math" w:hAnsi="Cambria Math"/>
                          </w:rPr>
                          <m:t>t</m:t>
                        </m:r>
                      </m:sub>
                    </m:sSub>
                  </m:e>
                </m:d>
                <m:r>
                  <m:rPr>
                    <m:sty m:val="p"/>
                  </m:rPr>
                  <w:rPr>
                    <w:rFonts w:ascii="Cambria Math" w:hAnsi="Cambria Math"/>
                  </w:rPr>
                  <m:t>,</m:t>
                </m:r>
              </m:oMath>
            </m:oMathPara>
          </w:p>
        </w:tc>
        <w:tc>
          <w:tcPr>
            <w:tcW w:w="697" w:type="dxa"/>
            <w:vAlign w:val="center"/>
          </w:tcPr>
          <w:p w14:paraId="08706391" w14:textId="3AABCD73"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23</w:t>
            </w:r>
            <w:r w:rsidRPr="00B62318">
              <w:fldChar w:fldCharType="end"/>
            </w:r>
            <w:r w:rsidRPr="00B62318">
              <w:t>)</w:t>
            </w:r>
          </w:p>
        </w:tc>
      </w:tr>
    </w:tbl>
    <w:p w14:paraId="06F2F53A" w14:textId="77777777" w:rsidR="00AC6722" w:rsidRPr="00B62318" w:rsidRDefault="00AC6722" w:rsidP="00AC6722">
      <w:r w:rsidRPr="00B62318">
        <w:t xml:space="preserve">where </w:t>
      </w:r>
      <m:oMath>
        <m:sSub>
          <m:sSubPr>
            <m:ctrlPr>
              <w:rPr>
                <w:rFonts w:ascii="Cambria Math" w:hAnsi="Cambria Math"/>
              </w:rPr>
            </m:ctrlPr>
          </m:sSubPr>
          <m:e>
            <m:r>
              <w:rPr>
                <w:rFonts w:ascii="Cambria Math" w:hAnsi="Cambria Math"/>
              </w:rPr>
              <m:t>δ</m:t>
            </m:r>
          </m:e>
          <m:sub>
            <m:r>
              <w:rPr>
                <w:rFonts w:ascii="Cambria Math" w:hAnsi="Cambria Math"/>
              </w:rPr>
              <m:t>t</m:t>
            </m:r>
          </m:sub>
        </m:sSub>
      </m:oMath>
      <w:r w:rsidRPr="00B62318">
        <w:rPr>
          <w:rFonts w:eastAsiaTheme="minorEastAsia"/>
        </w:rPr>
        <w:t xml:space="preserve"> </w:t>
      </w:r>
      <w:r w:rsidRPr="00B62318">
        <w:t xml:space="preserve">is chosen such that the total canopy area added across the band matches the remaining budget as closely as possible. Once this partial-band allocation is completed, the budget for decade </w:t>
      </w:r>
      <m:oMath>
        <m:r>
          <w:rPr>
            <w:rFonts w:ascii="Cambria Math" w:hAnsi="Cambria Math"/>
          </w:rPr>
          <m:t>t</m:t>
        </m:r>
      </m:oMath>
      <w:r w:rsidRPr="00B62318">
        <w:rPr>
          <w:rFonts w:eastAsiaTheme="minorEastAsia"/>
          <w:iCs/>
        </w:rPr>
        <w:t xml:space="preserve"> </w:t>
      </w:r>
      <w:r w:rsidRPr="00B62318">
        <w:t>is exhausted.</w:t>
      </w:r>
    </w:p>
    <w:p w14:paraId="31B661CD" w14:textId="77777777" w:rsidR="00AC6722" w:rsidRPr="00B62318" w:rsidRDefault="00AC6722" w:rsidP="00AC6722">
      <w:r w:rsidRPr="00B62318">
        <w:t>Although the prioritarian allocation rule depends only on heat exposure ordering, we evaluate the thermal implications of the resulting canopy distributions using the same canopy–temperature response function employed in the utilitarian analysis. This ensures that cooling outcomes remain directly comparable across justice logics while keeping the prioritarian allocation rule itself strictly defined by concern for the most heat-exposed neighborhoods.</w:t>
      </w:r>
    </w:p>
    <w:p w14:paraId="3CD2C3FF" w14:textId="517D9245" w:rsidR="00AC6722" w:rsidRPr="00B62318" w:rsidRDefault="00C939FC" w:rsidP="004A5D3E">
      <w:pPr>
        <w:pStyle w:val="Heading2"/>
        <w:rPr>
          <w:sz w:val="36"/>
          <w:szCs w:val="36"/>
        </w:rPr>
      </w:pPr>
      <w:r>
        <w:t>Regime shift</w:t>
      </w:r>
      <w:r w:rsidR="00C47105" w:rsidRPr="00B62318">
        <w:t xml:space="preserve"> and lock-in analysis</w:t>
      </w:r>
    </w:p>
    <w:p w14:paraId="7CB5F542" w14:textId="670AF979" w:rsidR="00AC6722" w:rsidRPr="00B62318" w:rsidRDefault="00AC6722" w:rsidP="00AC6722">
      <w:r w:rsidRPr="00B62318">
        <w:t xml:space="preserve">We conceptualize lock-in as an emergent property of sequential allocation decisions under evolving feasibility constraints, in which early procedural choices shape the </w:t>
      </w:r>
      <w:r w:rsidR="000E2C23">
        <w:t>regime</w:t>
      </w:r>
      <w:r w:rsidRPr="00B62318">
        <w:t xml:space="preserve"> of the system and progressively constrain the outcomes achievable under alternative decision rules. In this study, lock-in is defined as the cumulative divergence between a realized trajectory and the counterfactual trajectory that would have emerged under a different procedural rule from the outset. This perspective draws on path-dependence theory, where early commitments restructure future option sets </w:t>
      </w:r>
      <w:r w:rsidR="00DD75F7" w:rsidRPr="00B62318">
        <w:fldChar w:fldCharType="begin"/>
      </w:r>
      <w:r w:rsidR="00402049" w:rsidRPr="00B62318">
        <w:instrText xml:space="preserve"> ADDIN EN.CITE &lt;EndNote&gt;&lt;Cite&gt;&lt;Author&gt;Unruh&lt;/Author&gt;&lt;Year&gt;2000&lt;/Year&gt;&lt;RecNum&gt;1381&lt;/RecNum&gt;&lt;DisplayText&gt;(Unruh, 2000)&lt;/DisplayText&gt;&lt;record&gt;&lt;rec-number&gt;1381&lt;/rec-number&gt;&lt;foreign-keys&gt;&lt;key app="EN" db-id="ssraawt0aw9azuedz5b5pfszez0twxsdzpz2" timestamp="1768965510"&gt;1381&lt;/key&gt;&lt;/foreign-keys&gt;&lt;ref-type name="Journal Article"&gt;17&lt;/ref-type&gt;&lt;contributors&gt;&lt;authors&gt;&lt;author&gt;Unruh, Gregory C&lt;/author&gt;&lt;/authors&gt;&lt;/contributors&gt;&lt;titles&gt;&lt;title&gt;Understanding carbon lock-in&lt;/title&gt;&lt;secondary-title&gt;Energy policy&lt;/secondary-title&gt;&lt;/titles&gt;&lt;periodical&gt;&lt;full-title&gt;Energy policy&lt;/full-title&gt;&lt;/periodical&gt;&lt;pages&gt;817-830&lt;/pages&gt;&lt;volume&gt;28&lt;/volume&gt;&lt;number&gt;12&lt;/number&gt;&lt;dates&gt;&lt;year&gt;2000&lt;/year&gt;&lt;/dates&gt;&lt;isbn&gt;0301-4215&lt;/isbn&gt;&lt;urls&gt;&lt;/urls&gt;&lt;/record&gt;&lt;/Cite&gt;&lt;/EndNote&gt;</w:instrText>
      </w:r>
      <w:r w:rsidR="00DD75F7" w:rsidRPr="00B62318">
        <w:fldChar w:fldCharType="separate"/>
      </w:r>
      <w:r w:rsidR="00402049" w:rsidRPr="00B62318">
        <w:rPr>
          <w:noProof/>
        </w:rPr>
        <w:t>(</w:t>
      </w:r>
      <w:hyperlink w:anchor="_ENREF_13_64" w:tooltip="Unruh, 2000 #1381" w:history="1">
        <w:r w:rsidR="00673035" w:rsidRPr="00B62318">
          <w:rPr>
            <w:noProof/>
          </w:rPr>
          <w:t>Unruh, 2000</w:t>
        </w:r>
      </w:hyperlink>
      <w:r w:rsidR="00402049" w:rsidRPr="00B62318">
        <w:rPr>
          <w:noProof/>
        </w:rPr>
        <w:t>)</w:t>
      </w:r>
      <w:r w:rsidR="00DD75F7" w:rsidRPr="00B62318">
        <w:fldChar w:fldCharType="end"/>
      </w:r>
      <w:r w:rsidRPr="00B62318">
        <w:t xml:space="preserve">, and on analyses of infrastructure and carbon lock-in that highlight how long-lived spatial allocations generate inertia in socio-technical systems </w:t>
      </w:r>
      <w:r w:rsidR="00DD75F7" w:rsidRPr="00B62318">
        <w:fldChar w:fldCharType="begin"/>
      </w:r>
      <w:r w:rsidR="00402049" w:rsidRPr="00B62318">
        <w:instrText xml:space="preserve"> ADDIN EN.CITE &lt;EndNote&gt;&lt;Cite&gt;&lt;Author&gt;Seto&lt;/Author&gt;&lt;Year&gt;2016&lt;/Year&gt;&lt;RecNum&gt;1370&lt;/RecNum&gt;&lt;DisplayText&gt;(Seto et al., 2016)&lt;/DisplayText&gt;&lt;record&gt;&lt;rec-number&gt;1370&lt;/rec-number&gt;&lt;foreign-keys&gt;&lt;key app="EN" db-id="ssraawt0aw9azuedz5b5pfszez0twxsdzpz2" timestamp="1768343779"&gt;1370&lt;/key&gt;&lt;/foreign-keys&gt;&lt;ref-type name="Journal Article"&gt;17&lt;/ref-type&gt;&lt;contributors&gt;&lt;authors&gt;&lt;author&gt;Seto, Karen C&lt;/author&gt;&lt;author&gt;Davis, Steven J&lt;/author&gt;&lt;author&gt;Mitchell, Ronald B&lt;/author&gt;&lt;author&gt;Stokes, Eleanor C&lt;/author&gt;&lt;author&gt;Unruh, Gregory&lt;/author&gt;&lt;author&gt;Ürge-Vorsatz, Diana&lt;/author&gt;&lt;/authors&gt;&lt;/contributors&gt;&lt;titles&gt;&lt;title&gt;Carbon lock-in: types, causes, and policy implications&lt;/title&gt;&lt;secondary-title&gt;Annual review of environment and resources&lt;/secondary-title&gt;&lt;/titles&gt;&lt;periodical&gt;&lt;full-title&gt;Annual Review of Environment and Resources&lt;/full-title&gt;&lt;/periodical&gt;&lt;pages&gt;425-452&lt;/pages&gt;&lt;volume&gt;41&lt;/volume&gt;&lt;number&gt;1&lt;/number&gt;&lt;dates&gt;&lt;year&gt;2016&lt;/year&gt;&lt;/dates&gt;&lt;isbn&gt;1543-5938&lt;/isbn&gt;&lt;urls&gt;&lt;/urls&gt;&lt;/record&gt;&lt;/Cite&gt;&lt;/EndNote&gt;</w:instrText>
      </w:r>
      <w:r w:rsidR="00DD75F7" w:rsidRPr="00B62318">
        <w:fldChar w:fldCharType="separate"/>
      </w:r>
      <w:r w:rsidR="00402049" w:rsidRPr="00B62318">
        <w:rPr>
          <w:noProof/>
        </w:rPr>
        <w:t>(</w:t>
      </w:r>
      <w:hyperlink w:anchor="_ENREF_13_56" w:tooltip="Seto, 2016 #1370" w:history="1">
        <w:r w:rsidR="00673035" w:rsidRPr="00B62318">
          <w:rPr>
            <w:noProof/>
          </w:rPr>
          <w:t>Seto et al., 2016</w:t>
        </w:r>
      </w:hyperlink>
      <w:r w:rsidR="00402049" w:rsidRPr="00B62318">
        <w:rPr>
          <w:noProof/>
        </w:rPr>
        <w:t>)</w:t>
      </w:r>
      <w:r w:rsidR="00DD75F7" w:rsidRPr="00B62318">
        <w:fldChar w:fldCharType="end"/>
      </w:r>
      <w:r w:rsidRPr="00B62318">
        <w:t xml:space="preserve">. Methodologically, we adopt an adaptation </w:t>
      </w:r>
      <w:r w:rsidR="000E2C23">
        <w:t>regimes</w:t>
      </w:r>
      <w:r w:rsidRPr="00B62318">
        <w:t xml:space="preserve"> perspective, evaluating how decision options evolve through time and how </w:t>
      </w:r>
      <w:r w:rsidR="00F37CFC">
        <w:t>shifting</w:t>
      </w:r>
      <w:r w:rsidRPr="00B62318">
        <w:t xml:space="preserve"> actions perform under progressively tightening constraints </w:t>
      </w:r>
      <w:r w:rsidRPr="00B62318">
        <w:fldChar w:fldCharType="begin"/>
      </w:r>
      <w:r w:rsidR="00402049" w:rsidRPr="00B62318">
        <w:instrText xml:space="preserve"> ADDIN EN.CITE &lt;EndNote&gt;&lt;Cite&gt;&lt;Author&gt;Haasnoot&lt;/Author&gt;&lt;Year&gt;2020&lt;/Year&gt;&lt;RecNum&gt;1371&lt;/RecNum&gt;&lt;DisplayText&gt;(Haasnoot et al., 2020; Haasnoot et al., 2013)&lt;/DisplayText&gt;&lt;record&gt;&lt;rec-number&gt;1371&lt;/rec-number&gt;&lt;foreign-keys&gt;&lt;key app="EN" db-id="ssraawt0aw9azuedz5b5pfszez0twxsdzpz2" timestamp="1768344393"&gt;1371&lt;/key&gt;&lt;/foreign-keys&gt;&lt;ref-type name="Journal Article"&gt;17&lt;/ref-type&gt;&lt;contributors&gt;&lt;authors&gt;&lt;author&gt;Haasnoot, Marjolijn&lt;/author&gt;&lt;author&gt;Biesbroek, Robbert&lt;/author&gt;&lt;author&gt;Lawrence, Judy&lt;/author&gt;&lt;author&gt;Muccione, Veruska&lt;/author&gt;&lt;author&gt;Lempert, Robert&lt;/author&gt;&lt;author&gt;Glavovic, Bruce&lt;/author&gt;&lt;/authors&gt;&lt;/contributors&gt;&lt;titles&gt;&lt;title&gt;Defining the solution space to accelerate climate change adaptation&lt;/title&gt;&lt;secondary-title&gt;Regional Environmental Change&lt;/secondary-title&gt;&lt;/titles&gt;&lt;periodical&gt;&lt;full-title&gt;Regional environmental change&lt;/full-title&gt;&lt;/periodical&gt;&lt;pages&gt;37&lt;/pages&gt;&lt;volume&gt;20&lt;/volume&gt;&lt;number&gt;2&lt;/number&gt;&lt;dates&gt;&lt;year&gt;2020&lt;/year&gt;&lt;/dates&gt;&lt;isbn&gt;1436-3798&lt;/isbn&gt;&lt;urls&gt;&lt;/urls&gt;&lt;/record&gt;&lt;/Cite&gt;&lt;Cite&gt;&lt;Author&gt;Haasnoot&lt;/Author&gt;&lt;Year&gt;2013&lt;/Year&gt;&lt;RecNum&gt;1354&lt;/RecNum&gt;&lt;record&gt;&lt;rec-number&gt;1354&lt;/rec-number&gt;&lt;foreign-keys&gt;&lt;key app="EN" db-id="ssraawt0aw9azuedz5b5pfszez0twxsdzpz2" timestamp="1767851859"&gt;1354&lt;/key&gt;&lt;/foreign-keys&gt;&lt;ref-type name="Journal Article"&gt;17&lt;/ref-type&gt;&lt;contributors&gt;&lt;authors&gt;&lt;author&gt;Haasnoot, Marjolijn&lt;/author&gt;&lt;author&gt;Kwakkel, Jan H&lt;/author&gt;&lt;author&gt;Walker, Warren E&lt;/author&gt;&lt;author&gt;Ter Maat, Judith&lt;/author&gt;&lt;/authors&gt;&lt;/contributors&gt;&lt;titles&gt;&lt;title&gt;Dynamic adaptive policy pathways: A method for crafting robust decisions for a deeply uncertain world&lt;/title&gt;&lt;secondary-title&gt;Global environmental change&lt;/secondary-title&gt;&lt;/titles&gt;&lt;periodical&gt;&lt;full-title&gt;Global environmental change&lt;/full-title&gt;&lt;/periodical&gt;&lt;pages&gt;485-498&lt;/pages&gt;&lt;volume&gt;23&lt;/volume&gt;&lt;number&gt;2&lt;/number&gt;&lt;dates&gt;&lt;year&gt;2013&lt;/year&gt;&lt;/dates&gt;&lt;isbn&gt;0959-3780&lt;/isbn&gt;&lt;urls&gt;&lt;/urls&gt;&lt;/record&gt;&lt;/Cite&gt;&lt;/EndNote&gt;</w:instrText>
      </w:r>
      <w:r w:rsidRPr="00B62318">
        <w:fldChar w:fldCharType="separate"/>
      </w:r>
      <w:r w:rsidR="00402049" w:rsidRPr="00B62318">
        <w:rPr>
          <w:noProof/>
        </w:rPr>
        <w:t>(</w:t>
      </w:r>
      <w:hyperlink w:anchor="_ENREF_13_26" w:tooltip="Haasnoot, 2020 #1371" w:history="1">
        <w:r w:rsidR="00673035" w:rsidRPr="00B62318">
          <w:rPr>
            <w:noProof/>
          </w:rPr>
          <w:t>Haasnoot et al., 2020</w:t>
        </w:r>
      </w:hyperlink>
      <w:r w:rsidR="00402049" w:rsidRPr="00B62318">
        <w:rPr>
          <w:noProof/>
        </w:rPr>
        <w:t xml:space="preserve">; </w:t>
      </w:r>
      <w:hyperlink w:anchor="_ENREF_13_28" w:tooltip="Haasnoot, 2013 #1354" w:history="1">
        <w:r w:rsidR="00673035" w:rsidRPr="00B62318">
          <w:rPr>
            <w:noProof/>
          </w:rPr>
          <w:t>Haasnoot et al., 2013</w:t>
        </w:r>
      </w:hyperlink>
      <w:r w:rsidR="00402049" w:rsidRPr="00B62318">
        <w:rPr>
          <w:noProof/>
        </w:rPr>
        <w:t>)</w:t>
      </w:r>
      <w:r w:rsidRPr="00B62318">
        <w:fldChar w:fldCharType="end"/>
      </w:r>
      <w:r w:rsidRPr="00B62318">
        <w:t>.</w:t>
      </w:r>
    </w:p>
    <w:p w14:paraId="6B8EED32" w14:textId="3F58EDD5" w:rsidR="00AC6722" w:rsidRPr="00B62318" w:rsidRDefault="00AC6722" w:rsidP="00AC6722">
      <w:pPr>
        <w:rPr>
          <w:rFonts w:eastAsiaTheme="minorEastAsia"/>
        </w:rPr>
      </w:pPr>
      <w:r w:rsidRPr="00B62318">
        <w:t xml:space="preserve">To isolate this effect, we construct controlled </w:t>
      </w:r>
      <w:r w:rsidR="000E2C23">
        <w:t>regime shift</w:t>
      </w:r>
      <w:r w:rsidRPr="00B62318">
        <w:t xml:space="preserve"> experiments across all combinations of justice principles and allocation </w:t>
      </w:r>
      <w:r w:rsidR="007734E3">
        <w:t>timelines</w:t>
      </w:r>
      <w:r w:rsidRPr="00B62318">
        <w:t>. Each experiment compares three trajectories. The first is a baseline no-</w:t>
      </w:r>
      <w:r w:rsidR="000E2C23">
        <w:t>shift regime</w:t>
      </w:r>
      <w:r w:rsidRPr="00B62318">
        <w:t xml:space="preserve">, in which a fixed adaptation </w:t>
      </w:r>
      <w:r w:rsidR="000E2C23">
        <w:t>regime</w:t>
      </w:r>
      <w:r w:rsidRPr="00B62318">
        <w:t xml:space="preserve"> governs all allocation decisions from 2040 to 2100. The second is a target no-s</w:t>
      </w:r>
      <w:r w:rsidR="000E2C23">
        <w:t>hift</w:t>
      </w:r>
      <w:r w:rsidRPr="00B62318">
        <w:t xml:space="preserve"> counterfactual </w:t>
      </w:r>
      <w:r w:rsidR="000E2C23">
        <w:t>regime</w:t>
      </w:r>
      <w:r w:rsidRPr="00B62318">
        <w:t xml:space="preserve">, in which an alternative procedural decision rule is applied over the entire horizon. The third is a </w:t>
      </w:r>
      <w:r w:rsidR="000E2C23">
        <w:t>shifted</w:t>
      </w:r>
      <w:r w:rsidRPr="00B62318">
        <w:t xml:space="preserve"> </w:t>
      </w:r>
      <w:r w:rsidR="000E2C23">
        <w:t>regime</w:t>
      </w:r>
      <w:r w:rsidRPr="00B62318">
        <w:t xml:space="preserve">, in which the system follows the baseline adaptation </w:t>
      </w:r>
      <w:r w:rsidR="006B61A8">
        <w:t>regime</w:t>
      </w:r>
      <w:r w:rsidRPr="00B62318">
        <w:t xml:space="preserve"> up to a specified </w:t>
      </w:r>
      <w:r w:rsidR="006B61A8">
        <w:t>shift</w:t>
      </w:r>
      <w:r w:rsidR="005E0B1C">
        <w:t>ing</w:t>
      </w:r>
      <w:r w:rsidRPr="00B62318">
        <w:t xml:space="preserve"> year and then adopts the target adaptation </w:t>
      </w:r>
      <w:r w:rsidR="00A7471A">
        <w:t>regime</w:t>
      </w:r>
      <w:r w:rsidRPr="00B62318">
        <w:t xml:space="preserve"> for all subsequent decisions. </w:t>
      </w:r>
      <w:r w:rsidR="00A7471A">
        <w:t>Shifting</w:t>
      </w:r>
      <w:r w:rsidRPr="00B62318">
        <w:t xml:space="preserve"> decisions are implemented at decadal decision points </w:t>
      </w:r>
      <w:r w:rsidR="00265883" w:rsidRPr="00B62318">
        <w:rPr>
          <w:rFonts w:asciiTheme="majorBidi" w:hAnsiTheme="majorBidi" w:cstheme="majorBidi"/>
          <w:i/>
          <w:iCs/>
        </w:rPr>
        <w:t>s</w:t>
      </w:r>
      <w:r w:rsidR="00265883" w:rsidRPr="00B62318">
        <w:rPr>
          <w:rFonts w:asciiTheme="majorBidi" w:hAnsiTheme="majorBidi" w:cstheme="majorBidi"/>
        </w:rPr>
        <w:t xml:space="preserve"> </w:t>
      </w:r>
      <w:r w:rsidR="00265883" w:rsidRPr="00B62318">
        <w:rPr>
          <w:rFonts w:ascii="Cambria Math" w:hAnsi="Cambria Math" w:cs="Cambria Math"/>
        </w:rPr>
        <w:t>∈</w:t>
      </w:r>
      <w:r w:rsidR="00265883" w:rsidRPr="00B62318">
        <w:rPr>
          <w:rFonts w:asciiTheme="majorBidi" w:hAnsiTheme="majorBidi" w:cstheme="majorBidi"/>
        </w:rPr>
        <w:t xml:space="preserve"> {2040, 2050, 2060, 2070, 2080</w:t>
      </w:r>
      <w:r w:rsidR="00354F36">
        <w:rPr>
          <w:rFonts w:asciiTheme="majorBidi" w:hAnsiTheme="majorBidi" w:cstheme="majorBidi"/>
        </w:rPr>
        <w:t>, 2090</w:t>
      </w:r>
      <w:r w:rsidR="00265883" w:rsidRPr="00B62318">
        <w:rPr>
          <w:rFonts w:asciiTheme="majorBidi" w:hAnsiTheme="majorBidi" w:cstheme="majorBidi"/>
        </w:rPr>
        <w:t>}.</w:t>
      </w:r>
      <w:r w:rsidR="00265883" w:rsidRPr="00B62318">
        <w:rPr>
          <w:rFonts w:ascii="Cambria Math" w:hAnsi="Cambria Math" w:cs="Cambria Math"/>
        </w:rPr>
        <w:t xml:space="preserve"> </w:t>
      </w:r>
      <w:r w:rsidRPr="00B62318">
        <w:t xml:space="preserve">Because allocations made at decade </w:t>
      </w:r>
      <w:r w:rsidRPr="00B62318">
        <w:rPr>
          <w:i/>
          <w:iCs/>
        </w:rPr>
        <w:t>s</w:t>
      </w:r>
      <w:r w:rsidRPr="00B62318">
        <w:t xml:space="preserve"> determine the system state observed in the </w:t>
      </w:r>
      <w:r w:rsidRPr="00B62318">
        <w:lastRenderedPageBreak/>
        <w:t xml:space="preserve">subsequent decade, the effects of </w:t>
      </w:r>
      <w:r w:rsidR="00A7471A">
        <w:t>shifting</w:t>
      </w:r>
      <w:r w:rsidRPr="00B62318">
        <w:t xml:space="preserve"> </w:t>
      </w:r>
      <w:r w:rsidRPr="00B62318">
        <w:rPr>
          <w:rFonts w:asciiTheme="majorBidi" w:hAnsiTheme="majorBidi" w:cstheme="majorBidi"/>
        </w:rPr>
        <w:t xml:space="preserve">are manifested in </w:t>
      </w:r>
      <w:r w:rsidR="00E83024" w:rsidRPr="00B62318">
        <w:rPr>
          <w:rFonts w:asciiTheme="majorBidi" w:eastAsiaTheme="minorEastAsia" w:hAnsiTheme="majorBidi" w:cstheme="majorBidi"/>
          <w:i/>
          <w:iCs/>
        </w:rPr>
        <w:t>t</w:t>
      </w:r>
      <w:r w:rsidR="00265883" w:rsidRPr="00B62318">
        <w:rPr>
          <w:rFonts w:asciiTheme="majorBidi" w:eastAsiaTheme="minorEastAsia" w:hAnsiTheme="majorBidi" w:cstheme="majorBidi"/>
        </w:rPr>
        <w:t xml:space="preserve"> </w:t>
      </w:r>
      <w:r w:rsidR="00265883" w:rsidRPr="00B62318">
        <w:rPr>
          <w:rFonts w:ascii="Cambria Math" w:hAnsi="Cambria Math" w:cs="Cambria Math"/>
        </w:rPr>
        <w:t>∈</w:t>
      </w:r>
      <w:r w:rsidR="00E83024" w:rsidRPr="00B62318">
        <w:rPr>
          <w:rFonts w:asciiTheme="majorBidi" w:hAnsiTheme="majorBidi" w:cstheme="majorBidi"/>
        </w:rPr>
        <w:t xml:space="preserve"> {2050, 2060, 2070, 2080, 2090</w:t>
      </w:r>
      <w:r w:rsidR="00354F36">
        <w:rPr>
          <w:rFonts w:asciiTheme="majorBidi" w:hAnsiTheme="majorBidi" w:cstheme="majorBidi"/>
        </w:rPr>
        <w:t>, 2100</w:t>
      </w:r>
      <w:r w:rsidR="00E83024" w:rsidRPr="00B62318">
        <w:rPr>
          <w:rFonts w:asciiTheme="majorBidi" w:hAnsiTheme="majorBidi" w:cstheme="majorBidi"/>
        </w:rPr>
        <w:t>}.</w:t>
      </w:r>
    </w:p>
    <w:p w14:paraId="652E79B1" w14:textId="0DA58A2E" w:rsidR="00AC6722" w:rsidRPr="00B62318" w:rsidRDefault="00AC6722" w:rsidP="00AC6722">
      <w:r w:rsidRPr="00B62318">
        <w:t xml:space="preserve">At the moment of </w:t>
      </w:r>
      <w:r w:rsidR="00BF579D">
        <w:t>shifting</w:t>
      </w:r>
      <w:r w:rsidRPr="00B62318">
        <w:t xml:space="preserve">, past allocations are treated as sunk, and the remaining canopy budget is reallocated across the remaining decades according to the allocation </w:t>
      </w:r>
      <w:r w:rsidR="007734E3">
        <w:t xml:space="preserve">timeline </w:t>
      </w:r>
      <w:r w:rsidRPr="00B62318">
        <w:t xml:space="preserve">of the target adaptation </w:t>
      </w:r>
      <w:r w:rsidR="00BF579D">
        <w:t>regime</w:t>
      </w:r>
      <w:r w:rsidRPr="00B62318">
        <w:t xml:space="preserve">. This reproduces the sequential decision logic implemented in the simulation code, where allocation </w:t>
      </w:r>
      <w:r w:rsidR="007734E3">
        <w:t xml:space="preserve">timelines </w:t>
      </w:r>
      <w:r w:rsidRPr="00B62318">
        <w:t>are dynamically replanned conditional on prior commitments.</w:t>
      </w:r>
    </w:p>
    <w:p w14:paraId="42FF761C" w14:textId="17B92170" w:rsidR="00AC6722" w:rsidRPr="00B62318" w:rsidRDefault="00AC6722" w:rsidP="00AC6722">
      <w:r w:rsidRPr="00B62318">
        <w:t xml:space="preserve">Lock-in is measured as the cumulative divergence between the realized </w:t>
      </w:r>
      <w:r w:rsidR="00BF579D">
        <w:t>shifted</w:t>
      </w:r>
      <w:r w:rsidRPr="00B62318">
        <w:t xml:space="preserve"> trajectory and the corresponding no-</w:t>
      </w:r>
      <w:r w:rsidR="00BF579D">
        <w:t xml:space="preserve">shift </w:t>
      </w:r>
      <w:r w:rsidRPr="00B62318">
        <w:t xml:space="preserve">counterfactual trajectory. For a given system state metric </w:t>
      </w:r>
      <m:oMath>
        <m:sSub>
          <m:sSubPr>
            <m:ctrlPr>
              <w:rPr>
                <w:rFonts w:ascii="Cambria Math" w:hAnsi="Cambria Math"/>
              </w:rPr>
            </m:ctrlPr>
          </m:sSubPr>
          <m:e>
            <m:r>
              <w:rPr>
                <w:rFonts w:ascii="Cambria Math" w:hAnsi="Cambria Math"/>
              </w:rPr>
              <m:t>y</m:t>
            </m:r>
          </m:e>
          <m:sub>
            <m:r>
              <w:rPr>
                <w:rFonts w:ascii="Cambria Math" w:hAnsi="Cambria Math"/>
              </w:rPr>
              <m:t>t</m:t>
            </m:r>
          </m:sub>
        </m:sSub>
      </m:oMath>
      <w:r w:rsidRPr="00B62318">
        <w:rPr>
          <w:rFonts w:eastAsiaTheme="minorEastAsia"/>
        </w:rPr>
        <w:t xml:space="preserve"> </w:t>
      </w:r>
      <w:r w:rsidR="00786A3D" w:rsidRPr="00786A3D">
        <w:t>(e.g., canopy evenness or built-weighted canopy evenness</w:t>
      </w:r>
      <w:r w:rsidRPr="00B62318">
        <w:t xml:space="preserve">), the lock-in cost associated with </w:t>
      </w:r>
      <w:r w:rsidR="00BF579D">
        <w:t>shifting</w:t>
      </w:r>
      <w:r w:rsidRPr="00B62318">
        <w:t xml:space="preserve"> at year </w:t>
      </w:r>
      <m:oMath>
        <m:r>
          <w:rPr>
            <w:rFonts w:ascii="Cambria Math" w:hAnsi="Cambria Math"/>
          </w:rPr>
          <m:t>s</m:t>
        </m:r>
      </m:oMath>
      <w:r w:rsidRPr="00B62318">
        <w:rPr>
          <w:rFonts w:eastAsiaTheme="minorEastAsia"/>
        </w:rPr>
        <w:t xml:space="preserve"> </w:t>
      </w:r>
      <w:r w:rsidRPr="00B62318">
        <w:t>is defined as the integrated difference between trajectories over time,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08FC7773" w14:textId="77777777" w:rsidTr="00847F2D">
        <w:tc>
          <w:tcPr>
            <w:tcW w:w="625" w:type="dxa"/>
          </w:tcPr>
          <w:p w14:paraId="5D62DED8" w14:textId="77777777" w:rsidR="00AC6722" w:rsidRPr="00B62318" w:rsidRDefault="00AC6722" w:rsidP="00F438D9"/>
        </w:tc>
        <w:tc>
          <w:tcPr>
            <w:tcW w:w="7740" w:type="dxa"/>
            <w:vAlign w:val="center"/>
          </w:tcPr>
          <w:p w14:paraId="350BFA08" w14:textId="77777777" w:rsidR="00AC6722" w:rsidRPr="00B62318" w:rsidRDefault="00AC6722" w:rsidP="00F438D9">
            <w:pPr>
              <w:jc w:val="center"/>
            </w:pPr>
            <m:oMathPara>
              <m:oMath>
                <m:r>
                  <m:rPr>
                    <m:nor/>
                  </m:rPr>
                  <m:t>Lock-in</m:t>
                </m:r>
                <m:r>
                  <w:rPr>
                    <w:rFonts w:ascii="Cambria Math" w:hAnsi="Cambria Math"/>
                  </w:rPr>
                  <m:t>(s)=</m:t>
                </m:r>
                <m:nary>
                  <m:naryPr>
                    <m:chr m:val="∑"/>
                    <m:limLoc m:val="undOvr"/>
                    <m:grow m:val="1"/>
                    <m:supHide m:val="1"/>
                    <m:ctrlPr>
                      <w:rPr>
                        <w:rFonts w:ascii="Cambria Math" w:hAnsi="Cambria Math"/>
                      </w:rPr>
                    </m:ctrlPr>
                  </m:naryPr>
                  <m:sub>
                    <m:r>
                      <w:rPr>
                        <w:rFonts w:ascii="Cambria Math" w:hAnsi="Cambria Math"/>
                      </w:rPr>
                      <m:t>t</m:t>
                    </m:r>
                  </m:sub>
                  <m:sup/>
                  <m:e>
                    <m:r>
                      <w:rPr>
                        <w:rFonts w:ascii="Cambria Math" w:hAnsi="Cambria Math"/>
                      </w:rPr>
                      <m:t>∣</m:t>
                    </m:r>
                    <m:sSubSup>
                      <m:sSubSupPr>
                        <m:ctrlPr>
                          <w:rPr>
                            <w:rFonts w:ascii="Cambria Math" w:hAnsi="Cambria Math"/>
                          </w:rPr>
                        </m:ctrlPr>
                      </m:sSubSupPr>
                      <m:e>
                        <m:r>
                          <w:rPr>
                            <w:rFonts w:ascii="Cambria Math" w:hAnsi="Cambria Math"/>
                          </w:rPr>
                          <m:t>y</m:t>
                        </m:r>
                      </m:e>
                      <m:sub>
                        <m:r>
                          <w:rPr>
                            <w:rFonts w:ascii="Cambria Math" w:hAnsi="Cambria Math"/>
                          </w:rPr>
                          <m:t>t</m:t>
                        </m:r>
                      </m:sub>
                      <m:sup>
                        <m:r>
                          <w:rPr>
                            <w:rFonts w:ascii="Cambria Math" w:hAnsi="Cambria Math"/>
                          </w:rPr>
                          <m:t>sw</m:t>
                        </m:r>
                      </m:sup>
                    </m:sSubSup>
                    <m:r>
                      <w:rPr>
                        <w:rFonts w:ascii="Cambria Math" w:hAnsi="Cambria Math"/>
                      </w:rPr>
                      <m:t>(s)-</m:t>
                    </m:r>
                    <m:sSubSup>
                      <m:sSubSupPr>
                        <m:ctrlPr>
                          <w:rPr>
                            <w:rFonts w:ascii="Cambria Math" w:hAnsi="Cambria Math"/>
                          </w:rPr>
                        </m:ctrlPr>
                      </m:sSubSupPr>
                      <m:e>
                        <m:r>
                          <w:rPr>
                            <w:rFonts w:ascii="Cambria Math" w:hAnsi="Cambria Math"/>
                          </w:rPr>
                          <m:t>y</m:t>
                        </m:r>
                      </m:e>
                      <m:sub>
                        <m:r>
                          <w:rPr>
                            <w:rFonts w:ascii="Cambria Math" w:hAnsi="Cambria Math"/>
                          </w:rPr>
                          <m:t>t</m:t>
                        </m:r>
                      </m:sub>
                      <m:sup>
                        <m:r>
                          <w:rPr>
                            <w:rFonts w:ascii="Cambria Math" w:hAnsi="Cambria Math"/>
                          </w:rPr>
                          <m:t>tg</m:t>
                        </m:r>
                      </m:sup>
                    </m:sSubSup>
                    <m:r>
                      <w:rPr>
                        <w:rFonts w:ascii="Cambria Math" w:hAnsi="Cambria Math"/>
                      </w:rPr>
                      <m:t>∣</m:t>
                    </m:r>
                  </m:e>
                </m:nary>
                <m:r>
                  <w:rPr>
                    <w:rFonts w:ascii="Cambria Math" w:hAnsi="Cambria Math"/>
                  </w:rPr>
                  <m:t>⋅</m:t>
                </m:r>
                <m:r>
                  <m:rPr>
                    <m:sty m:val="p"/>
                  </m:rPr>
                  <w:rPr>
                    <w:rFonts w:ascii="Cambria Math" w:hAnsi="Cambria Math"/>
                  </w:rPr>
                  <m:t>Δ</m:t>
                </m:r>
                <m:r>
                  <w:rPr>
                    <w:rFonts w:ascii="Cambria Math" w:hAnsi="Cambria Math"/>
                  </w:rPr>
                  <m:t>t,</m:t>
                </m:r>
              </m:oMath>
            </m:oMathPara>
          </w:p>
        </w:tc>
        <w:tc>
          <w:tcPr>
            <w:tcW w:w="697" w:type="dxa"/>
            <w:vAlign w:val="center"/>
          </w:tcPr>
          <w:p w14:paraId="2783DE86" w14:textId="7BADF05E"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24</w:t>
            </w:r>
            <w:r w:rsidRPr="00B62318">
              <w:fldChar w:fldCharType="end"/>
            </w:r>
            <w:r w:rsidRPr="00B62318">
              <w:t>)</w:t>
            </w:r>
          </w:p>
        </w:tc>
      </w:tr>
    </w:tbl>
    <w:p w14:paraId="587F362A" w14:textId="1F878B92" w:rsidR="00AC6722" w:rsidRPr="00B62318" w:rsidRDefault="00AC6722" w:rsidP="00AC6722">
      <w:r w:rsidRPr="00B62318">
        <w:t xml:space="preserve">where </w:t>
      </w:r>
      <m:oMath>
        <m:sSubSup>
          <m:sSubSupPr>
            <m:ctrlPr>
              <w:rPr>
                <w:rFonts w:ascii="Cambria Math" w:hAnsi="Cambria Math"/>
              </w:rPr>
            </m:ctrlPr>
          </m:sSubSupPr>
          <m:e>
            <m:r>
              <w:rPr>
                <w:rFonts w:ascii="Cambria Math" w:hAnsi="Cambria Math"/>
              </w:rPr>
              <m:t>y</m:t>
            </m:r>
          </m:e>
          <m:sub>
            <m:r>
              <w:rPr>
                <w:rFonts w:ascii="Cambria Math" w:hAnsi="Cambria Math"/>
              </w:rPr>
              <m:t>t</m:t>
            </m:r>
          </m:sub>
          <m:sup>
            <m:r>
              <w:rPr>
                <w:rFonts w:ascii="Cambria Math" w:hAnsi="Cambria Math"/>
              </w:rPr>
              <m:t>sw</m:t>
            </m:r>
          </m:sup>
        </m:sSubSup>
        <m:r>
          <w:rPr>
            <w:rFonts w:ascii="Cambria Math" w:hAnsi="Cambria Math"/>
          </w:rPr>
          <m:t>(s)</m:t>
        </m:r>
      </m:oMath>
      <w:r w:rsidRPr="00B62318">
        <w:rPr>
          <w:rFonts w:eastAsiaTheme="minorEastAsia"/>
        </w:rPr>
        <w:t xml:space="preserve"> </w:t>
      </w:r>
      <w:r w:rsidRPr="00B62318">
        <w:t xml:space="preserve">is the state under the </w:t>
      </w:r>
      <w:r w:rsidR="00BF579D">
        <w:t>shifted regime</w:t>
      </w:r>
      <w:r w:rsidRPr="00B62318">
        <w:t xml:space="preserve"> and </w:t>
      </w:r>
      <m:oMath>
        <m:sSubSup>
          <m:sSubSupPr>
            <m:ctrlPr>
              <w:rPr>
                <w:rFonts w:ascii="Cambria Math" w:hAnsi="Cambria Math"/>
              </w:rPr>
            </m:ctrlPr>
          </m:sSubSupPr>
          <m:e>
            <m:r>
              <w:rPr>
                <w:rFonts w:ascii="Cambria Math" w:hAnsi="Cambria Math"/>
              </w:rPr>
              <m:t>y</m:t>
            </m:r>
          </m:e>
          <m:sub>
            <m:r>
              <w:rPr>
                <w:rFonts w:ascii="Cambria Math" w:hAnsi="Cambria Math"/>
              </w:rPr>
              <m:t>t</m:t>
            </m:r>
          </m:sub>
          <m:sup>
            <m:r>
              <w:rPr>
                <w:rFonts w:ascii="Cambria Math" w:hAnsi="Cambria Math"/>
              </w:rPr>
              <m:t>tg</m:t>
            </m:r>
          </m:sup>
        </m:sSubSup>
      </m:oMath>
      <w:r w:rsidRPr="00B62318">
        <w:rPr>
          <w:rFonts w:eastAsiaTheme="minorEastAsia"/>
        </w:rPr>
        <w:t xml:space="preserve"> </w:t>
      </w:r>
      <w:r w:rsidRPr="00B62318">
        <w:t xml:space="preserve">is the corresponding counterfactual state under the target </w:t>
      </w:r>
      <w:r w:rsidR="00BF579D">
        <w:t>regime</w:t>
      </w:r>
      <w:r w:rsidRPr="00B62318">
        <w:t xml:space="preserve">. This quantity is expressed in percentage-point years, capturing both the magnitude and persistence of divergence. This formulation allows lock-in to be evaluated consistently across all </w:t>
      </w:r>
      <w:r w:rsidR="00BF579D">
        <w:t>regime</w:t>
      </w:r>
      <w:r w:rsidRPr="00B62318">
        <w:t xml:space="preserve"> transitions, canopy budgets, and SSP–RCP scenarios.</w:t>
      </w:r>
    </w:p>
    <w:p w14:paraId="234DDCB9" w14:textId="593E1FB8" w:rsidR="00AC6722" w:rsidRPr="00B62318" w:rsidRDefault="00AC6722" w:rsidP="004A5D3E">
      <w:pPr>
        <w:pStyle w:val="Heading2"/>
        <w:rPr>
          <w:rFonts w:eastAsia="Times New Roman"/>
          <w:lang w:eastAsia="en-AU"/>
        </w:rPr>
      </w:pPr>
      <w:r w:rsidRPr="00B62318">
        <w:rPr>
          <w:rFonts w:eastAsia="Times New Roman"/>
          <w:lang w:eastAsia="en-AU"/>
        </w:rPr>
        <w:t xml:space="preserve">Analytical decomposition of </w:t>
      </w:r>
      <w:r w:rsidR="00076106">
        <w:rPr>
          <w:rFonts w:eastAsia="Times New Roman"/>
          <w:lang w:eastAsia="en-AU"/>
        </w:rPr>
        <w:t>adaptation</w:t>
      </w:r>
      <w:r w:rsidRPr="00B62318">
        <w:rPr>
          <w:rFonts w:eastAsia="Times New Roman"/>
          <w:lang w:eastAsia="en-AU"/>
        </w:rPr>
        <w:t xml:space="preserve"> lock-in</w:t>
      </w:r>
    </w:p>
    <w:p w14:paraId="7D197B85" w14:textId="11C2C0C2" w:rsidR="00AC6722" w:rsidRPr="00B62318" w:rsidRDefault="00AC6722" w:rsidP="00AC6722">
      <w:r w:rsidRPr="00B62318">
        <w:t xml:space="preserve">We examine how sequential decisions reshape the structure of the decision space through time to explain why delayed </w:t>
      </w:r>
      <w:r w:rsidR="00BF579D">
        <w:t>shif</w:t>
      </w:r>
      <w:r w:rsidR="0043511F">
        <w:t>t</w:t>
      </w:r>
      <w:r w:rsidRPr="00B62318">
        <w:t xml:space="preserve"> generates persistent divergence between adaptation </w:t>
      </w:r>
      <w:r w:rsidR="0043511F">
        <w:t>regimes</w:t>
      </w:r>
      <w:r w:rsidRPr="00B62318">
        <w:t xml:space="preserve">. </w:t>
      </w:r>
      <w:r w:rsidR="0043511F">
        <w:t>Adaptation</w:t>
      </w:r>
      <w:r w:rsidRPr="00B62318">
        <w:t xml:space="preserve"> lock-in arises because each allocation modifies both the distribution of existing canopy and the spatial configuration of remaining feasible capacity, thereby conditioning the options available to subsequent decisions.</w:t>
      </w:r>
    </w:p>
    <w:p w14:paraId="55A4A71C" w14:textId="77777777" w:rsidR="00AC6722" w:rsidRPr="00B62318" w:rsidRDefault="00AC6722" w:rsidP="00AC6722">
      <w:r w:rsidRPr="00B62318">
        <w:t>In our framework, lock-in is not driven by exogenous constraints alone, but by the interaction between evolving feasibility conditions and the cumulative effects of prior allocations. Early decisions establish spatial commitments that cannot be strategically withdrawn within the model, while feasibility constraints evolve independently through urban development and land-use limits. Together, these processes produce a path-dependent system in which later decision rules operate on an inherited and increasingly structured landscape.</w:t>
      </w:r>
    </w:p>
    <w:p w14:paraId="28ABB883" w14:textId="50308DD6" w:rsidR="00AC6722" w:rsidRPr="00B62318" w:rsidRDefault="00AC6722" w:rsidP="00AC6722">
      <w:r w:rsidRPr="00B62318">
        <w:t xml:space="preserve">All calculations use the same microcell state variables and feasibility constraints defined in Equations </w:t>
      </w:r>
      <w:r w:rsidRPr="00B62318">
        <w:fldChar w:fldCharType="begin"/>
      </w:r>
      <w:r w:rsidRPr="00B62318">
        <w:instrText xml:space="preserve"> REF _Ref221790440 \h </w:instrText>
      </w:r>
      <w:r w:rsidRPr="00B62318">
        <w:fldChar w:fldCharType="separate"/>
      </w:r>
      <w:r w:rsidR="00364E4E" w:rsidRPr="00B62318">
        <w:t>(</w:t>
      </w:r>
      <w:r w:rsidR="00364E4E">
        <w:rPr>
          <w:noProof/>
        </w:rPr>
        <w:t>15</w:t>
      </w:r>
      <w:r w:rsidR="00364E4E" w:rsidRPr="00B62318">
        <w:t>)</w:t>
      </w:r>
      <w:r w:rsidRPr="00B62318">
        <w:fldChar w:fldCharType="end"/>
      </w:r>
      <w:r w:rsidRPr="00B62318">
        <w:t xml:space="preserve"> to </w:t>
      </w:r>
      <w:r w:rsidRPr="00B62318">
        <w:fldChar w:fldCharType="begin"/>
      </w:r>
      <w:r w:rsidRPr="00B62318">
        <w:instrText xml:space="preserve"> REF _Ref221793251 \h </w:instrText>
      </w:r>
      <w:r w:rsidRPr="00B62318">
        <w:fldChar w:fldCharType="separate"/>
      </w:r>
      <w:r w:rsidR="00364E4E" w:rsidRPr="00B62318">
        <w:t>(</w:t>
      </w:r>
      <w:r w:rsidR="00364E4E">
        <w:rPr>
          <w:noProof/>
        </w:rPr>
        <w:t>17</w:t>
      </w:r>
      <w:r w:rsidR="00364E4E" w:rsidRPr="00B62318">
        <w:t>)</w:t>
      </w:r>
      <w:r w:rsidRPr="00B62318">
        <w:fldChar w:fldCharType="end"/>
      </w:r>
      <w:r w:rsidRPr="00B62318">
        <w:t xml:space="preserve">. At each decision decade </w:t>
      </w:r>
      <m:oMath>
        <m:r>
          <w:rPr>
            <w:rFonts w:ascii="Cambria Math" w:hAnsi="Cambria Math"/>
          </w:rPr>
          <m:t>t</m:t>
        </m:r>
      </m:oMath>
      <w:r w:rsidRPr="00B62318">
        <w:t xml:space="preserve">, the maximum feasible canopy fraction in microcell </w:t>
      </w:r>
      <m:oMath>
        <m:r>
          <w:rPr>
            <w:rFonts w:ascii="Cambria Math" w:hAnsi="Cambria Math"/>
          </w:rPr>
          <m:t>j</m:t>
        </m:r>
      </m:oMath>
      <w:r w:rsidRPr="00B62318">
        <w:rPr>
          <w:rFonts w:eastAsiaTheme="minorEastAsia"/>
        </w:rPr>
        <w:t xml:space="preserve"> </w:t>
      </w:r>
      <w:r w:rsidRPr="00B62318">
        <w:t xml:space="preserve">is </w:t>
      </w:r>
      <m:oMath>
        <m:sSub>
          <m:sSubPr>
            <m:ctrlPr>
              <w:rPr>
                <w:rFonts w:ascii="Cambria Math" w:hAnsi="Cambria Math"/>
              </w:rPr>
            </m:ctrlPr>
          </m:sSubPr>
          <m:e>
            <m:acc>
              <m:accPr>
                <m:chr m:val="ˉ"/>
                <m:ctrlPr>
                  <w:rPr>
                    <w:rFonts w:ascii="Cambria Math" w:hAnsi="Cambria Math"/>
                  </w:rPr>
                </m:ctrlPr>
              </m:accPr>
              <m:e>
                <m:r>
                  <w:rPr>
                    <w:rFonts w:ascii="Cambria Math" w:hAnsi="Cambria Math"/>
                  </w:rPr>
                  <m:t>c</m:t>
                </m:r>
              </m:e>
            </m:acc>
          </m:e>
          <m:sub>
            <m:r>
              <w:rPr>
                <w:rFonts w:ascii="Cambria Math" w:hAnsi="Cambria Math"/>
              </w:rPr>
              <m:t>j,t</m:t>
            </m:r>
          </m:sub>
        </m:sSub>
      </m:oMath>
      <w:r w:rsidRPr="00B62318">
        <w:rPr>
          <w:rFonts w:eastAsiaTheme="minorEastAsia"/>
        </w:rPr>
        <w:t xml:space="preserve"> </w:t>
      </w:r>
      <w:r w:rsidRPr="00B62318">
        <w:t xml:space="preserve">(Equation </w:t>
      </w:r>
      <w:r w:rsidRPr="00B62318">
        <w:fldChar w:fldCharType="begin"/>
      </w:r>
      <w:r w:rsidRPr="00B62318">
        <w:instrText xml:space="preserve"> REF _Ref221790440 \h </w:instrText>
      </w:r>
      <w:r w:rsidRPr="00B62318">
        <w:fldChar w:fldCharType="separate"/>
      </w:r>
      <w:r w:rsidR="00364E4E" w:rsidRPr="00B62318">
        <w:t>(</w:t>
      </w:r>
      <w:r w:rsidR="00364E4E">
        <w:rPr>
          <w:noProof/>
        </w:rPr>
        <w:t>15</w:t>
      </w:r>
      <w:r w:rsidR="00364E4E" w:rsidRPr="00B62318">
        <w:t>)</w:t>
      </w:r>
      <w:r w:rsidRPr="00B62318">
        <w:fldChar w:fldCharType="end"/>
      </w:r>
      <w:r w:rsidRPr="00B62318">
        <w:t xml:space="preserve">). If built expansion reduces feasibility below the realized canopy level, canopy is reduced to the post-loss state </w:t>
      </w:r>
      <m:oMath>
        <m:sSubSup>
          <m:sSubSupPr>
            <m:ctrlPr>
              <w:rPr>
                <w:rFonts w:ascii="Cambria Math" w:hAnsi="Cambria Math"/>
              </w:rPr>
            </m:ctrlPr>
          </m:sSubSupPr>
          <m:e>
            <m:r>
              <w:rPr>
                <w:rFonts w:ascii="Cambria Math" w:hAnsi="Cambria Math"/>
              </w:rPr>
              <m:t>c</m:t>
            </m:r>
          </m:e>
          <m:sub>
            <m:r>
              <w:rPr>
                <w:rFonts w:ascii="Cambria Math" w:hAnsi="Cambria Math"/>
              </w:rPr>
              <m:t>j,t</m:t>
            </m:r>
          </m:sub>
          <m:sup>
            <m:r>
              <w:rPr>
                <w:rFonts w:ascii="Cambria Math" w:hAnsi="Cambria Math"/>
              </w:rPr>
              <m:t>0</m:t>
            </m:r>
          </m:sup>
        </m:sSubSup>
      </m:oMath>
      <w:r w:rsidRPr="00B62318">
        <w:rPr>
          <w:rFonts w:eastAsiaTheme="minorEastAsia"/>
        </w:rPr>
        <w:t xml:space="preserve"> </w:t>
      </w:r>
      <w:r w:rsidRPr="00B62318">
        <w:t xml:space="preserve">(Equation </w:t>
      </w:r>
      <w:r w:rsidRPr="00B62318">
        <w:fldChar w:fldCharType="begin"/>
      </w:r>
      <w:r w:rsidRPr="00B62318">
        <w:instrText xml:space="preserve"> REF _Ref221790482 \h </w:instrText>
      </w:r>
      <w:r w:rsidRPr="00B62318">
        <w:fldChar w:fldCharType="separate"/>
      </w:r>
      <w:r w:rsidR="00364E4E" w:rsidRPr="00B62318">
        <w:t>(</w:t>
      </w:r>
      <w:r w:rsidR="00364E4E">
        <w:rPr>
          <w:noProof/>
        </w:rPr>
        <w:t>16</w:t>
      </w:r>
      <w:r w:rsidR="00364E4E" w:rsidRPr="00B62318">
        <w:t>)</w:t>
      </w:r>
      <w:r w:rsidRPr="00B62318">
        <w:fldChar w:fldCharType="end"/>
      </w:r>
      <w:r w:rsidRPr="00B62318">
        <w:t xml:space="preserve">) prior to allocation. The system is then updated by allocating increments </w:t>
      </w:r>
      <m:oMath>
        <m:r>
          <m:rPr>
            <m:sty m:val="p"/>
          </m:rPr>
          <w:rPr>
            <w:rFonts w:ascii="Cambria Math" w:hAnsi="Cambria Math"/>
          </w:rPr>
          <m:t>Δ</m:t>
        </m:r>
        <m:sSub>
          <m:sSubPr>
            <m:ctrlPr>
              <w:rPr>
                <w:rFonts w:ascii="Cambria Math" w:hAnsi="Cambria Math"/>
              </w:rPr>
            </m:ctrlPr>
          </m:sSubPr>
          <m:e>
            <m:r>
              <w:rPr>
                <w:rFonts w:ascii="Cambria Math" w:hAnsi="Cambria Math"/>
              </w:rPr>
              <m:t>c</m:t>
            </m:r>
          </m:e>
          <m:sub>
            <m:r>
              <w:rPr>
                <w:rFonts w:ascii="Cambria Math" w:hAnsi="Cambria Math"/>
              </w:rPr>
              <m:t>j,t</m:t>
            </m:r>
          </m:sub>
        </m:sSub>
      </m:oMath>
      <w:r w:rsidRPr="00B62318">
        <w:t xml:space="preserve">, and the canopy state is propagated forward (Equation </w:t>
      </w:r>
      <w:r w:rsidRPr="00B62318">
        <w:fldChar w:fldCharType="begin"/>
      </w:r>
      <w:r w:rsidRPr="00B62318">
        <w:instrText xml:space="preserve"> REF _Ref221793251 \h </w:instrText>
      </w:r>
      <w:r w:rsidRPr="00B62318">
        <w:fldChar w:fldCharType="separate"/>
      </w:r>
      <w:r w:rsidR="00364E4E" w:rsidRPr="00B62318">
        <w:t>(</w:t>
      </w:r>
      <w:r w:rsidR="00364E4E">
        <w:rPr>
          <w:noProof/>
        </w:rPr>
        <w:t>17</w:t>
      </w:r>
      <w:r w:rsidR="00364E4E" w:rsidRPr="00B62318">
        <w:t>)</w:t>
      </w:r>
      <w:r w:rsidRPr="00B62318">
        <w:fldChar w:fldCharType="end"/>
      </w:r>
      <w:r w:rsidRPr="00B62318">
        <w:t>).</w:t>
      </w:r>
    </w:p>
    <w:p w14:paraId="5ED23D2C" w14:textId="11673D98" w:rsidR="00AC6722" w:rsidRPr="00B62318" w:rsidRDefault="00AC6722" w:rsidP="00AC6722">
      <w:r w:rsidRPr="00B62318">
        <w:lastRenderedPageBreak/>
        <w:t xml:space="preserve">We characterize </w:t>
      </w:r>
      <w:r w:rsidR="0043511F">
        <w:t>adaptation</w:t>
      </w:r>
      <w:r w:rsidRPr="00B62318">
        <w:t xml:space="preserve"> lock-in using two complementary components: (i) </w:t>
      </w:r>
      <w:r w:rsidR="0043511F">
        <w:t>regime-shift</w:t>
      </w:r>
      <w:r w:rsidRPr="00B62318">
        <w:t>-based divergence diagnostics and (ii) evolving feasibility conditions that structure the decision space.</w:t>
      </w:r>
    </w:p>
    <w:p w14:paraId="4281BB0B" w14:textId="172C4024" w:rsidR="00AC6722" w:rsidRPr="00B62318" w:rsidRDefault="0043511F" w:rsidP="001B2B16">
      <w:pPr>
        <w:pStyle w:val="Heading3"/>
      </w:pPr>
      <w:r>
        <w:t>Regime shift</w:t>
      </w:r>
      <w:r w:rsidR="00AC6722" w:rsidRPr="00B62318">
        <w:t xml:space="preserve"> experiments and lock-in diagnostics</w:t>
      </w:r>
    </w:p>
    <w:p w14:paraId="05F16AB8" w14:textId="450BE1B5" w:rsidR="00AC6722" w:rsidRPr="00B62318" w:rsidRDefault="00AC6722" w:rsidP="00AC6722">
      <w:r w:rsidRPr="00B62318">
        <w:t>To examine how evolving feasibility conditions shape persistent effects under procedural change, we conduct one-</w:t>
      </w:r>
      <w:r w:rsidR="0043511F">
        <w:t>shift</w:t>
      </w:r>
      <w:r w:rsidRPr="00B62318">
        <w:t xml:space="preserve"> experiments that emulate a single mid-course policy shift at a chosen decision decade. This design follows the adaptation </w:t>
      </w:r>
      <w:r w:rsidR="00686114">
        <w:t>regimes</w:t>
      </w:r>
      <w:r w:rsidRPr="00B62318">
        <w:t xml:space="preserve"> tradition, which evaluates how </w:t>
      </w:r>
      <w:r w:rsidR="00F37CFC">
        <w:t>shifting</w:t>
      </w:r>
      <w:r w:rsidRPr="00B62318">
        <w:t xml:space="preserve"> actions perform as conditions evolve and option spaces progressively change </w:t>
      </w:r>
      <w:r w:rsidRPr="00B62318">
        <w:fldChar w:fldCharType="begin"/>
      </w:r>
      <w:r w:rsidR="00402049" w:rsidRPr="00B62318">
        <w:instrText xml:space="preserve"> ADDIN EN.CITE &lt;EndNote&gt;&lt;Cite&gt;&lt;Author&gt;Haasnoot&lt;/Author&gt;&lt;Year&gt;2020&lt;/Year&gt;&lt;RecNum&gt;1371&lt;/RecNum&gt;&lt;DisplayText&gt;(Haasnoot et al., 2020; Haasnoot et al., 2013)&lt;/DisplayText&gt;&lt;record&gt;&lt;rec-number&gt;1371&lt;/rec-number&gt;&lt;foreign-keys&gt;&lt;key app="EN" db-id="ssraawt0aw9azuedz5b5pfszez0twxsdzpz2" timestamp="1768344393"&gt;1371&lt;/key&gt;&lt;/foreign-keys&gt;&lt;ref-type name="Journal Article"&gt;17&lt;/ref-type&gt;&lt;contributors&gt;&lt;authors&gt;&lt;author&gt;Haasnoot, Marjolijn&lt;/author&gt;&lt;author&gt;Biesbroek, Robbert&lt;/author&gt;&lt;author&gt;Lawrence, Judy&lt;/author&gt;&lt;author&gt;Muccione, Veruska&lt;/author&gt;&lt;author&gt;Lempert, Robert&lt;/author&gt;&lt;author&gt;Glavovic, Bruce&lt;/author&gt;&lt;/authors&gt;&lt;/contributors&gt;&lt;titles&gt;&lt;title&gt;Defining the solution space to accelerate climate change adaptation&lt;/title&gt;&lt;secondary-title&gt;Regional Environmental Change&lt;/secondary-title&gt;&lt;/titles&gt;&lt;periodical&gt;&lt;full-title&gt;Regional environmental change&lt;/full-title&gt;&lt;/periodical&gt;&lt;pages&gt;37&lt;/pages&gt;&lt;volume&gt;20&lt;/volume&gt;&lt;number&gt;2&lt;/number&gt;&lt;dates&gt;&lt;year&gt;2020&lt;/year&gt;&lt;/dates&gt;&lt;isbn&gt;1436-3798&lt;/isbn&gt;&lt;urls&gt;&lt;/urls&gt;&lt;/record&gt;&lt;/Cite&gt;&lt;Cite&gt;&lt;Author&gt;Haasnoot&lt;/Author&gt;&lt;Year&gt;2013&lt;/Year&gt;&lt;RecNum&gt;1354&lt;/RecNum&gt;&lt;record&gt;&lt;rec-number&gt;1354&lt;/rec-number&gt;&lt;foreign-keys&gt;&lt;key app="EN" db-id="ssraawt0aw9azuedz5b5pfszez0twxsdzpz2" timestamp="1767851859"&gt;1354&lt;/key&gt;&lt;/foreign-keys&gt;&lt;ref-type name="Journal Article"&gt;17&lt;/ref-type&gt;&lt;contributors&gt;&lt;authors&gt;&lt;author&gt;Haasnoot, Marjolijn&lt;/author&gt;&lt;author&gt;Kwakkel, Jan H&lt;/author&gt;&lt;author&gt;Walker, Warren E&lt;/author&gt;&lt;author&gt;Ter Maat, Judith&lt;/author&gt;&lt;/authors&gt;&lt;/contributors&gt;&lt;titles&gt;&lt;title&gt;Dynamic adaptive policy pathways: A method for crafting robust decisions for a deeply uncertain world&lt;/title&gt;&lt;secondary-title&gt;Global environmental change&lt;/secondary-title&gt;&lt;/titles&gt;&lt;periodical&gt;&lt;full-title&gt;Global environmental change&lt;/full-title&gt;&lt;/periodical&gt;&lt;pages&gt;485-498&lt;/pages&gt;&lt;volume&gt;23&lt;/volume&gt;&lt;number&gt;2&lt;/number&gt;&lt;dates&gt;&lt;year&gt;2013&lt;/year&gt;&lt;/dates&gt;&lt;isbn&gt;0959-3780&lt;/isbn&gt;&lt;urls&gt;&lt;/urls&gt;&lt;/record&gt;&lt;/Cite&gt;&lt;/EndNote&gt;</w:instrText>
      </w:r>
      <w:r w:rsidRPr="00B62318">
        <w:fldChar w:fldCharType="separate"/>
      </w:r>
      <w:r w:rsidR="00402049" w:rsidRPr="00B62318">
        <w:rPr>
          <w:noProof/>
        </w:rPr>
        <w:t>(</w:t>
      </w:r>
      <w:hyperlink w:anchor="_ENREF_13_26" w:tooltip="Haasnoot, 2020 #1371" w:history="1">
        <w:r w:rsidR="00673035" w:rsidRPr="00B62318">
          <w:rPr>
            <w:noProof/>
          </w:rPr>
          <w:t>Haasnoot et al., 2020</w:t>
        </w:r>
      </w:hyperlink>
      <w:r w:rsidR="00402049" w:rsidRPr="00B62318">
        <w:rPr>
          <w:noProof/>
        </w:rPr>
        <w:t xml:space="preserve">; </w:t>
      </w:r>
      <w:hyperlink w:anchor="_ENREF_13_28" w:tooltip="Haasnoot, 2013 #1354" w:history="1">
        <w:r w:rsidR="00673035" w:rsidRPr="00B62318">
          <w:rPr>
            <w:noProof/>
          </w:rPr>
          <w:t>Haasnoot et al., 2013</w:t>
        </w:r>
      </w:hyperlink>
      <w:r w:rsidR="00402049" w:rsidRPr="00B62318">
        <w:rPr>
          <w:noProof/>
        </w:rPr>
        <w:t>)</w:t>
      </w:r>
      <w:r w:rsidRPr="00B62318">
        <w:fldChar w:fldCharType="end"/>
      </w:r>
      <w:r w:rsidRPr="00B62318">
        <w:t xml:space="preserve">. In each experiment, we fix an SSP–RCP scenario, which defines the exogenous climate and urban development trajectories and hold the total cumulative canopy budget </w:t>
      </w:r>
      <m:oMath>
        <m:r>
          <w:rPr>
            <w:rFonts w:ascii="Cambria Math" w:hAnsi="Cambria Math"/>
          </w:rPr>
          <m:t>R</m:t>
        </m:r>
      </m:oMath>
      <w:r w:rsidRPr="00B62318">
        <w:rPr>
          <w:rFonts w:eastAsiaTheme="minorEastAsia"/>
        </w:rPr>
        <w:t xml:space="preserve"> </w:t>
      </w:r>
      <w:r w:rsidRPr="00B62318">
        <w:t xml:space="preserve">constant over the 2040–2100 horizon. We then define a baseline adaptation </w:t>
      </w:r>
      <w:r w:rsidR="00686114">
        <w:t>regime</w:t>
      </w:r>
      <w:r w:rsidRPr="00B62318">
        <w:t xml:space="preserve">, defined by a justice principle and an allocation </w:t>
      </w:r>
      <w:r w:rsidR="007734E3">
        <w:t>timeline</w:t>
      </w:r>
      <w:r w:rsidRPr="00B62318">
        <w:t xml:space="preserve">, which governs allocations from 2040 up to the </w:t>
      </w:r>
      <w:r w:rsidR="00686114">
        <w:t>shifting</w:t>
      </w:r>
      <w:r w:rsidRPr="00B62318">
        <w:t xml:space="preserve"> year. From the </w:t>
      </w:r>
      <w:r w:rsidR="00686114">
        <w:t>shift</w:t>
      </w:r>
      <w:r w:rsidRPr="00B62318">
        <w:t xml:space="preserve"> year onward, allocations follow a target adaptation </w:t>
      </w:r>
      <w:r w:rsidR="00686114">
        <w:t>regime</w:t>
      </w:r>
      <w:r w:rsidRPr="00B62318">
        <w:t xml:space="preserve">, again defined by a justice principle and an allocation </w:t>
      </w:r>
      <w:r w:rsidR="007734E3">
        <w:t>timeline</w:t>
      </w:r>
      <w:r w:rsidRPr="00B62318">
        <w:t xml:space="preserve">. </w:t>
      </w:r>
      <w:r w:rsidR="00686114">
        <w:t>S</w:t>
      </w:r>
      <w:r w:rsidR="00CD035D">
        <w:t>hifting</w:t>
      </w:r>
      <w:r w:rsidRPr="00B62318">
        <w:t xml:space="preserve"> is evaluated at </w:t>
      </w:r>
      <w:proofErr w:type="spellStart"/>
      <w:r w:rsidRPr="00B62318">
        <w:t xml:space="preserve">year </w:t>
      </w:r>
      <w:r w:rsidRPr="00B62318">
        <w:rPr>
          <w:i/>
          <w:iCs/>
        </w:rPr>
        <w:t>s</w:t>
      </w:r>
      <w:proofErr w:type="spellEnd"/>
      <w:r w:rsidRPr="00B62318">
        <w:t xml:space="preserve">. Differences between </w:t>
      </w:r>
      <w:r w:rsidR="00CD035D">
        <w:t>shifted</w:t>
      </w:r>
      <w:r w:rsidRPr="00B62318">
        <w:t xml:space="preserve"> outcomes and their corresponding no-</w:t>
      </w:r>
      <w:r w:rsidR="00CD035D">
        <w:t xml:space="preserve">shift </w:t>
      </w:r>
      <w:r w:rsidRPr="00B62318">
        <w:t xml:space="preserve">counterfactual trajectories are interpreted as evidence of </w:t>
      </w:r>
      <w:r w:rsidR="00CD035D">
        <w:t>adaptation</w:t>
      </w:r>
      <w:r w:rsidRPr="00B62318">
        <w:t xml:space="preserve"> lock-in arising from sequential commitments under evolving feasibility conditions.</w:t>
      </w:r>
    </w:p>
    <w:p w14:paraId="1997C088" w14:textId="1CB6F956" w:rsidR="00AC6722" w:rsidRPr="00B62318" w:rsidRDefault="00AC6722" w:rsidP="00AC6722">
      <w:r w:rsidRPr="00B62318">
        <w:t xml:space="preserve">Let </w:t>
      </w:r>
      <m:oMath>
        <m:sSubSup>
          <m:sSubSupPr>
            <m:ctrlPr>
              <w:rPr>
                <w:rFonts w:ascii="Cambria Math" w:hAnsi="Cambria Math"/>
              </w:rPr>
            </m:ctrlPr>
          </m:sSubSupPr>
          <m:e>
            <m:r>
              <w:rPr>
                <w:rFonts w:ascii="Cambria Math" w:hAnsi="Cambria Math"/>
              </w:rPr>
              <m:t>c</m:t>
            </m:r>
          </m:e>
          <m:sub>
            <m:r>
              <w:rPr>
                <w:rFonts w:ascii="Cambria Math" w:hAnsi="Cambria Math"/>
              </w:rPr>
              <m:t>j,t</m:t>
            </m:r>
          </m:sub>
          <m:sup>
            <m:r>
              <m:rPr>
                <m:sty m:val="p"/>
              </m:rPr>
              <w:rPr>
                <w:rFonts w:ascii="Cambria Math" w:hAnsi="Cambria Math"/>
              </w:rPr>
              <m:t>sw</m:t>
            </m:r>
          </m:sup>
        </m:sSubSup>
        <m:r>
          <w:rPr>
            <w:rFonts w:ascii="Cambria Math" w:hAnsi="Cambria Math"/>
          </w:rPr>
          <m:t>(s)</m:t>
        </m:r>
      </m:oMath>
      <w:r w:rsidRPr="00B62318">
        <w:rPr>
          <w:rFonts w:eastAsiaTheme="minorEastAsia"/>
        </w:rPr>
        <w:t xml:space="preserve"> </w:t>
      </w:r>
      <w:r w:rsidRPr="00B62318">
        <w:t xml:space="preserve">denote the canopy fraction produced by simulating the system under the baseline adaptation </w:t>
      </w:r>
      <w:r w:rsidR="00CD035D">
        <w:t>regime</w:t>
      </w:r>
      <w:r w:rsidRPr="00B62318">
        <w:t xml:space="preserve"> up to </w:t>
      </w:r>
      <w:r w:rsidR="00CD035D">
        <w:t>shifting</w:t>
      </w:r>
      <w:r w:rsidRPr="00B62318">
        <w:t xml:space="preserve"> year </w:t>
      </w:r>
      <m:oMath>
        <m:r>
          <w:rPr>
            <w:rFonts w:ascii="Cambria Math" w:hAnsi="Cambria Math"/>
          </w:rPr>
          <m:t>s</m:t>
        </m:r>
      </m:oMath>
      <w:r w:rsidRPr="00B62318">
        <w:t xml:space="preserve">, then under the target adaptation </w:t>
      </w:r>
      <w:r w:rsidR="00CD035D">
        <w:t>regime</w:t>
      </w:r>
      <w:r w:rsidRPr="00B62318">
        <w:t xml:space="preserve"> thereafter, using the same feasibility updates (Equations </w:t>
      </w:r>
      <w:r w:rsidRPr="00B62318">
        <w:fldChar w:fldCharType="begin"/>
      </w:r>
      <w:r w:rsidRPr="00B62318">
        <w:instrText xml:space="preserve"> REF _Ref221790440 \h </w:instrText>
      </w:r>
      <w:r w:rsidRPr="00B62318">
        <w:fldChar w:fldCharType="separate"/>
      </w:r>
      <w:r w:rsidR="00364E4E" w:rsidRPr="00B62318">
        <w:t>(</w:t>
      </w:r>
      <w:r w:rsidR="00364E4E">
        <w:rPr>
          <w:noProof/>
        </w:rPr>
        <w:t>15</w:t>
      </w:r>
      <w:r w:rsidR="00364E4E" w:rsidRPr="00B62318">
        <w:t>)</w:t>
      </w:r>
      <w:r w:rsidRPr="00B62318">
        <w:fldChar w:fldCharType="end"/>
      </w:r>
      <w:r w:rsidRPr="00B62318">
        <w:t xml:space="preserve"> to </w:t>
      </w:r>
      <w:r w:rsidRPr="00B62318">
        <w:fldChar w:fldCharType="begin"/>
      </w:r>
      <w:r w:rsidRPr="00B62318">
        <w:instrText xml:space="preserve"> REF _Ref221793251 \h </w:instrText>
      </w:r>
      <w:r w:rsidRPr="00B62318">
        <w:fldChar w:fldCharType="separate"/>
      </w:r>
      <w:r w:rsidR="00364E4E" w:rsidRPr="00B62318">
        <w:t>(</w:t>
      </w:r>
      <w:r w:rsidR="00364E4E">
        <w:rPr>
          <w:noProof/>
        </w:rPr>
        <w:t>17</w:t>
      </w:r>
      <w:r w:rsidR="00364E4E" w:rsidRPr="00B62318">
        <w:t>)</w:t>
      </w:r>
      <w:r w:rsidRPr="00B62318">
        <w:fldChar w:fldCharType="end"/>
      </w:r>
      <w:r w:rsidRPr="00B62318">
        <w:t xml:space="preserve">). To isolate procedural effects from changes in total resources, we hold the total canopy budget </w:t>
      </w:r>
      <m:oMath>
        <m:r>
          <w:rPr>
            <w:rFonts w:ascii="Cambria Math" w:hAnsi="Cambria Math"/>
          </w:rPr>
          <m:t>R</m:t>
        </m:r>
      </m:oMath>
      <w:r w:rsidRPr="00B62318">
        <w:rPr>
          <w:rFonts w:eastAsiaTheme="minorEastAsia"/>
        </w:rPr>
        <w:t xml:space="preserve"> </w:t>
      </w:r>
      <w:r w:rsidRPr="00B62318">
        <w:t xml:space="preserve">fixed and replan only the remaining budget after the </w:t>
      </w:r>
      <w:r w:rsidR="00F37CFC">
        <w:t>shift</w:t>
      </w:r>
      <w:r w:rsidRPr="00B62318">
        <w:t xml:space="preserve"> across the remaining decades according to the target </w:t>
      </w:r>
      <w:r w:rsidR="00CD035D">
        <w:t>regime</w:t>
      </w:r>
      <w:r w:rsidRPr="00B62318">
        <w:t xml:space="preserve"> logic. This reproduces the </w:t>
      </w:r>
      <w:r w:rsidR="00CD035D">
        <w:t>shifting</w:t>
      </w:r>
      <w:r w:rsidRPr="00B62318">
        <w:t xml:space="preserve"> logic in the code: past expenditure implied by the baseline adaptation </w:t>
      </w:r>
      <w:r w:rsidR="00CD035D">
        <w:t>regime</w:t>
      </w:r>
      <w:r w:rsidRPr="00B62318">
        <w:t xml:space="preserve"> is treated as sunk, and the remaining allocation </w:t>
      </w:r>
      <w:r w:rsidR="007734E3">
        <w:t xml:space="preserve">timeline </w:t>
      </w:r>
      <w:r w:rsidRPr="00B62318">
        <w:t>is rescaled over the remaining planning horizon.</w:t>
      </w:r>
    </w:p>
    <w:p w14:paraId="6DC1D0E9" w14:textId="1CDE3799" w:rsidR="00AC6722" w:rsidRPr="00B62318" w:rsidRDefault="00AC6722" w:rsidP="00AC6722">
      <w:r w:rsidRPr="00B62318">
        <w:t xml:space="preserve">For each target adaptation </w:t>
      </w:r>
      <w:r w:rsidR="00CD035D">
        <w:t>regime</w:t>
      </w:r>
      <w:r w:rsidRPr="00B62318">
        <w:t>, we also simulate a no-s</w:t>
      </w:r>
      <w:r w:rsidR="00CD035D">
        <w:t>hift</w:t>
      </w:r>
      <w:r w:rsidRPr="00B62318">
        <w:t xml:space="preserve"> counterfactual </w:t>
      </w:r>
      <w:r w:rsidR="00CD035D">
        <w:t>regime</w:t>
      </w:r>
      <w:r w:rsidRPr="00B62318">
        <w:t xml:space="preserve"> </w:t>
      </w:r>
      <m:oMath>
        <m:sSubSup>
          <m:sSubSupPr>
            <m:ctrlPr>
              <w:rPr>
                <w:rFonts w:ascii="Cambria Math" w:hAnsi="Cambria Math"/>
              </w:rPr>
            </m:ctrlPr>
          </m:sSubSupPr>
          <m:e>
            <m:r>
              <w:rPr>
                <w:rFonts w:ascii="Cambria Math" w:hAnsi="Cambria Math"/>
              </w:rPr>
              <m:t>c</m:t>
            </m:r>
          </m:e>
          <m:sub>
            <m:r>
              <w:rPr>
                <w:rFonts w:ascii="Cambria Math" w:hAnsi="Cambria Math"/>
              </w:rPr>
              <m:t>j,t</m:t>
            </m:r>
          </m:sub>
          <m:sup>
            <m:r>
              <m:rPr>
                <m:sty m:val="p"/>
              </m:rPr>
              <w:rPr>
                <w:rFonts w:ascii="Cambria Math" w:hAnsi="Cambria Math"/>
              </w:rPr>
              <m:t>tg</m:t>
            </m:r>
          </m:sup>
        </m:sSubSup>
      </m:oMath>
      <w:r w:rsidRPr="00B62318">
        <w:rPr>
          <w:rFonts w:eastAsiaTheme="minorEastAsia"/>
        </w:rPr>
        <w:t xml:space="preserve">, </w:t>
      </w:r>
      <w:r w:rsidRPr="00B62318">
        <w:t xml:space="preserve">in which the target procedural decision rule is applied over the entire horizon. We then evaluate the effects of </w:t>
      </w:r>
      <w:r w:rsidR="00CD035D">
        <w:t>shifting</w:t>
      </w:r>
      <w:r w:rsidRPr="00B62318">
        <w:t xml:space="preserve"> using three complementary diagnostics, all normalized by a fixed scalar </w:t>
      </w:r>
      <m:oMath>
        <m:r>
          <w:rPr>
            <w:rFonts w:ascii="Cambria Math" w:hAnsi="Cambria Math"/>
          </w:rPr>
          <m:t>N</m:t>
        </m:r>
      </m:oMath>
      <w:r w:rsidRPr="00B62318">
        <w:t xml:space="preserve">. In the main specification, </w:t>
      </w:r>
      <m:oMath>
        <m:r>
          <w:rPr>
            <w:rFonts w:ascii="Cambria Math" w:hAnsi="Cambria Math"/>
          </w:rPr>
          <m:t>N=R</m:t>
        </m:r>
      </m:oMath>
      <w:r w:rsidRPr="00B62318">
        <w:t>, which expresses mismatches as a share of the total canopy budget and yields dimensionless values that are comparable across budgets.</w:t>
      </w:r>
    </w:p>
    <w:p w14:paraId="3F785AA1" w14:textId="5E2A127B" w:rsidR="00AC6722" w:rsidRPr="00B62318" w:rsidRDefault="00AC6722" w:rsidP="00AC6722">
      <w:r w:rsidRPr="00B62318">
        <w:rPr>
          <w:rStyle w:val="Heading4Char"/>
        </w:rPr>
        <w:t>Metric 1, unattainable shortfall at 2100.</w:t>
      </w:r>
      <w:r w:rsidRPr="00B62318">
        <w:t xml:space="preserve"> We first quantify the extent to which divergence is driven by binding feasibility constraints at the end of the planning horizon. While </w:t>
      </w:r>
      <w:r w:rsidR="00F37CFC">
        <w:t>shifting</w:t>
      </w:r>
      <w:r w:rsidRPr="00B62318">
        <w:t xml:space="preserve"> may generate differences relative to the target </w:t>
      </w:r>
      <w:r w:rsidR="00CD035D">
        <w:t>regime</w:t>
      </w:r>
      <w:r w:rsidRPr="00B62318">
        <w:t>, not all such differences are structurally irreversible. This metric isolates the portion of the target shortfall that cannot be closed even if all remaining feasible capacity at 2100 were fully utilized. Define the target shortfall in canopy area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6BE07864" w14:textId="77777777" w:rsidTr="00847F2D">
        <w:tc>
          <w:tcPr>
            <w:tcW w:w="625" w:type="dxa"/>
          </w:tcPr>
          <w:p w14:paraId="0739A031" w14:textId="77777777" w:rsidR="00AC6722" w:rsidRPr="00B62318" w:rsidRDefault="00AC6722" w:rsidP="00F438D9"/>
        </w:tc>
        <w:tc>
          <w:tcPr>
            <w:tcW w:w="7740" w:type="dxa"/>
            <w:vAlign w:val="center"/>
          </w:tcPr>
          <w:p w14:paraId="48C33923" w14:textId="77777777" w:rsidR="00AC6722" w:rsidRPr="00B62318" w:rsidRDefault="00DE782A" w:rsidP="00F438D9">
            <w:pPr>
              <w:jc w:val="center"/>
            </w:pPr>
            <m:oMathPara>
              <m:oMath>
                <m:sSub>
                  <m:sSubPr>
                    <m:ctrlPr>
                      <w:rPr>
                        <w:rFonts w:ascii="Cambria Math" w:hAnsi="Cambria Math"/>
                      </w:rPr>
                    </m:ctrlPr>
                  </m:sSubPr>
                  <m:e>
                    <m:r>
                      <w:rPr>
                        <w:rFonts w:ascii="Cambria Math" w:hAnsi="Cambria Math"/>
                      </w:rPr>
                      <m:t>q</m:t>
                    </m:r>
                  </m:e>
                  <m:sub>
                    <m:r>
                      <w:rPr>
                        <w:rFonts w:ascii="Cambria Math" w:hAnsi="Cambria Math"/>
                      </w:rPr>
                      <m:t>j</m:t>
                    </m:r>
                    <m:r>
                      <w:rPr>
                        <w:rFonts w:ascii="Cambria Math" w:hAnsi="Cambria Math"/>
                      </w:rPr>
                      <m:t>,2100</m:t>
                    </m:r>
                  </m:sub>
                </m:sSub>
                <m:d>
                  <m:dPr>
                    <m:ctrlPr>
                      <w:rPr>
                        <w:rFonts w:ascii="Cambria Math" w:hAnsi="Cambria Math"/>
                        <w:i/>
                      </w:rPr>
                    </m:ctrlPr>
                  </m:dPr>
                  <m:e>
                    <m:r>
                      <w:rPr>
                        <w:rFonts w:ascii="Cambria Math" w:hAnsi="Cambria Math"/>
                      </w:rPr>
                      <m:t>s</m:t>
                    </m:r>
                  </m:e>
                </m:d>
                <m:r>
                  <w:rPr>
                    <w:rFonts w:ascii="Cambria Math" w:hAnsi="Cambria Math"/>
                  </w:rPr>
                  <m:t>=</m:t>
                </m:r>
                <m:func>
                  <m:funcPr>
                    <m:ctrlPr>
                      <w:rPr>
                        <w:rFonts w:ascii="Cambria Math" w:hAnsi="Cambria Math"/>
                        <w:i/>
                      </w:rPr>
                    </m:ctrlPr>
                  </m:funcPr>
                  <m:fName>
                    <m:r>
                      <m:rPr>
                        <m:sty m:val="p"/>
                      </m:rPr>
                      <w:rPr>
                        <w:rFonts w:ascii="Cambria Math" w:hAnsi="Cambria Math"/>
                      </w:rPr>
                      <m:t>max</m:t>
                    </m:r>
                  </m:fName>
                  <m:e>
                    <m:r>
                      <w:rPr>
                        <w:rFonts w:ascii="Cambria Math" w:hAnsi="Cambria Math"/>
                      </w:rPr>
                      <m:t xml:space="preserve"> </m:t>
                    </m:r>
                    <m:d>
                      <m:dPr>
                        <m:ctrlPr>
                          <w:rPr>
                            <w:rFonts w:ascii="Cambria Math" w:hAnsi="Cambria Math"/>
                            <w:i/>
                          </w:rPr>
                        </m:ctrlPr>
                      </m:dPr>
                      <m:e>
                        <m:r>
                          <m:rPr>
                            <m:nor/>
                          </m:rPr>
                          <w:rPr>
                            <w:rFonts w:ascii="Cambria Math"/>
                          </w:rPr>
                          <m:t xml:space="preserve">0, </m:t>
                        </m:r>
                        <m:d>
                          <m:dPr>
                            <m:ctrlPr>
                              <w:rPr>
                                <w:rFonts w:ascii="Cambria Math" w:hAnsi="Cambria Math"/>
                              </w:rPr>
                            </m:ctrlPr>
                          </m:dPr>
                          <m:e>
                            <m:sSubSup>
                              <m:sSubSupPr>
                                <m:ctrlPr>
                                  <w:rPr>
                                    <w:rFonts w:ascii="Cambria Math" w:hAnsi="Cambria Math"/>
                                  </w:rPr>
                                </m:ctrlPr>
                              </m:sSubSupPr>
                              <m:e>
                                <m:r>
                                  <w:rPr>
                                    <w:rFonts w:ascii="Cambria Math" w:hAnsi="Cambria Math"/>
                                  </w:rPr>
                                  <m:t>c</m:t>
                                </m:r>
                              </m:e>
                              <m:sub>
                                <m:r>
                                  <w:rPr>
                                    <w:rFonts w:ascii="Cambria Math" w:hAnsi="Cambria Math"/>
                                  </w:rPr>
                                  <m:t>j</m:t>
                                </m:r>
                                <m:r>
                                  <w:rPr>
                                    <w:rFonts w:ascii="Cambria Math" w:hAnsi="Cambria Math"/>
                                  </w:rPr>
                                  <m:t>,2100</m:t>
                                </m:r>
                              </m:sub>
                              <m:sup>
                                <m:r>
                                  <m:rPr>
                                    <m:sty m:val="p"/>
                                  </m:rPr>
                                  <w:rPr>
                                    <w:rFonts w:ascii="Cambria Math" w:hAnsi="Cambria Math"/>
                                  </w:rPr>
                                  <m:t>tg</m:t>
                                </m:r>
                              </m:sup>
                            </m:sSubSup>
                            <m: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j</m:t>
                                </m:r>
                                <m:r>
                                  <w:rPr>
                                    <w:rFonts w:ascii="Cambria Math" w:hAnsi="Cambria Math"/>
                                  </w:rPr>
                                  <m:t>,2100</m:t>
                                </m:r>
                              </m:sub>
                              <m:sup>
                                <m:r>
                                  <m:rPr>
                                    <m:sty m:val="p"/>
                                  </m:rPr>
                                  <w:rPr>
                                    <w:rFonts w:ascii="Cambria Math" w:hAnsi="Cambria Math"/>
                                  </w:rPr>
                                  <m:t>sw</m:t>
                                </m:r>
                              </m:sup>
                            </m:sSubSup>
                            <m:d>
                              <m:dPr>
                                <m:ctrlPr>
                                  <w:rPr>
                                    <w:rFonts w:ascii="Cambria Math" w:hAnsi="Cambria Math"/>
                                    <w:i/>
                                  </w:rPr>
                                </m:ctrlPr>
                              </m:dPr>
                              <m:e>
                                <m:r>
                                  <w:rPr>
                                    <w:rFonts w:ascii="Cambria Math" w:hAnsi="Cambria Math"/>
                                  </w:rPr>
                                  <m:t>s</m:t>
                                </m:r>
                              </m:e>
                            </m:d>
                          </m:e>
                        </m:d>
                        <m:sSub>
                          <m:sSubPr>
                            <m:ctrlPr>
                              <w:rPr>
                                <w:rFonts w:ascii="Cambria Math" w:hAnsi="Cambria Math"/>
                              </w:rPr>
                            </m:ctrlPr>
                          </m:sSubPr>
                          <m:e>
                            <m:r>
                              <w:rPr>
                                <w:rFonts w:ascii="Cambria Math" w:hAnsi="Cambria Math"/>
                              </w:rPr>
                              <m:t>A</m:t>
                            </m:r>
                          </m:e>
                          <m:sub>
                            <m:r>
                              <w:rPr>
                                <w:rFonts w:ascii="Cambria Math" w:hAnsi="Cambria Math"/>
                              </w:rPr>
                              <m:t>j</m:t>
                            </m:r>
                          </m:sub>
                        </m:sSub>
                      </m:e>
                    </m:d>
                  </m:e>
                </m:func>
                <m:r>
                  <m:rPr>
                    <m:sty m:val="p"/>
                  </m:rPr>
                  <w:rPr>
                    <w:rFonts w:ascii="Cambria Math" w:hAnsi="Cambria Math"/>
                  </w:rPr>
                  <m:t>,</m:t>
                </m:r>
              </m:oMath>
            </m:oMathPara>
          </w:p>
        </w:tc>
        <w:tc>
          <w:tcPr>
            <w:tcW w:w="697" w:type="dxa"/>
            <w:vAlign w:val="center"/>
          </w:tcPr>
          <w:p w14:paraId="0473DC8B" w14:textId="3F671ABB"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25</w:t>
            </w:r>
            <w:r w:rsidRPr="00B62318">
              <w:fldChar w:fldCharType="end"/>
            </w:r>
            <w:r w:rsidRPr="00B62318">
              <w:t>)</w:t>
            </w:r>
          </w:p>
        </w:tc>
      </w:tr>
    </w:tbl>
    <w:p w14:paraId="1D778180" w14:textId="679C662E" w:rsidR="00AC6722" w:rsidRPr="00B62318" w:rsidRDefault="00AC6722" w:rsidP="00AC6722">
      <w:r w:rsidRPr="00B62318">
        <w:t xml:space="preserve">and the remaining addable area at 2100 under the </w:t>
      </w:r>
      <w:r w:rsidR="00F37CFC">
        <w:t>shifted</w:t>
      </w:r>
      <w:r w:rsidRPr="00B62318">
        <w:t xml:space="preserve"> outcome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506DEA35" w14:textId="77777777" w:rsidTr="00847F2D">
        <w:tc>
          <w:tcPr>
            <w:tcW w:w="625" w:type="dxa"/>
          </w:tcPr>
          <w:p w14:paraId="0CAFD801" w14:textId="77777777" w:rsidR="00AC6722" w:rsidRPr="00B62318" w:rsidRDefault="00AC6722" w:rsidP="00F438D9"/>
        </w:tc>
        <w:tc>
          <w:tcPr>
            <w:tcW w:w="7740" w:type="dxa"/>
            <w:vAlign w:val="center"/>
          </w:tcPr>
          <w:p w14:paraId="50FE634C" w14:textId="77777777" w:rsidR="00AC6722" w:rsidRPr="00B62318" w:rsidRDefault="00DE782A" w:rsidP="00F438D9">
            <w:pPr>
              <w:jc w:val="center"/>
            </w:pPr>
            <m:oMathPara>
              <m:oMath>
                <m:sSub>
                  <m:sSubPr>
                    <m:ctrlPr>
                      <w:rPr>
                        <w:rFonts w:ascii="Cambria Math" w:hAnsi="Cambria Math"/>
                      </w:rPr>
                    </m:ctrlPr>
                  </m:sSubPr>
                  <m:e>
                    <m:r>
                      <w:rPr>
                        <w:rFonts w:ascii="Cambria Math" w:hAnsi="Cambria Math"/>
                      </w:rPr>
                      <m:t>a</m:t>
                    </m:r>
                  </m:e>
                  <m:sub>
                    <m:r>
                      <w:rPr>
                        <w:rFonts w:ascii="Cambria Math" w:hAnsi="Cambria Math"/>
                      </w:rPr>
                      <m:t>j</m:t>
                    </m:r>
                    <m:r>
                      <w:rPr>
                        <w:rFonts w:ascii="Cambria Math" w:hAnsi="Cambria Math"/>
                      </w:rPr>
                      <m:t>,2100</m:t>
                    </m:r>
                  </m:sub>
                </m:sSub>
                <m:d>
                  <m:dPr>
                    <m:ctrlPr>
                      <w:rPr>
                        <w:rFonts w:ascii="Cambria Math" w:hAnsi="Cambria Math"/>
                        <w:i/>
                      </w:rPr>
                    </m:ctrlPr>
                  </m:dPr>
                  <m:e>
                    <m:r>
                      <w:rPr>
                        <w:rFonts w:ascii="Cambria Math" w:hAnsi="Cambria Math"/>
                      </w:rPr>
                      <m:t>s</m:t>
                    </m:r>
                  </m:e>
                </m:d>
                <m:r>
                  <w:rPr>
                    <w:rFonts w:ascii="Cambria Math" w:hAnsi="Cambria Math"/>
                  </w:rPr>
                  <m:t>=</m:t>
                </m:r>
                <m:func>
                  <m:funcPr>
                    <m:ctrlPr>
                      <w:rPr>
                        <w:rFonts w:ascii="Cambria Math" w:hAnsi="Cambria Math"/>
                      </w:rPr>
                    </m:ctrlPr>
                  </m:funcPr>
                  <m:fName>
                    <m:r>
                      <m:rPr>
                        <m:sty m:val="p"/>
                      </m:rPr>
                      <w:rPr>
                        <w:rFonts w:ascii="Cambria Math" w:hAnsi="Cambria Math"/>
                      </w:rPr>
                      <m:t>max</m:t>
                    </m:r>
                    <m:ctrlPr>
                      <w:rPr>
                        <w:rFonts w:ascii="Cambria Math" w:hAnsi="Cambria Math"/>
                        <w:i/>
                      </w:rPr>
                    </m:ctrlPr>
                  </m:fName>
                  <m:e>
                    <m:r>
                      <w:rPr>
                        <w:rFonts w:ascii="Cambria Math" w:hAnsi="Cambria Math"/>
                      </w:rPr>
                      <m:t xml:space="preserve"> </m:t>
                    </m:r>
                    <m:d>
                      <m:dPr>
                        <m:ctrlPr>
                          <w:rPr>
                            <w:rFonts w:ascii="Cambria Math" w:hAnsi="Cambria Math"/>
                            <w:i/>
                          </w:rPr>
                        </m:ctrlPr>
                      </m:dPr>
                      <m:e>
                        <m:r>
                          <w:rPr>
                            <w:rFonts w:ascii="Cambria Math" w:hAnsi="Cambria Math"/>
                          </w:rPr>
                          <m:t xml:space="preserve">0, </m:t>
                        </m:r>
                        <m:d>
                          <m:dPr>
                            <m:ctrlPr>
                              <w:rPr>
                                <w:rFonts w:ascii="Cambria Math" w:hAnsi="Cambria Math"/>
                              </w:rPr>
                            </m:ctrlPr>
                          </m:dPr>
                          <m:e>
                            <m:sSub>
                              <m:sSubPr>
                                <m:ctrlPr>
                                  <w:rPr>
                                    <w:rFonts w:ascii="Cambria Math" w:hAnsi="Cambria Math"/>
                                  </w:rPr>
                                </m:ctrlPr>
                              </m:sSubPr>
                              <m:e>
                                <m:acc>
                                  <m:accPr>
                                    <m:chr m:val="ˉ"/>
                                    <m:ctrlPr>
                                      <w:rPr>
                                        <w:rFonts w:ascii="Cambria Math" w:hAnsi="Cambria Math"/>
                                      </w:rPr>
                                    </m:ctrlPr>
                                  </m:accPr>
                                  <m:e>
                                    <m:r>
                                      <w:rPr>
                                        <w:rFonts w:ascii="Cambria Math" w:hAnsi="Cambria Math"/>
                                      </w:rPr>
                                      <m:t>c</m:t>
                                    </m:r>
                                  </m:e>
                                </m:acc>
                              </m:e>
                              <m:sub>
                                <m:r>
                                  <w:rPr>
                                    <w:rFonts w:ascii="Cambria Math" w:hAnsi="Cambria Math"/>
                                  </w:rPr>
                                  <m:t>j</m:t>
                                </m:r>
                                <m:r>
                                  <w:rPr>
                                    <w:rFonts w:ascii="Cambria Math" w:hAnsi="Cambria Math"/>
                                  </w:rPr>
                                  <m:t>,2100</m:t>
                                </m:r>
                              </m:sub>
                            </m:sSub>
                            <m: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j</m:t>
                                </m:r>
                                <m:r>
                                  <w:rPr>
                                    <w:rFonts w:ascii="Cambria Math" w:hAnsi="Cambria Math"/>
                                  </w:rPr>
                                  <m:t>,2100</m:t>
                                </m:r>
                              </m:sub>
                              <m:sup>
                                <m:r>
                                  <m:rPr>
                                    <m:sty m:val="p"/>
                                  </m:rPr>
                                  <w:rPr>
                                    <w:rFonts w:ascii="Cambria Math" w:hAnsi="Cambria Math"/>
                                  </w:rPr>
                                  <m:t>sw</m:t>
                                </m:r>
                              </m:sup>
                            </m:sSubSup>
                            <m:d>
                              <m:dPr>
                                <m:ctrlPr>
                                  <w:rPr>
                                    <w:rFonts w:ascii="Cambria Math" w:hAnsi="Cambria Math"/>
                                    <w:i/>
                                  </w:rPr>
                                </m:ctrlPr>
                              </m:dPr>
                              <m:e>
                                <m:r>
                                  <w:rPr>
                                    <w:rFonts w:ascii="Cambria Math" w:hAnsi="Cambria Math"/>
                                  </w:rPr>
                                  <m:t>s</m:t>
                                </m:r>
                              </m:e>
                            </m:d>
                          </m:e>
                        </m:d>
                        <m:sSub>
                          <m:sSubPr>
                            <m:ctrlPr>
                              <w:rPr>
                                <w:rFonts w:ascii="Cambria Math" w:hAnsi="Cambria Math"/>
                              </w:rPr>
                            </m:ctrlPr>
                          </m:sSubPr>
                          <m:e>
                            <m:r>
                              <w:rPr>
                                <w:rFonts w:ascii="Cambria Math" w:hAnsi="Cambria Math"/>
                              </w:rPr>
                              <m:t>A</m:t>
                            </m:r>
                          </m:e>
                          <m:sub>
                            <m:r>
                              <w:rPr>
                                <w:rFonts w:ascii="Cambria Math" w:hAnsi="Cambria Math"/>
                              </w:rPr>
                              <m:t>j</m:t>
                            </m:r>
                          </m:sub>
                        </m:sSub>
                      </m:e>
                    </m:d>
                  </m:e>
                </m:func>
                <m:r>
                  <m:rPr>
                    <m:sty m:val="p"/>
                  </m:rPr>
                  <w:rPr>
                    <w:rFonts w:ascii="Cambria Math" w:hAnsi="Cambria Math"/>
                  </w:rPr>
                  <m:t>.</m:t>
                </m:r>
              </m:oMath>
            </m:oMathPara>
          </w:p>
        </w:tc>
        <w:tc>
          <w:tcPr>
            <w:tcW w:w="697" w:type="dxa"/>
            <w:vAlign w:val="center"/>
          </w:tcPr>
          <w:p w14:paraId="4A3438A5" w14:textId="69693B82"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26</w:t>
            </w:r>
            <w:r w:rsidRPr="00B62318">
              <w:fldChar w:fldCharType="end"/>
            </w:r>
            <w:r w:rsidRPr="00B62318">
              <w:t>)</w:t>
            </w:r>
          </w:p>
        </w:tc>
      </w:tr>
    </w:tbl>
    <w:p w14:paraId="23BECC0C" w14:textId="77777777" w:rsidR="00AC6722" w:rsidRPr="00B62318" w:rsidRDefault="00AC6722" w:rsidP="00AC6722">
      <w:r w:rsidRPr="00B62318">
        <w:t>The unattainable component is then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25D2A021" w14:textId="77777777" w:rsidTr="00847F2D">
        <w:tc>
          <w:tcPr>
            <w:tcW w:w="625" w:type="dxa"/>
          </w:tcPr>
          <w:p w14:paraId="69A6A533" w14:textId="77777777" w:rsidR="00AC6722" w:rsidRPr="00B62318" w:rsidRDefault="00AC6722" w:rsidP="00F438D9"/>
        </w:tc>
        <w:tc>
          <w:tcPr>
            <w:tcW w:w="7740" w:type="dxa"/>
            <w:vAlign w:val="center"/>
          </w:tcPr>
          <w:p w14:paraId="391C8240" w14:textId="77777777" w:rsidR="00AC6722" w:rsidRPr="00B62318" w:rsidRDefault="00DE782A" w:rsidP="00F438D9">
            <w:pPr>
              <w:jc w:val="center"/>
            </w:pPr>
            <m:oMathPara>
              <m:oMath>
                <m:sSub>
                  <m:sSubPr>
                    <m:ctrlPr>
                      <w:rPr>
                        <w:rFonts w:ascii="Cambria Math" w:hAnsi="Cambria Math"/>
                      </w:rPr>
                    </m:ctrlPr>
                  </m:sSubPr>
                  <m:e>
                    <m:r>
                      <w:rPr>
                        <w:rFonts w:ascii="Cambria Math" w:hAnsi="Cambria Math"/>
                      </w:rPr>
                      <m:t>M</m:t>
                    </m:r>
                  </m:e>
                  <m:sub>
                    <m:r>
                      <w:rPr>
                        <w:rFonts w:ascii="Cambria Math" w:hAnsi="Cambria Math"/>
                      </w:rPr>
                      <m:t>2</m:t>
                    </m:r>
                  </m:sub>
                </m:sSub>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grow m:val="1"/>
                    <m:supHide m:val="1"/>
                    <m:ctrlPr>
                      <w:rPr>
                        <w:rFonts w:ascii="Cambria Math" w:hAnsi="Cambria Math"/>
                      </w:rPr>
                    </m:ctrlPr>
                  </m:naryPr>
                  <m:sub>
                    <m:r>
                      <w:rPr>
                        <w:rFonts w:ascii="Cambria Math" w:hAnsi="Cambria Math"/>
                      </w:rPr>
                      <m:t>j</m:t>
                    </m:r>
                  </m:sub>
                  <m:sup/>
                  <m:e>
                    <m:func>
                      <m:funcPr>
                        <m:ctrlPr>
                          <w:rPr>
                            <w:rFonts w:ascii="Cambria Math" w:hAnsi="Cambria Math"/>
                          </w:rPr>
                        </m:ctrlPr>
                      </m:funcPr>
                      <m:fName>
                        <m:r>
                          <m:rPr>
                            <m:sty m:val="p"/>
                          </m:rPr>
                          <w:rPr>
                            <w:rFonts w:ascii="Cambria Math" w:hAnsi="Cambria Math"/>
                          </w:rPr>
                          <m:t>max</m:t>
                        </m:r>
                      </m:fName>
                      <m:e>
                        <m:r>
                          <w:rPr>
                            <w:rFonts w:ascii="Cambria Math" w:hAnsi="Cambria Math"/>
                          </w:rPr>
                          <m:t xml:space="preserve"> </m:t>
                        </m:r>
                        <m:d>
                          <m:dPr>
                            <m:ctrlPr>
                              <w:rPr>
                                <w:rFonts w:ascii="Cambria Math" w:hAnsi="Cambria Math"/>
                                <w:i/>
                              </w:rPr>
                            </m:ctrlPr>
                          </m:dPr>
                          <m:e>
                            <m:r>
                              <w:rPr>
                                <w:rFonts w:ascii="Cambria Math" w:hAnsi="Cambria Math"/>
                              </w:rPr>
                              <m:t xml:space="preserve">0, </m:t>
                            </m:r>
                            <m:sSub>
                              <m:sSubPr>
                                <m:ctrlPr>
                                  <w:rPr>
                                    <w:rFonts w:ascii="Cambria Math" w:hAnsi="Cambria Math"/>
                                  </w:rPr>
                                </m:ctrlPr>
                              </m:sSubPr>
                              <m:e>
                                <m:r>
                                  <w:rPr>
                                    <w:rFonts w:ascii="Cambria Math" w:hAnsi="Cambria Math"/>
                                  </w:rPr>
                                  <m:t xml:space="preserve"> </m:t>
                                </m:r>
                                <m:r>
                                  <w:rPr>
                                    <w:rFonts w:ascii="Cambria Math" w:hAnsi="Cambria Math"/>
                                  </w:rPr>
                                  <m:t>q</m:t>
                                </m:r>
                              </m:e>
                              <m:sub>
                                <m:r>
                                  <w:rPr>
                                    <w:rFonts w:ascii="Cambria Math" w:hAnsi="Cambria Math"/>
                                  </w:rPr>
                                  <m:t>j</m:t>
                                </m:r>
                                <m:r>
                                  <w:rPr>
                                    <w:rFonts w:ascii="Cambria Math" w:hAnsi="Cambria Math"/>
                                  </w:rPr>
                                  <m:t>,2100</m:t>
                                </m:r>
                              </m:sub>
                            </m:sSub>
                            <m:d>
                              <m:dPr>
                                <m:ctrlPr>
                                  <w:rPr>
                                    <w:rFonts w:ascii="Cambria Math" w:hAnsi="Cambria Math"/>
                                    <w:i/>
                                  </w:rPr>
                                </m:ctrlPr>
                              </m:dPr>
                              <m:e>
                                <m:r>
                                  <w:rPr>
                                    <w:rFonts w:ascii="Cambria Math" w:hAnsi="Cambria Math"/>
                                  </w:rPr>
                                  <m:t>s</m:t>
                                </m:r>
                              </m:e>
                            </m:d>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j</m:t>
                                </m:r>
                                <m:r>
                                  <w:rPr>
                                    <w:rFonts w:ascii="Cambria Math" w:hAnsi="Cambria Math"/>
                                  </w:rPr>
                                  <m:t>,2100</m:t>
                                </m:r>
                              </m:sub>
                            </m:sSub>
                            <m:d>
                              <m:dPr>
                                <m:ctrlPr>
                                  <w:rPr>
                                    <w:rFonts w:ascii="Cambria Math" w:hAnsi="Cambria Math"/>
                                    <w:i/>
                                  </w:rPr>
                                </m:ctrlPr>
                              </m:dPr>
                              <m:e>
                                <m:r>
                                  <w:rPr>
                                    <w:rFonts w:ascii="Cambria Math" w:hAnsi="Cambria Math"/>
                                  </w:rPr>
                                  <m:t>s</m:t>
                                </m:r>
                              </m:e>
                            </m:d>
                          </m:e>
                        </m:d>
                      </m:e>
                    </m:func>
                  </m:e>
                </m:nary>
                <m:r>
                  <m:rPr>
                    <m:sty m:val="p"/>
                  </m:rPr>
                  <w:rPr>
                    <w:rFonts w:ascii="Cambria Math" w:hAnsi="Cambria Math"/>
                  </w:rPr>
                  <m:t>.</m:t>
                </m:r>
              </m:oMath>
            </m:oMathPara>
          </w:p>
        </w:tc>
        <w:tc>
          <w:tcPr>
            <w:tcW w:w="697" w:type="dxa"/>
            <w:vAlign w:val="center"/>
          </w:tcPr>
          <w:p w14:paraId="15BD9A3C" w14:textId="77C18A2E"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27</w:t>
            </w:r>
            <w:r w:rsidRPr="00B62318">
              <w:fldChar w:fldCharType="end"/>
            </w:r>
            <w:r w:rsidRPr="00B62318">
              <w:t>)</w:t>
            </w:r>
          </w:p>
        </w:tc>
      </w:tr>
    </w:tbl>
    <w:p w14:paraId="1C55CB89" w14:textId="77777777" w:rsidR="00AC6722" w:rsidRPr="00B62318" w:rsidRDefault="00AC6722" w:rsidP="00AC6722">
      <w:r w:rsidRPr="00B62318">
        <w:t>A positive value indicates that, even with full use of remaining capacity, the target distribution cannot be reached because feasible space has been exhausted or eliminated. This metric therefore captures lock-in that arises from hard feasibility limits rather than from procedural sequencing alone.</w:t>
      </w:r>
    </w:p>
    <w:p w14:paraId="226E0D6E" w14:textId="7CC85929" w:rsidR="00AC6722" w:rsidRPr="00B62318" w:rsidRDefault="00AC6722" w:rsidP="00AC6722">
      <w:r w:rsidRPr="00B62318">
        <w:rPr>
          <w:rStyle w:val="Heading4Char"/>
        </w:rPr>
        <w:t xml:space="preserve">Metric 2, Premature commitment at the </w:t>
      </w:r>
      <w:r w:rsidR="00F37CFC">
        <w:rPr>
          <w:rStyle w:val="Heading4Char"/>
        </w:rPr>
        <w:t>shift</w:t>
      </w:r>
      <w:r w:rsidRPr="00B62318">
        <w:rPr>
          <w:rStyle w:val="Heading4Char"/>
        </w:rPr>
        <w:t xml:space="preserve"> moment.</w:t>
      </w:r>
      <w:r w:rsidRPr="00B62318">
        <w:t xml:space="preserve"> We next quantify how early allocations shape the inherited system state at the moment of </w:t>
      </w:r>
      <w:r w:rsidR="00F37CFC">
        <w:t>shifting</w:t>
      </w:r>
      <w:r w:rsidRPr="00B62318">
        <w:t xml:space="preserve">. </w:t>
      </w:r>
      <w:r w:rsidR="00F37CFC">
        <w:t>Shifting</w:t>
      </w:r>
      <w:r w:rsidRPr="00B62318">
        <w:t xml:space="preserve"> can generate persistent divergence because the baseline </w:t>
      </w:r>
      <w:r w:rsidR="005F2471">
        <w:t>regime</w:t>
      </w:r>
      <w:r w:rsidRPr="00B62318">
        <w:t xml:space="preserve"> may allocate canopy to locations that the target rule would not have prioritized, creating sunk distributional commitments. Let </w:t>
      </w:r>
      <m:oMath>
        <m:sSup>
          <m:sSupPr>
            <m:ctrlPr>
              <w:rPr>
                <w:rFonts w:ascii="Cambria Math" w:hAnsi="Cambria Math"/>
              </w:rPr>
            </m:ctrlPr>
          </m:sSupPr>
          <m:e>
            <m:r>
              <w:rPr>
                <w:rFonts w:ascii="Cambria Math" w:hAnsi="Cambria Math"/>
              </w:rPr>
              <m:t>t</m:t>
            </m:r>
          </m:e>
          <m:sup>
            <m:r>
              <w:rPr>
                <w:rFonts w:ascii="Cambria Math" w:hAnsi="Cambria Math"/>
              </w:rPr>
              <m:t>-</m:t>
            </m:r>
          </m:sup>
        </m:sSup>
        <m:r>
          <w:rPr>
            <w:rFonts w:ascii="Cambria Math" w:hAnsi="Cambria Math"/>
          </w:rPr>
          <m:t>=</m:t>
        </m:r>
        <m:r>
          <m:rPr>
            <m:sty m:val="p"/>
          </m:rPr>
          <w:rPr>
            <w:rFonts w:ascii="Cambria Math" w:hAnsi="Cambria Math"/>
          </w:rPr>
          <m:t>max</m:t>
        </m:r>
        <m:r>
          <w:rPr>
            <w:rFonts w:ascii="Cambria Math" w:hAnsi="Cambria Math"/>
          </w:rPr>
          <m:t>⁡{t∈</m:t>
        </m:r>
        <m:r>
          <m:rPr>
            <m:sty m:val="p"/>
          </m:rPr>
          <w:rPr>
            <w:rFonts w:ascii="Cambria Math" w:hAnsi="Cambria Math"/>
          </w:rPr>
          <m:t>DECADES</m:t>
        </m:r>
        <m:r>
          <w:rPr>
            <w:rFonts w:ascii="Cambria Math" w:hAnsi="Cambria Math"/>
          </w:rPr>
          <m:t>:t&lt;s}</m:t>
        </m:r>
      </m:oMath>
      <w:r w:rsidRPr="00B62318">
        <w:rPr>
          <w:rFonts w:eastAsiaTheme="minorEastAsia"/>
        </w:rPr>
        <w:t xml:space="preserve"> </w:t>
      </w:r>
      <w:r w:rsidRPr="00B62318">
        <w:t>denote the pre-</w:t>
      </w:r>
      <w:r w:rsidR="00F37CFC">
        <w:t>shift</w:t>
      </w:r>
      <w:r w:rsidRPr="00B62318">
        <w:t xml:space="preserve"> decade. Premature commitment is defined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6C073376" w14:textId="77777777" w:rsidTr="00847F2D">
        <w:tc>
          <w:tcPr>
            <w:tcW w:w="625" w:type="dxa"/>
          </w:tcPr>
          <w:p w14:paraId="7305F373" w14:textId="77777777" w:rsidR="00AC6722" w:rsidRPr="00B62318" w:rsidRDefault="00AC6722" w:rsidP="00F438D9"/>
        </w:tc>
        <w:tc>
          <w:tcPr>
            <w:tcW w:w="7740" w:type="dxa"/>
            <w:vAlign w:val="center"/>
          </w:tcPr>
          <w:p w14:paraId="46596F59" w14:textId="77777777" w:rsidR="00AC6722" w:rsidRPr="00B62318" w:rsidRDefault="00DE782A" w:rsidP="00F438D9">
            <w:pPr>
              <w:jc w:val="center"/>
            </w:pPr>
            <m:oMathPara>
              <m:oMath>
                <m:sSub>
                  <m:sSubPr>
                    <m:ctrlPr>
                      <w:rPr>
                        <w:rFonts w:ascii="Cambria Math" w:hAnsi="Cambria Math"/>
                      </w:rPr>
                    </m:ctrlPr>
                  </m:sSubPr>
                  <m:e>
                    <m:r>
                      <w:rPr>
                        <w:rFonts w:ascii="Cambria Math" w:hAnsi="Cambria Math"/>
                      </w:rPr>
                      <m:t>M</m:t>
                    </m:r>
                  </m:e>
                  <m:sub>
                    <m:r>
                      <w:rPr>
                        <w:rFonts w:ascii="Cambria Math" w:hAnsi="Cambria Math"/>
                      </w:rPr>
                      <m:t>3</m:t>
                    </m:r>
                  </m:sub>
                </m:sSub>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grow m:val="1"/>
                    <m:supHide m:val="1"/>
                    <m:ctrlPr>
                      <w:rPr>
                        <w:rFonts w:ascii="Cambria Math" w:hAnsi="Cambria Math"/>
                      </w:rPr>
                    </m:ctrlPr>
                  </m:naryPr>
                  <m:sub>
                    <m:r>
                      <w:rPr>
                        <w:rFonts w:ascii="Cambria Math" w:hAnsi="Cambria Math"/>
                      </w:rPr>
                      <m:t>j</m:t>
                    </m:r>
                  </m:sub>
                  <m:sup/>
                  <m:e>
                    <m:func>
                      <m:funcPr>
                        <m:ctrlPr>
                          <w:rPr>
                            <w:rFonts w:ascii="Cambria Math" w:hAnsi="Cambria Math"/>
                          </w:rPr>
                        </m:ctrlPr>
                      </m:funcPr>
                      <m:fName>
                        <m:r>
                          <m:rPr>
                            <m:sty m:val="p"/>
                          </m:rPr>
                          <w:rPr>
                            <w:rFonts w:ascii="Cambria Math" w:hAnsi="Cambria Math"/>
                          </w:rPr>
                          <m:t>max</m:t>
                        </m:r>
                      </m:fName>
                      <m:e>
                        <m:r>
                          <w:rPr>
                            <w:rFonts w:ascii="Cambria Math" w:hAnsi="Cambria Math"/>
                          </w:rPr>
                          <m:t xml:space="preserve"> </m:t>
                        </m:r>
                        <m:d>
                          <m:dPr>
                            <m:ctrlPr>
                              <w:rPr>
                                <w:rFonts w:ascii="Cambria Math" w:hAnsi="Cambria Math"/>
                                <w:i/>
                              </w:rPr>
                            </m:ctrlPr>
                          </m:dPr>
                          <m:e>
                            <m:r>
                              <w:rPr>
                                <w:rFonts w:ascii="Cambria Math" w:hAnsi="Cambria Math"/>
                              </w:rPr>
                              <m:t xml:space="preserve">0, </m:t>
                            </m:r>
                            <m:d>
                              <m:dPr>
                                <m:ctrlPr>
                                  <w:rPr>
                                    <w:rFonts w:ascii="Cambria Math" w:hAnsi="Cambria Math"/>
                                  </w:rPr>
                                </m:ctrlPr>
                              </m:dPr>
                              <m:e>
                                <m:sSubSup>
                                  <m:sSubSupPr>
                                    <m:ctrlPr>
                                      <w:rPr>
                                        <w:rFonts w:ascii="Cambria Math" w:hAnsi="Cambria Math"/>
                                      </w:rPr>
                                    </m:ctrlPr>
                                  </m:sSubSupPr>
                                  <m:e>
                                    <m:r>
                                      <w:rPr>
                                        <w:rFonts w:ascii="Cambria Math" w:hAnsi="Cambria Math"/>
                                      </w:rPr>
                                      <m:t>c</m:t>
                                    </m:r>
                                  </m:e>
                                  <m:sub>
                                    <m:r>
                                      <w:rPr>
                                        <w:rFonts w:ascii="Cambria Math" w:hAnsi="Cambria Math"/>
                                      </w:rPr>
                                      <m:t>j</m:t>
                                    </m:r>
                                    <m: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m:t>
                                        </m:r>
                                      </m:sup>
                                    </m:sSup>
                                  </m:sub>
                                  <m:sup>
                                    <m:r>
                                      <w:rPr>
                                        <w:rFonts w:ascii="Cambria Math" w:hAnsi="Cambria Math"/>
                                      </w:rPr>
                                      <m:t>sw</m:t>
                                    </m:r>
                                  </m:sup>
                                </m:sSubSup>
                                <m:d>
                                  <m:dPr>
                                    <m:ctrlPr>
                                      <w:rPr>
                                        <w:rFonts w:ascii="Cambria Math" w:hAnsi="Cambria Math"/>
                                        <w:i/>
                                      </w:rPr>
                                    </m:ctrlPr>
                                  </m:dPr>
                                  <m:e>
                                    <m:r>
                                      <w:rPr>
                                        <w:rFonts w:ascii="Cambria Math" w:hAnsi="Cambria Math"/>
                                      </w:rPr>
                                      <m:t>s</m:t>
                                    </m:r>
                                  </m:e>
                                </m:d>
                                <m: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j</m:t>
                                    </m:r>
                                    <m: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m:t>
                                        </m:r>
                                      </m:sup>
                                    </m:sSup>
                                  </m:sub>
                                  <m:sup>
                                    <m:r>
                                      <w:rPr>
                                        <w:rFonts w:ascii="Cambria Math" w:hAnsi="Cambria Math"/>
                                      </w:rPr>
                                      <m:t>tg</m:t>
                                    </m:r>
                                  </m:sup>
                                </m:sSubSup>
                              </m:e>
                            </m:d>
                            <m:sSub>
                              <m:sSubPr>
                                <m:ctrlPr>
                                  <w:rPr>
                                    <w:rFonts w:ascii="Cambria Math" w:hAnsi="Cambria Math"/>
                                  </w:rPr>
                                </m:ctrlPr>
                              </m:sSubPr>
                              <m:e>
                                <m:r>
                                  <w:rPr>
                                    <w:rFonts w:ascii="Cambria Math" w:hAnsi="Cambria Math"/>
                                  </w:rPr>
                                  <m:t>A</m:t>
                                </m:r>
                              </m:e>
                              <m:sub>
                                <m:r>
                                  <w:rPr>
                                    <w:rFonts w:ascii="Cambria Math" w:hAnsi="Cambria Math"/>
                                  </w:rPr>
                                  <m:t>j</m:t>
                                </m:r>
                              </m:sub>
                            </m:sSub>
                          </m:e>
                        </m:d>
                      </m:e>
                    </m:func>
                  </m:e>
                </m:nary>
                <m:r>
                  <w:rPr>
                    <w:rFonts w:ascii="Cambria Math" w:hAnsi="Cambria Math"/>
                  </w:rPr>
                  <m:t>.</m:t>
                </m:r>
              </m:oMath>
            </m:oMathPara>
          </w:p>
        </w:tc>
        <w:tc>
          <w:tcPr>
            <w:tcW w:w="697" w:type="dxa"/>
            <w:vAlign w:val="center"/>
          </w:tcPr>
          <w:p w14:paraId="70118AD0" w14:textId="3FAF572D"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28</w:t>
            </w:r>
            <w:r w:rsidRPr="00B62318">
              <w:fldChar w:fldCharType="end"/>
            </w:r>
            <w:r w:rsidRPr="00B62318">
              <w:t>)</w:t>
            </w:r>
          </w:p>
        </w:tc>
      </w:tr>
    </w:tbl>
    <w:p w14:paraId="6B4E3744" w14:textId="2807FDAB" w:rsidR="00AC6722" w:rsidRPr="00B62318" w:rsidRDefault="00AC6722" w:rsidP="00AC6722">
      <w:r w:rsidRPr="00B62318">
        <w:t xml:space="preserve">This metric measures the canopy area allocated above the target counterfactual prior to the </w:t>
      </w:r>
      <w:r w:rsidR="00F37CFC">
        <w:t>shift</w:t>
      </w:r>
      <w:r w:rsidRPr="00B62318">
        <w:t>. Because canopy cannot be directly withdrawn within the model, except through forced losses induced by feasibility contraction, such over-allocation constrains subsequent reallocation and can propagate divergence even when sufficient aggregate capacity remains.</w:t>
      </w:r>
    </w:p>
    <w:p w14:paraId="32AB2038" w14:textId="52CB2148" w:rsidR="00AC6722" w:rsidRPr="00B62318" w:rsidRDefault="00AC6722" w:rsidP="00AC6722">
      <w:r w:rsidRPr="00B62318">
        <w:rPr>
          <w:rStyle w:val="Heading4Char"/>
        </w:rPr>
        <w:t xml:space="preserve">Metric 3, </w:t>
      </w:r>
      <w:r w:rsidR="00F37CFC">
        <w:rPr>
          <w:rStyle w:val="Heading4Char"/>
        </w:rPr>
        <w:t>Regime shift</w:t>
      </w:r>
      <w:r w:rsidRPr="00B62318">
        <w:rPr>
          <w:rStyle w:val="Heading4Char"/>
        </w:rPr>
        <w:t xml:space="preserve"> irreversibility at 2100.</w:t>
      </w:r>
      <w:r w:rsidRPr="00B62318">
        <w:t xml:space="preserve"> We measure the aggregate divergence between the </w:t>
      </w:r>
      <w:r w:rsidR="005F2471">
        <w:t>shifted regime</w:t>
      </w:r>
      <w:r w:rsidRPr="00B62318">
        <w:t xml:space="preserve"> and the target counterfactual at the end of the planning horizon,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070691BF" w14:textId="77777777" w:rsidTr="00847F2D">
        <w:tc>
          <w:tcPr>
            <w:tcW w:w="625" w:type="dxa"/>
          </w:tcPr>
          <w:p w14:paraId="69FFC933" w14:textId="77777777" w:rsidR="00AC6722" w:rsidRPr="00B62318" w:rsidRDefault="00AC6722" w:rsidP="00F438D9"/>
        </w:tc>
        <w:tc>
          <w:tcPr>
            <w:tcW w:w="7740" w:type="dxa"/>
            <w:vAlign w:val="center"/>
          </w:tcPr>
          <w:p w14:paraId="14D6A6F6" w14:textId="77777777" w:rsidR="00AC6722" w:rsidRPr="00B62318" w:rsidRDefault="00DE782A" w:rsidP="00F438D9">
            <w:pPr>
              <w:jc w:val="center"/>
            </w:pPr>
            <m:oMathPara>
              <m:oMath>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m:t>
                </m:r>
                <m:r>
                  <w:rPr>
                    <w:rFonts w:ascii="Cambria Math" w:hAnsi="Cambria Math"/>
                  </w:rPr>
                  <m:t>s</m:t>
                </m:r>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grow m:val="1"/>
                    <m:supHide m:val="1"/>
                    <m:ctrlPr>
                      <w:rPr>
                        <w:rFonts w:ascii="Cambria Math" w:hAnsi="Cambria Math"/>
                      </w:rPr>
                    </m:ctrlPr>
                  </m:naryPr>
                  <m:sub>
                    <m:r>
                      <w:rPr>
                        <w:rFonts w:ascii="Cambria Math" w:hAnsi="Cambria Math"/>
                      </w:rPr>
                      <m:t>j</m:t>
                    </m:r>
                  </m:sub>
                  <m:sup/>
                  <m:e>
                    <m: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j</m:t>
                        </m:r>
                        <m:r>
                          <w:rPr>
                            <w:rFonts w:ascii="Cambria Math" w:hAnsi="Cambria Math"/>
                          </w:rPr>
                          <m:t>,2100</m:t>
                        </m:r>
                      </m:sub>
                      <m:sup>
                        <m:r>
                          <w:rPr>
                            <w:rFonts w:ascii="Cambria Math" w:hAnsi="Cambria Math"/>
                          </w:rPr>
                          <m:t>sw</m:t>
                        </m:r>
                      </m:sup>
                    </m:sSubSup>
                    <m:r>
                      <w:rPr>
                        <w:rFonts w:ascii="Cambria Math" w:hAnsi="Cambria Math"/>
                      </w:rPr>
                      <m:t>(</m:t>
                    </m:r>
                    <m:r>
                      <w:rPr>
                        <w:rFonts w:ascii="Cambria Math" w:hAnsi="Cambria Math"/>
                      </w:rPr>
                      <m:t>s</m:t>
                    </m:r>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j</m:t>
                        </m:r>
                      </m:sub>
                    </m:sSub>
                    <m: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j</m:t>
                        </m:r>
                        <m:r>
                          <w:rPr>
                            <w:rFonts w:ascii="Cambria Math" w:hAnsi="Cambria Math"/>
                          </w:rPr>
                          <m:t>,2100</m:t>
                        </m:r>
                      </m:sub>
                      <m:sup>
                        <m:r>
                          <w:rPr>
                            <w:rFonts w:ascii="Cambria Math" w:hAnsi="Cambria Math"/>
                          </w:rPr>
                          <m:t>tg</m:t>
                        </m:r>
                      </m:sup>
                    </m:sSubSup>
                    <m:sSub>
                      <m:sSubPr>
                        <m:ctrlPr>
                          <w:rPr>
                            <w:rFonts w:ascii="Cambria Math" w:hAnsi="Cambria Math"/>
                          </w:rPr>
                        </m:ctrlPr>
                      </m:sSubPr>
                      <m:e>
                        <m:r>
                          <w:rPr>
                            <w:rFonts w:ascii="Cambria Math" w:hAnsi="Cambria Math"/>
                          </w:rPr>
                          <m:t>A</m:t>
                        </m:r>
                      </m:e>
                      <m:sub>
                        <m:r>
                          <w:rPr>
                            <w:rFonts w:ascii="Cambria Math" w:hAnsi="Cambria Math"/>
                          </w:rPr>
                          <m:t>j</m:t>
                        </m:r>
                      </m:sub>
                    </m:sSub>
                    <m:r>
                      <w:rPr>
                        <w:rFonts w:ascii="Cambria Math" w:hAnsi="Cambria Math"/>
                      </w:rPr>
                      <m:t>|</m:t>
                    </m:r>
                  </m:e>
                </m:nary>
                <m:r>
                  <m:rPr>
                    <m:sty m:val="p"/>
                  </m:rPr>
                  <w:rPr>
                    <w:rFonts w:ascii="Cambria Math" w:hAnsi="Cambria Math"/>
                  </w:rPr>
                  <m:t>.</m:t>
                </m:r>
              </m:oMath>
            </m:oMathPara>
          </w:p>
        </w:tc>
        <w:tc>
          <w:tcPr>
            <w:tcW w:w="697" w:type="dxa"/>
            <w:vAlign w:val="center"/>
          </w:tcPr>
          <w:p w14:paraId="09CFE165" w14:textId="63DA8D5C"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29</w:t>
            </w:r>
            <w:r w:rsidRPr="00B62318">
              <w:fldChar w:fldCharType="end"/>
            </w:r>
            <w:r w:rsidRPr="00B62318">
              <w:t>)</w:t>
            </w:r>
          </w:p>
        </w:tc>
      </w:tr>
    </w:tbl>
    <w:p w14:paraId="22120CC1" w14:textId="77777777" w:rsidR="00AC6722" w:rsidRPr="00B62318" w:rsidRDefault="00AC6722" w:rsidP="00AC6722">
      <w:r w:rsidRPr="00B62318">
        <w:t xml:space="preserve">A positive value indicates that, even after adopting the target procedural rule at </w:t>
      </w:r>
      <m:oMath>
        <m:r>
          <w:rPr>
            <w:rFonts w:ascii="Cambria Math" w:hAnsi="Cambria Math"/>
          </w:rPr>
          <m:t>s</m:t>
        </m:r>
      </m:oMath>
      <w:r w:rsidRPr="00B62318">
        <w:t>, the final distribution differs from what would have been achieved if the target rule had been applied from the outset. This metric summarizes the cumulative effects of both early commitments and feasibility constraints on the final spatial configuration.</w:t>
      </w:r>
    </w:p>
    <w:p w14:paraId="297FFCB7" w14:textId="3DB507BF" w:rsidR="00AC6722" w:rsidRPr="00B62318" w:rsidRDefault="00AC6722" w:rsidP="00AC6722">
      <w:r w:rsidRPr="00B62318">
        <w:t xml:space="preserve">Across all </w:t>
      </w:r>
      <w:r w:rsidR="00F37CFC">
        <w:t>shift</w:t>
      </w:r>
      <w:r w:rsidRPr="00B62318">
        <w:t xml:space="preserve"> years, justice principles, adaptation </w:t>
      </w:r>
      <w:r w:rsidR="005F2471">
        <w:t>regimes</w:t>
      </w:r>
      <w:r w:rsidRPr="00B62318">
        <w:t xml:space="preserve">, canopy budgets, and SSP–RCP scenarios, these three metrics provide a structured account of </w:t>
      </w:r>
      <w:r w:rsidR="005F2471">
        <w:t>adaptation</w:t>
      </w:r>
      <w:r w:rsidRPr="00B62318">
        <w:t xml:space="preserve"> lock-in. Metric 1 isolates divergence that is structurally unattainable due to binding feasibility constraints, Metric 2 captures premature spatial commitments inherited from earlier decisions, and Metric 3 </w:t>
      </w:r>
      <w:r w:rsidRPr="00B62318">
        <w:lastRenderedPageBreak/>
        <w:t xml:space="preserve">summarizes the cumulative divergence that persists to the end of the horizon. Together, they characterize lock-in as the outcome of sequential commitments interacting with evolving constraints, consistent with broader analyses of limited back-adjustment capacity in climate action systems </w:t>
      </w:r>
      <w:r w:rsidR="00DD75F7" w:rsidRPr="00B62318">
        <w:fldChar w:fldCharType="begin"/>
      </w:r>
      <w:r w:rsidR="00402049" w:rsidRPr="00B62318">
        <w:instrText xml:space="preserve"> ADDIN EN.CITE &lt;EndNote&gt;&lt;Cite&gt;&lt;Author&gt;Le Quéré&lt;/Author&gt;&lt;Year&gt;2026&lt;/Year&gt;&lt;RecNum&gt;1369&lt;/RecNum&gt;&lt;DisplayText&gt;(Le Quéré et al., 2026)&lt;/DisplayText&gt;&lt;record&gt;&lt;rec-number&gt;1369&lt;/rec-number&gt;&lt;foreign-keys&gt;&lt;key app="EN" db-id="ssraawt0aw9azuedz5b5pfszez0twxsdzpz2" timestamp="1768343717"&gt;1369&lt;/key&gt;&lt;/foreign-keys&gt;&lt;ref-type name="Journal Article"&gt;17&lt;/ref-type&gt;&lt;contributors&gt;&lt;authors&gt;&lt;author&gt;Le Quéré, Corinne&lt;/author&gt;&lt;author&gt;Wilson, Charlie&lt;/author&gt;&lt;author&gt;Barton, Harriet&lt;/author&gt;&lt;author&gt;Hall, Jim W&lt;/author&gt;&lt;author&gt;Minns, Asher&lt;/author&gt;&lt;author&gt;Prosser, Millie&lt;/author&gt;&lt;author&gt;Russell, Amy E&lt;/author&gt;&lt;author&gt;Tebboth, Mark GL&lt;/author&gt;&lt;author&gt;Topping, Nigel&lt;/author&gt;&lt;/authors&gt;&lt;/contributors&gt;&lt;titles&gt;&lt;title&gt;Irreversibility in climate action&lt;/title&gt;&lt;secondary-title&gt;Nature Climate Change&lt;/secondary-title&gt;&lt;/titles&gt;&lt;periodical&gt;&lt;full-title&gt;Nature Climate Change&lt;/full-title&gt;&lt;/periodical&gt;&lt;pages&gt;5-7&lt;/pages&gt;&lt;volume&gt;16&lt;/volume&gt;&lt;number&gt;1&lt;/number&gt;&lt;dates&gt;&lt;year&gt;2026&lt;/year&gt;&lt;/dates&gt;&lt;isbn&gt;1758-6798&lt;/isbn&gt;&lt;urls&gt;&lt;/urls&gt;&lt;/record&gt;&lt;/Cite&gt;&lt;/EndNote&gt;</w:instrText>
      </w:r>
      <w:r w:rsidR="00DD75F7" w:rsidRPr="00B62318">
        <w:fldChar w:fldCharType="separate"/>
      </w:r>
      <w:r w:rsidR="00402049" w:rsidRPr="00B62318">
        <w:rPr>
          <w:noProof/>
        </w:rPr>
        <w:t>(</w:t>
      </w:r>
      <w:hyperlink w:anchor="_ENREF_13_38" w:tooltip="Le Quéré, 2026 #1369" w:history="1">
        <w:r w:rsidR="00673035" w:rsidRPr="00B62318">
          <w:rPr>
            <w:noProof/>
          </w:rPr>
          <w:t>Le Quéré et al., 2026</w:t>
        </w:r>
      </w:hyperlink>
      <w:r w:rsidR="00402049" w:rsidRPr="00B62318">
        <w:rPr>
          <w:noProof/>
        </w:rPr>
        <w:t>)</w:t>
      </w:r>
      <w:r w:rsidR="00DD75F7" w:rsidRPr="00B62318">
        <w:fldChar w:fldCharType="end"/>
      </w:r>
      <w:r w:rsidRPr="00B62318">
        <w:t>. To interpret the sources of divergence identified by these diagnostics, we next examine how sequential allocation reshapes the structure of the decision space over time.</w:t>
      </w:r>
    </w:p>
    <w:p w14:paraId="2E0EBF97" w14:textId="77777777" w:rsidR="00AC6722" w:rsidRPr="00B62318" w:rsidRDefault="00AC6722" w:rsidP="00AC6722">
      <w:pPr>
        <w:pStyle w:val="Heading3"/>
      </w:pPr>
      <w:r w:rsidRPr="00B62318">
        <w:t>Decision space contraction and spatial constraints</w:t>
      </w:r>
    </w:p>
    <w:p w14:paraId="06D8C5CC" w14:textId="77777777" w:rsidR="00AC6722" w:rsidRPr="00B62318" w:rsidRDefault="00AC6722" w:rsidP="00AC6722">
      <w:r w:rsidRPr="00B62318">
        <w:t xml:space="preserve">We first quantify how the feasible option space evolves under sequential allocation. The remaining feasible canopy capacity in microcell </w:t>
      </w:r>
      <m:oMath>
        <m:r>
          <w:rPr>
            <w:rFonts w:ascii="Cambria Math" w:hAnsi="Cambria Math"/>
          </w:rPr>
          <m:t>j</m:t>
        </m:r>
      </m:oMath>
      <w:r w:rsidRPr="00B62318">
        <w:t xml:space="preserve"> at decade </w:t>
      </w:r>
      <m:oMath>
        <m:r>
          <w:rPr>
            <w:rFonts w:ascii="Cambria Math" w:hAnsi="Cambria Math"/>
          </w:rPr>
          <m:t>t</m:t>
        </m:r>
      </m:oMath>
      <w:r w:rsidRPr="00B62318">
        <w:t xml:space="preserve">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75678C4E" w14:textId="77777777" w:rsidTr="00847F2D">
        <w:tc>
          <w:tcPr>
            <w:tcW w:w="625" w:type="dxa"/>
          </w:tcPr>
          <w:p w14:paraId="4528D097" w14:textId="77777777" w:rsidR="00AC6722" w:rsidRPr="00B62318" w:rsidRDefault="00AC6722" w:rsidP="00F438D9"/>
        </w:tc>
        <w:tc>
          <w:tcPr>
            <w:tcW w:w="7740" w:type="dxa"/>
            <w:vAlign w:val="center"/>
          </w:tcPr>
          <w:p w14:paraId="49D71483" w14:textId="77777777" w:rsidR="00AC6722" w:rsidRPr="00B62318" w:rsidRDefault="00DE782A" w:rsidP="00F438D9">
            <w:pPr>
              <w:jc w:val="center"/>
            </w:pPr>
            <m:oMathPara>
              <m:oMath>
                <m:sSub>
                  <m:sSubPr>
                    <m:ctrlPr>
                      <w:rPr>
                        <w:rFonts w:ascii="Cambria Math" w:hAnsi="Cambria Math"/>
                      </w:rPr>
                    </m:ctrlPr>
                  </m:sSubPr>
                  <m:e>
                    <m:r>
                      <w:rPr>
                        <w:rFonts w:ascii="Cambria Math" w:hAnsi="Cambria Math"/>
                      </w:rPr>
                      <m:t>r</m:t>
                    </m:r>
                  </m:e>
                  <m:sub>
                    <m:r>
                      <w:rPr>
                        <w:rFonts w:ascii="Cambria Math" w:hAnsi="Cambria Math"/>
                      </w:rPr>
                      <m:t>j</m:t>
                    </m:r>
                    <m:r>
                      <w:rPr>
                        <w:rFonts w:ascii="Cambria Math" w:hAnsi="Cambria Math"/>
                      </w:rPr>
                      <m:t>,</m:t>
                    </m:r>
                    <m:r>
                      <w:rPr>
                        <w:rFonts w:ascii="Cambria Math" w:hAnsi="Cambria Math"/>
                      </w:rPr>
                      <m:t>t</m:t>
                    </m:r>
                  </m:sub>
                </m:sSub>
                <m:r>
                  <w:rPr>
                    <w:rFonts w:ascii="Cambria Math" w:hAnsi="Cambria Math"/>
                  </w:rPr>
                  <m:t>=</m:t>
                </m:r>
                <m:func>
                  <m:funcPr>
                    <m:ctrlPr>
                      <w:rPr>
                        <w:rFonts w:ascii="Cambria Math" w:hAnsi="Cambria Math"/>
                        <w:i/>
                        <w:iCs/>
                      </w:rPr>
                    </m:ctrlPr>
                  </m:funcPr>
                  <m:fName>
                    <m:r>
                      <m:rPr>
                        <m:sty m:val="p"/>
                      </m:rPr>
                      <w:rPr>
                        <w:rFonts w:ascii="Cambria Math" w:hAnsi="Cambria Math"/>
                      </w:rPr>
                      <m:t>max</m:t>
                    </m:r>
                  </m:fName>
                  <m:e>
                    <m:r>
                      <w:rPr>
                        <w:rFonts w:ascii="Cambria Math" w:hAnsi="Cambria Math"/>
                      </w:rPr>
                      <m:t xml:space="preserve"> (0,</m:t>
                    </m:r>
                  </m:e>
                </m:func>
                <m:d>
                  <m:dPr>
                    <m:sepChr m:val="−"/>
                    <m:ctrlPr>
                      <w:rPr>
                        <w:rFonts w:ascii="Cambria Math" w:hAnsi="Cambria Math"/>
                      </w:rPr>
                    </m:ctrlPr>
                  </m:dPr>
                  <m:e>
                    <m:sSub>
                      <m:sSubPr>
                        <m:ctrlPr>
                          <w:rPr>
                            <w:rFonts w:ascii="Cambria Math" w:hAnsi="Cambria Math"/>
                          </w:rPr>
                        </m:ctrlPr>
                      </m:sSubPr>
                      <m:e>
                        <m:acc>
                          <m:accPr>
                            <m:chr m:val="ˉ"/>
                            <m:ctrlPr>
                              <w:rPr>
                                <w:rFonts w:ascii="Cambria Math" w:hAnsi="Cambria Math"/>
                              </w:rPr>
                            </m:ctrlPr>
                          </m:accPr>
                          <m:e>
                            <m:r>
                              <w:rPr>
                                <w:rFonts w:ascii="Cambria Math" w:hAnsi="Cambria Math"/>
                              </w:rPr>
                              <m:t>c</m:t>
                            </m:r>
                          </m:e>
                        </m:acc>
                      </m:e>
                      <m:sub>
                        <m:r>
                          <w:rPr>
                            <w:rFonts w:ascii="Cambria Math" w:hAnsi="Cambria Math"/>
                          </w:rPr>
                          <m:t>j</m:t>
                        </m:r>
                        <m:r>
                          <w:rPr>
                            <w:rFonts w:ascii="Cambria Math" w:hAnsi="Cambria Math"/>
                          </w:rPr>
                          <m:t>,</m:t>
                        </m:r>
                        <m:r>
                          <w:rPr>
                            <w:rFonts w:ascii="Cambria Math" w:hAnsi="Cambria Math"/>
                          </w:rPr>
                          <m:t>t</m:t>
                        </m:r>
                      </m:sub>
                    </m:sSub>
                  </m:e>
                  <m:e>
                    <m:sSubSup>
                      <m:sSubSupPr>
                        <m:ctrlPr>
                          <w:rPr>
                            <w:rFonts w:ascii="Cambria Math" w:hAnsi="Cambria Math"/>
                          </w:rPr>
                        </m:ctrlPr>
                      </m:sSubSupPr>
                      <m:e>
                        <m:r>
                          <w:rPr>
                            <w:rFonts w:ascii="Cambria Math" w:hAnsi="Cambria Math"/>
                          </w:rPr>
                          <m:t>c</m:t>
                        </m:r>
                      </m:e>
                      <m:sub>
                        <m:r>
                          <w:rPr>
                            <w:rFonts w:ascii="Cambria Math" w:hAnsi="Cambria Math"/>
                          </w:rPr>
                          <m:t>j</m:t>
                        </m:r>
                        <m:r>
                          <w:rPr>
                            <w:rFonts w:ascii="Cambria Math" w:hAnsi="Cambria Math"/>
                          </w:rPr>
                          <m:t>,</m:t>
                        </m:r>
                        <m:r>
                          <w:rPr>
                            <w:rFonts w:ascii="Cambria Math" w:hAnsi="Cambria Math"/>
                          </w:rPr>
                          <m:t>t</m:t>
                        </m:r>
                      </m:sub>
                      <m:sup>
                        <m:r>
                          <w:rPr>
                            <w:rFonts w:ascii="Cambria Math" w:hAnsi="Cambria Math"/>
                          </w:rPr>
                          <m:t>0</m:t>
                        </m:r>
                      </m:sup>
                    </m:sSubSup>
                  </m:e>
                </m:d>
                <m:sSub>
                  <m:sSubPr>
                    <m:ctrlPr>
                      <w:rPr>
                        <w:rFonts w:ascii="Cambria Math" w:hAnsi="Cambria Math"/>
                      </w:rPr>
                    </m:ctrlPr>
                  </m:sSubPr>
                  <m:e>
                    <m:r>
                      <w:rPr>
                        <w:rFonts w:ascii="Cambria Math" w:hAnsi="Cambria Math"/>
                      </w:rPr>
                      <m:t>A</m:t>
                    </m:r>
                  </m:e>
                  <m:sub>
                    <m:r>
                      <w:rPr>
                        <w:rFonts w:ascii="Cambria Math" w:hAnsi="Cambria Math"/>
                      </w:rPr>
                      <m:t>j</m:t>
                    </m:r>
                  </m:sub>
                </m:sSub>
                <m:r>
                  <w:rPr>
                    <w:rFonts w:ascii="Cambria Math" w:hAnsi="Cambria Math"/>
                  </w:rPr>
                  <m:t>).</m:t>
                </m:r>
              </m:oMath>
            </m:oMathPara>
          </w:p>
        </w:tc>
        <w:tc>
          <w:tcPr>
            <w:tcW w:w="697" w:type="dxa"/>
            <w:vAlign w:val="center"/>
          </w:tcPr>
          <w:p w14:paraId="5B3AAF65" w14:textId="47BD44A7"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30</w:t>
            </w:r>
            <w:r w:rsidRPr="00B62318">
              <w:fldChar w:fldCharType="end"/>
            </w:r>
            <w:r w:rsidRPr="00B62318">
              <w:t>)</w:t>
            </w:r>
          </w:p>
        </w:tc>
      </w:tr>
    </w:tbl>
    <w:p w14:paraId="207E8BA4" w14:textId="7655EAA5" w:rsidR="00AC6722" w:rsidRPr="00B62318" w:rsidRDefault="00AC6722" w:rsidP="00AC6722">
      <w:r w:rsidRPr="00B62318">
        <w:t xml:space="preserve">From </w:t>
      </w:r>
      <m:oMath>
        <m:sSub>
          <m:sSubPr>
            <m:ctrlPr>
              <w:rPr>
                <w:rFonts w:ascii="Cambria Math" w:hAnsi="Cambria Math"/>
              </w:rPr>
            </m:ctrlPr>
          </m:sSubPr>
          <m:e>
            <m:r>
              <w:rPr>
                <w:rFonts w:ascii="Cambria Math" w:hAnsi="Cambria Math"/>
              </w:rPr>
              <m:t>r</m:t>
            </m:r>
          </m:e>
          <m:sub>
            <m:r>
              <w:rPr>
                <w:rFonts w:ascii="Cambria Math" w:hAnsi="Cambria Math"/>
              </w:rPr>
              <m:t>j,t</m:t>
            </m:r>
          </m:sub>
        </m:sSub>
      </m:oMath>
      <w:r w:rsidRPr="00B62318">
        <w:t xml:space="preserve">, we then compute three decision space contraction metrics, reported for each decade </w:t>
      </w:r>
      <m:oMath>
        <m:r>
          <w:rPr>
            <w:rFonts w:ascii="Cambria Math" w:hAnsi="Cambria Math"/>
          </w:rPr>
          <m:t>t</m:t>
        </m:r>
      </m:oMath>
      <w:r w:rsidRPr="00B62318">
        <w:t xml:space="preserve">, SSP–RCP scenario, justice principle, allocation </w:t>
      </w:r>
      <w:r w:rsidR="007734E3">
        <w:t>timeline</w:t>
      </w:r>
      <w:r w:rsidRPr="00B62318">
        <w:t>, and canopy budget.</w:t>
      </w:r>
    </w:p>
    <w:p w14:paraId="31BFDD6F" w14:textId="77777777" w:rsidR="00AC6722" w:rsidRPr="00B62318" w:rsidRDefault="00AC6722" w:rsidP="00AC6722">
      <w:r w:rsidRPr="00B62318">
        <w:rPr>
          <w:rStyle w:val="Heading4Char"/>
        </w:rPr>
        <w:t>Total remaining capacity.</w:t>
      </w:r>
      <w:r w:rsidRPr="00B62318">
        <w:t xml:space="preserve"> The total remaining feasible canopy area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135B1D42" w14:textId="77777777" w:rsidTr="00847F2D">
        <w:tc>
          <w:tcPr>
            <w:tcW w:w="625" w:type="dxa"/>
          </w:tcPr>
          <w:p w14:paraId="289EB069" w14:textId="77777777" w:rsidR="00AC6722" w:rsidRPr="00B62318" w:rsidRDefault="00AC6722" w:rsidP="00F438D9"/>
        </w:tc>
        <w:tc>
          <w:tcPr>
            <w:tcW w:w="7740" w:type="dxa"/>
            <w:vAlign w:val="center"/>
          </w:tcPr>
          <w:p w14:paraId="6AE271C0" w14:textId="77777777" w:rsidR="00AC6722" w:rsidRPr="00B62318" w:rsidRDefault="00DE782A" w:rsidP="00F438D9">
            <w:pPr>
              <w:jc w:val="center"/>
            </w:pPr>
            <m:oMathPara>
              <m:oMath>
                <m:sSub>
                  <m:sSubPr>
                    <m:ctrlPr>
                      <w:rPr>
                        <w:rFonts w:ascii="Cambria Math" w:hAnsi="Cambria Math"/>
                      </w:rPr>
                    </m:ctrlPr>
                  </m:sSubPr>
                  <m:e>
                    <m:r>
                      <w:rPr>
                        <w:rFonts w:ascii="Cambria Math" w:hAnsi="Cambria Math"/>
                      </w:rPr>
                      <m:t>R</m:t>
                    </m:r>
                  </m:e>
                  <m:sub>
                    <m:r>
                      <w:rPr>
                        <w:rFonts w:ascii="Cambria Math" w:hAnsi="Cambria Math"/>
                      </w:rPr>
                      <m:t>t</m:t>
                    </m:r>
                  </m:sub>
                </m:sSub>
                <m:r>
                  <w:rPr>
                    <w:rFonts w:ascii="Cambria Math" w:hAnsi="Cambria Math"/>
                  </w:rPr>
                  <m:t>=</m:t>
                </m:r>
                <m:nary>
                  <m:naryPr>
                    <m:chr m:val="∑"/>
                    <m:limLoc m:val="undOvr"/>
                    <m:grow m:val="1"/>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r</m:t>
                        </m:r>
                      </m:e>
                      <m:sub>
                        <m:r>
                          <w:rPr>
                            <w:rFonts w:ascii="Cambria Math" w:hAnsi="Cambria Math"/>
                          </w:rPr>
                          <m:t>j</m:t>
                        </m:r>
                        <m:r>
                          <w:rPr>
                            <w:rFonts w:ascii="Cambria Math" w:hAnsi="Cambria Math"/>
                          </w:rPr>
                          <m:t>,</m:t>
                        </m:r>
                        <m:r>
                          <w:rPr>
                            <w:rFonts w:ascii="Cambria Math" w:hAnsi="Cambria Math"/>
                          </w:rPr>
                          <m:t>t</m:t>
                        </m:r>
                      </m:sub>
                    </m:sSub>
                  </m:e>
                </m:nary>
                <m:r>
                  <m:rPr>
                    <m:sty m:val="p"/>
                  </m:rPr>
                  <w:rPr>
                    <w:rFonts w:ascii="Cambria Math" w:hAnsi="Cambria Math"/>
                  </w:rPr>
                  <m:t>.</m:t>
                </m:r>
              </m:oMath>
            </m:oMathPara>
          </w:p>
        </w:tc>
        <w:tc>
          <w:tcPr>
            <w:tcW w:w="697" w:type="dxa"/>
            <w:vAlign w:val="center"/>
          </w:tcPr>
          <w:p w14:paraId="0C32C924" w14:textId="78B5E524"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31</w:t>
            </w:r>
            <w:r w:rsidRPr="00B62318">
              <w:fldChar w:fldCharType="end"/>
            </w:r>
            <w:r w:rsidRPr="00B62318">
              <w:t>)</w:t>
            </w:r>
          </w:p>
        </w:tc>
      </w:tr>
    </w:tbl>
    <w:p w14:paraId="297E22C7" w14:textId="77777777" w:rsidR="00AC6722" w:rsidRPr="00B62318" w:rsidRDefault="00AC6722" w:rsidP="00AC6722">
      <w:r w:rsidRPr="00B62318">
        <w:t xml:space="preserve">Declines in </w:t>
      </w:r>
      <m:oMath>
        <m:sSub>
          <m:sSubPr>
            <m:ctrlPr>
              <w:rPr>
                <w:rFonts w:ascii="Cambria Math" w:hAnsi="Cambria Math"/>
              </w:rPr>
            </m:ctrlPr>
          </m:sSubPr>
          <m:e>
            <m:r>
              <w:rPr>
                <w:rFonts w:ascii="Cambria Math" w:hAnsi="Cambria Math"/>
              </w:rPr>
              <m:t>R</m:t>
            </m:r>
          </m:e>
          <m:sub>
            <m:r>
              <w:rPr>
                <w:rFonts w:ascii="Cambria Math" w:hAnsi="Cambria Math"/>
              </w:rPr>
              <m:t>t</m:t>
            </m:r>
          </m:sub>
        </m:sSub>
      </m:oMath>
      <w:r w:rsidRPr="00B62318">
        <w:rPr>
          <w:rFonts w:eastAsiaTheme="minorEastAsia"/>
        </w:rPr>
        <w:t xml:space="preserve"> </w:t>
      </w:r>
      <w:r w:rsidRPr="00B62318">
        <w:t xml:space="preserve">indicate contraction of the feasible option space available to future decision makers, whether due to </w:t>
      </w:r>
      <w:proofErr w:type="spellStart"/>
      <w:r w:rsidRPr="00B62318">
        <w:t>built</w:t>
      </w:r>
      <w:proofErr w:type="spellEnd"/>
      <w:r w:rsidRPr="00B62318">
        <w:t xml:space="preserve"> expansion, land use limits, or saturation from prior allocations.</w:t>
      </w:r>
    </w:p>
    <w:p w14:paraId="6708EFCD" w14:textId="77777777" w:rsidR="00AC6722" w:rsidRPr="00B62318" w:rsidRDefault="00AC6722" w:rsidP="00AC6722">
      <w:r w:rsidRPr="00B62318">
        <w:rPr>
          <w:rStyle w:val="Heading4Char"/>
        </w:rPr>
        <w:t>Forced canopy losses.</w:t>
      </w:r>
      <w:r w:rsidRPr="00B62318">
        <w:t xml:space="preserve"> Built expansion can invalidate previously achieved canopy levels by reducing </w:t>
      </w:r>
      <m:oMath>
        <m:sSub>
          <m:sSubPr>
            <m:ctrlPr>
              <w:rPr>
                <w:rFonts w:ascii="Cambria Math" w:hAnsi="Cambria Math"/>
              </w:rPr>
            </m:ctrlPr>
          </m:sSubPr>
          <m:e>
            <m:acc>
              <m:accPr>
                <m:chr m:val="ˉ"/>
                <m:ctrlPr>
                  <w:rPr>
                    <w:rFonts w:ascii="Cambria Math" w:hAnsi="Cambria Math"/>
                  </w:rPr>
                </m:ctrlPr>
              </m:accPr>
              <m:e>
                <m:r>
                  <w:rPr>
                    <w:rFonts w:ascii="Cambria Math" w:hAnsi="Cambria Math"/>
                  </w:rPr>
                  <m:t>c</m:t>
                </m:r>
              </m:e>
            </m:acc>
          </m:e>
          <m:sub>
            <m:r>
              <w:rPr>
                <w:rFonts w:ascii="Cambria Math" w:hAnsi="Cambria Math"/>
              </w:rPr>
              <m:t>j,t</m:t>
            </m:r>
          </m:sub>
        </m:sSub>
      </m:oMath>
      <w:r w:rsidRPr="00B62318">
        <w:rPr>
          <w:rFonts w:eastAsiaTheme="minorEastAsia"/>
        </w:rPr>
        <w:t xml:space="preserve"> </w:t>
      </w:r>
      <w:r w:rsidRPr="00B62318">
        <w:t xml:space="preserve">below existing canopy. The enforced loss in microcell </w:t>
      </w:r>
      <m:oMath>
        <m:r>
          <w:rPr>
            <w:rFonts w:ascii="Cambria Math" w:hAnsi="Cambria Math"/>
          </w:rPr>
          <m:t>j</m:t>
        </m:r>
      </m:oMath>
      <w:r w:rsidRPr="00B62318">
        <w:rPr>
          <w:rFonts w:eastAsiaTheme="minorEastAsia"/>
        </w:rPr>
        <w:t xml:space="preserve"> </w:t>
      </w:r>
      <w:r w:rsidRPr="00B62318">
        <w:t xml:space="preserve">at decade </w:t>
      </w:r>
      <m:oMath>
        <m:r>
          <w:rPr>
            <w:rFonts w:ascii="Cambria Math" w:hAnsi="Cambria Math"/>
          </w:rPr>
          <m:t>t</m:t>
        </m:r>
      </m:oMath>
      <w:r w:rsidRPr="00B62318">
        <w:rPr>
          <w:rFonts w:eastAsiaTheme="minorEastAsia"/>
        </w:rPr>
        <w:t xml:space="preserve"> </w:t>
      </w:r>
      <w:r w:rsidRPr="00B62318">
        <w:t>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2E2F4A7F" w14:textId="77777777" w:rsidTr="00847F2D">
        <w:tc>
          <w:tcPr>
            <w:tcW w:w="625" w:type="dxa"/>
          </w:tcPr>
          <w:p w14:paraId="5CE47E90" w14:textId="77777777" w:rsidR="00AC6722" w:rsidRPr="00B62318" w:rsidRDefault="00AC6722" w:rsidP="00F438D9"/>
        </w:tc>
        <w:tc>
          <w:tcPr>
            <w:tcW w:w="7740" w:type="dxa"/>
            <w:vAlign w:val="center"/>
          </w:tcPr>
          <w:p w14:paraId="44D83427" w14:textId="77777777" w:rsidR="00AC6722" w:rsidRPr="00B62318" w:rsidRDefault="00DE782A" w:rsidP="00F438D9">
            <w:pPr>
              <w:jc w:val="center"/>
            </w:pPr>
            <m:oMathPara>
              <m:oMath>
                <m:sSub>
                  <m:sSubPr>
                    <m:ctrlPr>
                      <w:rPr>
                        <w:rFonts w:ascii="Cambria Math" w:hAnsi="Cambria Math"/>
                      </w:rPr>
                    </m:ctrlPr>
                  </m:sSubPr>
                  <m:e>
                    <m:r>
                      <m:rPr>
                        <m:scr m:val="script"/>
                        <m:sty m:val="p"/>
                      </m:rPr>
                      <w:rPr>
                        <w:rFonts w:ascii="Cambria Math" w:hAnsi="Cambria Math"/>
                      </w:rPr>
                      <m:t>l</m:t>
                    </m:r>
                  </m:e>
                  <m:sub>
                    <m:r>
                      <w:rPr>
                        <w:rFonts w:ascii="Cambria Math" w:hAnsi="Cambria Math"/>
                      </w:rPr>
                      <m:t>j</m:t>
                    </m:r>
                    <m:r>
                      <w:rPr>
                        <w:rFonts w:ascii="Cambria Math" w:hAnsi="Cambria Math"/>
                      </w:rPr>
                      <m:t>,</m:t>
                    </m:r>
                    <m:r>
                      <w:rPr>
                        <w:rFonts w:ascii="Cambria Math" w:hAnsi="Cambria Math"/>
                      </w:rPr>
                      <m:t>t</m:t>
                    </m:r>
                  </m:sub>
                </m:sSub>
                <m:r>
                  <w:rPr>
                    <w:rFonts w:ascii="Cambria Math" w:hAnsi="Cambria Math"/>
                  </w:rPr>
                  <m:t>=</m:t>
                </m:r>
                <m:func>
                  <m:funcPr>
                    <m:ctrlPr>
                      <w:rPr>
                        <w:rFonts w:ascii="Cambria Math" w:hAnsi="Cambria Math"/>
                        <w:i/>
                      </w:rPr>
                    </m:ctrlPr>
                  </m:funcPr>
                  <m:fName>
                    <m:r>
                      <m:rPr>
                        <m:sty m:val="p"/>
                      </m:rPr>
                      <w:rPr>
                        <w:rFonts w:ascii="Cambria Math" w:hAnsi="Cambria Math"/>
                      </w:rPr>
                      <m:t xml:space="preserve">max⁡(0,   </m:t>
                    </m:r>
                  </m:fName>
                  <m:e>
                    <m:d>
                      <m:dPr>
                        <m:sepChr m:val="−"/>
                        <m:ctrlPr>
                          <w:rPr>
                            <w:rFonts w:ascii="Cambria Math" w:hAnsi="Cambria Math"/>
                          </w:rPr>
                        </m:ctrlPr>
                      </m:dPr>
                      <m:e>
                        <m:sSubSup>
                          <m:sSubSupPr>
                            <m:ctrlPr>
                              <w:rPr>
                                <w:rFonts w:ascii="Cambria Math" w:hAnsi="Cambria Math"/>
                              </w:rPr>
                            </m:ctrlPr>
                          </m:sSubSupPr>
                          <m:e>
                            <m:r>
                              <w:rPr>
                                <w:rFonts w:ascii="Cambria Math" w:hAnsi="Cambria Math"/>
                              </w:rPr>
                              <m:t>c</m:t>
                            </m:r>
                          </m:e>
                          <m:sub>
                            <m:r>
                              <w:rPr>
                                <w:rFonts w:ascii="Cambria Math" w:hAnsi="Cambria Math"/>
                              </w:rPr>
                              <m:t>j</m:t>
                            </m:r>
                            <m:r>
                              <w:rPr>
                                <w:rFonts w:ascii="Cambria Math" w:hAnsi="Cambria Math"/>
                              </w:rPr>
                              <m:t>,</m:t>
                            </m:r>
                            <m:r>
                              <w:rPr>
                                <w:rFonts w:ascii="Cambria Math" w:hAnsi="Cambria Math"/>
                              </w:rPr>
                              <m:t>t</m:t>
                            </m:r>
                          </m:sub>
                          <m:sup>
                            <m:r>
                              <w:rPr>
                                <w:rFonts w:ascii="Cambria Math" w:hAnsi="Cambria Math"/>
                              </w:rPr>
                              <m:t>*</m:t>
                            </m:r>
                          </m:sup>
                        </m:sSubSup>
                        <m:r>
                          <m:rPr>
                            <m:sty m:val="p"/>
                          </m:rPr>
                          <w:rPr>
                            <w:rFonts w:ascii="Cambria Math" w:eastAsiaTheme="minorEastAsia" w:hAnsi="Cambria Math"/>
                          </w:rPr>
                          <m:t xml:space="preserve"> </m:t>
                        </m:r>
                      </m:e>
                      <m:e>
                        <m:sSub>
                          <m:sSubPr>
                            <m:ctrlPr>
                              <w:rPr>
                                <w:rFonts w:ascii="Cambria Math" w:hAnsi="Cambria Math"/>
                              </w:rPr>
                            </m:ctrlPr>
                          </m:sSubPr>
                          <m:e>
                            <m:acc>
                              <m:accPr>
                                <m:chr m:val="ˉ"/>
                                <m:ctrlPr>
                                  <w:rPr>
                                    <w:rFonts w:ascii="Cambria Math" w:hAnsi="Cambria Math"/>
                                  </w:rPr>
                                </m:ctrlPr>
                              </m:accPr>
                              <m:e>
                                <m:r>
                                  <w:rPr>
                                    <w:rFonts w:ascii="Cambria Math" w:hAnsi="Cambria Math"/>
                                  </w:rPr>
                                  <m:t>c</m:t>
                                </m:r>
                              </m:e>
                            </m:acc>
                          </m:e>
                          <m:sub>
                            <m:r>
                              <w:rPr>
                                <w:rFonts w:ascii="Cambria Math" w:hAnsi="Cambria Math"/>
                              </w:rPr>
                              <m:t>j</m:t>
                            </m:r>
                            <m:r>
                              <w:rPr>
                                <w:rFonts w:ascii="Cambria Math" w:hAnsi="Cambria Math"/>
                              </w:rPr>
                              <m:t>,</m:t>
                            </m:r>
                            <m:r>
                              <w:rPr>
                                <w:rFonts w:ascii="Cambria Math" w:hAnsi="Cambria Math"/>
                              </w:rPr>
                              <m:t>t</m:t>
                            </m:r>
                          </m:sub>
                        </m:sSub>
                      </m:e>
                    </m:d>
                    <m:sSub>
                      <m:sSubPr>
                        <m:ctrlPr>
                          <w:rPr>
                            <w:rFonts w:ascii="Cambria Math" w:hAnsi="Cambria Math"/>
                          </w:rPr>
                        </m:ctrlPr>
                      </m:sSubPr>
                      <m:e>
                        <m:r>
                          <w:rPr>
                            <w:rFonts w:ascii="Cambria Math" w:hAnsi="Cambria Math"/>
                          </w:rPr>
                          <m:t>A</m:t>
                        </m:r>
                      </m:e>
                      <m:sub>
                        <m:r>
                          <w:rPr>
                            <w:rFonts w:ascii="Cambria Math" w:hAnsi="Cambria Math"/>
                          </w:rPr>
                          <m:t>j</m:t>
                        </m:r>
                      </m:sub>
                    </m:sSub>
                    <m:r>
                      <w:rPr>
                        <w:rFonts w:ascii="Cambria Math" w:hAnsi="Cambria Math"/>
                      </w:rPr>
                      <m:t>)</m:t>
                    </m:r>
                  </m:e>
                </m:func>
                <m:r>
                  <w:rPr>
                    <w:rFonts w:ascii="Cambria Math" w:hAnsi="Cambria Math"/>
                  </w:rPr>
                  <m:t xml:space="preserve">,  </m:t>
                </m:r>
                <m:sSub>
                  <m:sSubPr>
                    <m:ctrlPr>
                      <w:rPr>
                        <w:rFonts w:ascii="Cambria Math" w:hAnsi="Cambria Math"/>
                      </w:rPr>
                    </m:ctrlPr>
                  </m:sSubPr>
                  <m:e>
                    <m:r>
                      <w:rPr>
                        <w:rFonts w:ascii="Cambria Math" w:hAnsi="Cambria Math"/>
                      </w:rPr>
                      <m:t>L</m:t>
                    </m:r>
                  </m:e>
                  <m:sub>
                    <m:r>
                      <w:rPr>
                        <w:rFonts w:ascii="Cambria Math" w:hAnsi="Cambria Math"/>
                      </w:rPr>
                      <m:t>t</m:t>
                    </m:r>
                  </m:sub>
                </m:sSub>
                <m:r>
                  <w:rPr>
                    <w:rFonts w:ascii="Cambria Math" w:hAnsi="Cambria Math"/>
                  </w:rPr>
                  <m:t>=</m:t>
                </m:r>
                <m:nary>
                  <m:naryPr>
                    <m:chr m:val="∑"/>
                    <m:limLoc m:val="undOvr"/>
                    <m:grow m:val="1"/>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m:rPr>
                            <m:scr m:val="script"/>
                            <m:sty m:val="p"/>
                          </m:rPr>
                          <w:rPr>
                            <w:rFonts w:ascii="Cambria Math" w:hAnsi="Cambria Math"/>
                          </w:rPr>
                          <m:t>l</m:t>
                        </m:r>
                      </m:e>
                      <m:sub>
                        <m:r>
                          <w:rPr>
                            <w:rFonts w:ascii="Cambria Math" w:hAnsi="Cambria Math"/>
                          </w:rPr>
                          <m:t>j</m:t>
                        </m:r>
                        <m:r>
                          <w:rPr>
                            <w:rFonts w:ascii="Cambria Math" w:hAnsi="Cambria Math"/>
                          </w:rPr>
                          <m:t>,</m:t>
                        </m:r>
                        <m:r>
                          <w:rPr>
                            <w:rFonts w:ascii="Cambria Math" w:hAnsi="Cambria Math"/>
                          </w:rPr>
                          <m:t>t</m:t>
                        </m:r>
                      </m:sub>
                    </m:sSub>
                  </m:e>
                </m:nary>
                <m:r>
                  <m:rPr>
                    <m:sty m:val="p"/>
                  </m:rPr>
                  <w:rPr>
                    <w:rFonts w:ascii="Cambria Math" w:hAnsi="Cambria Math"/>
                  </w:rPr>
                  <m:t>.</m:t>
                </m:r>
              </m:oMath>
            </m:oMathPara>
          </w:p>
        </w:tc>
        <w:tc>
          <w:tcPr>
            <w:tcW w:w="697" w:type="dxa"/>
            <w:vAlign w:val="center"/>
          </w:tcPr>
          <w:p w14:paraId="35558DD7" w14:textId="5CFCC1EF"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32</w:t>
            </w:r>
            <w:r w:rsidRPr="00B62318">
              <w:fldChar w:fldCharType="end"/>
            </w:r>
            <w:r w:rsidRPr="00B62318">
              <w:t>)</w:t>
            </w:r>
          </w:p>
        </w:tc>
      </w:tr>
    </w:tbl>
    <w:p w14:paraId="6749B85C" w14:textId="2731F38B" w:rsidR="00AC6722" w:rsidRPr="00B62318" w:rsidRDefault="00AC6722" w:rsidP="00AC6722">
      <w:r w:rsidRPr="00B62318">
        <w:t xml:space="preserve">where </w:t>
      </w:r>
      <m:oMath>
        <m:sSubSup>
          <m:sSubSupPr>
            <m:ctrlPr>
              <w:rPr>
                <w:rFonts w:ascii="Cambria Math" w:hAnsi="Cambria Math"/>
              </w:rPr>
            </m:ctrlPr>
          </m:sSubSupPr>
          <m:e>
            <m:r>
              <w:rPr>
                <w:rFonts w:ascii="Cambria Math" w:hAnsi="Cambria Math"/>
              </w:rPr>
              <m:t>c</m:t>
            </m:r>
          </m:e>
          <m:sub>
            <m:r>
              <w:rPr>
                <w:rFonts w:ascii="Cambria Math" w:hAnsi="Cambria Math"/>
              </w:rPr>
              <m:t>j,t</m:t>
            </m:r>
          </m:sub>
          <m:sup>
            <m:r>
              <w:rPr>
                <w:rFonts w:ascii="Cambria Math" w:hAnsi="Cambria Math"/>
              </w:rPr>
              <m:t>*</m:t>
            </m:r>
          </m:sup>
        </m:sSubSup>
      </m:oMath>
      <w:r w:rsidRPr="00B62318">
        <w:rPr>
          <w:rFonts w:eastAsiaTheme="minorEastAsia"/>
        </w:rPr>
        <w:t xml:space="preserve"> </w:t>
      </w:r>
      <w:r w:rsidRPr="00B62318">
        <w:t xml:space="preserve">denotes the realized canopy fraction immediately before applying feasibility updates for decade </w:t>
      </w:r>
      <m:oMath>
        <m:r>
          <w:rPr>
            <w:rFonts w:ascii="Cambria Math" w:hAnsi="Cambria Math"/>
          </w:rPr>
          <m:t>t</m:t>
        </m:r>
      </m:oMath>
      <w:r w:rsidRPr="00B62318">
        <w:t xml:space="preserve">, consistent with the sequential update in Equations </w:t>
      </w:r>
      <w:r w:rsidRPr="00B62318">
        <w:fldChar w:fldCharType="begin"/>
      </w:r>
      <w:r w:rsidRPr="00B62318">
        <w:instrText xml:space="preserve"> REF _Ref221790440 \h </w:instrText>
      </w:r>
      <w:r w:rsidRPr="00B62318">
        <w:fldChar w:fldCharType="separate"/>
      </w:r>
      <w:r w:rsidR="00364E4E" w:rsidRPr="00B62318">
        <w:t>(</w:t>
      </w:r>
      <w:r w:rsidR="00364E4E">
        <w:rPr>
          <w:noProof/>
        </w:rPr>
        <w:t>15</w:t>
      </w:r>
      <w:r w:rsidR="00364E4E" w:rsidRPr="00B62318">
        <w:t>)</w:t>
      </w:r>
      <w:r w:rsidRPr="00B62318">
        <w:fldChar w:fldCharType="end"/>
      </w:r>
      <w:r w:rsidRPr="00B62318">
        <w:t xml:space="preserve"> to </w:t>
      </w:r>
      <w:r w:rsidRPr="00B62318">
        <w:fldChar w:fldCharType="begin"/>
      </w:r>
      <w:r w:rsidRPr="00B62318">
        <w:instrText xml:space="preserve"> REF _Ref221793251 \h </w:instrText>
      </w:r>
      <w:r w:rsidRPr="00B62318">
        <w:fldChar w:fldCharType="separate"/>
      </w:r>
      <w:r w:rsidR="00364E4E" w:rsidRPr="00B62318">
        <w:t>(</w:t>
      </w:r>
      <w:r w:rsidR="00364E4E">
        <w:rPr>
          <w:noProof/>
        </w:rPr>
        <w:t>17</w:t>
      </w:r>
      <w:r w:rsidR="00364E4E" w:rsidRPr="00B62318">
        <w:t>)</w:t>
      </w:r>
      <w:r w:rsidRPr="00B62318">
        <w:fldChar w:fldCharType="end"/>
      </w:r>
      <w:r w:rsidRPr="00B62318">
        <w:t>. Forced loss captures an irreversible mechanism that is external to procedural choice: once canopy is removed because feasibility contracts, recovery must compete with future canopy budgets and remaining capacities and may be impossible where feasibility remains binding.</w:t>
      </w:r>
    </w:p>
    <w:p w14:paraId="1232938A" w14:textId="373EF896" w:rsidR="00AC6722" w:rsidRPr="00B62318" w:rsidRDefault="00AC6722" w:rsidP="00AC6722">
      <w:pPr>
        <w:rPr>
          <w:rFonts w:asciiTheme="majorBidi" w:eastAsiaTheme="majorEastAsia" w:hAnsiTheme="majorBidi" w:cstheme="majorBidi"/>
          <w:i/>
          <w:iCs/>
        </w:rPr>
      </w:pPr>
      <w:r w:rsidRPr="00B62318">
        <w:rPr>
          <w:i/>
          <w:iCs/>
        </w:rPr>
        <w:t>Remaining capacity concentration.</w:t>
      </w:r>
      <w:r w:rsidRPr="00B62318">
        <w:t xml:space="preserve"> Even when aggregate remaining capacity is nonzero, later correction can be limited if remaining capacity is concentrated in a small subset of microcells. We therefore characterize the distribution of</w:t>
      </w:r>
      <w:r w:rsidR="00E83024" w:rsidRPr="00B62318">
        <w:t xml:space="preserve"> </w:t>
      </w:r>
      <w:r w:rsidR="00E83024" w:rsidRPr="00B62318">
        <w:rPr>
          <w:rFonts w:asciiTheme="majorBidi" w:hAnsiTheme="majorBidi" w:cstheme="majorBidi"/>
        </w:rPr>
        <w:t>{</w:t>
      </w:r>
      <m:oMath>
        <m:sSub>
          <m:sSubPr>
            <m:ctrlPr>
              <w:rPr>
                <w:rFonts w:ascii="Cambria Math" w:hAnsi="Cambria Math" w:cstheme="majorBidi"/>
              </w:rPr>
            </m:ctrlPr>
          </m:sSubPr>
          <m:e>
            <m:r>
              <w:rPr>
                <w:rFonts w:ascii="Cambria Math" w:hAnsi="Cambria Math" w:cstheme="majorBidi"/>
              </w:rPr>
              <m:t>r</m:t>
            </m:r>
          </m:e>
          <m:sub>
            <m:r>
              <w:rPr>
                <w:rFonts w:ascii="Cambria Math" w:hAnsi="Cambria Math" w:cstheme="majorBidi"/>
              </w:rPr>
              <m:t>j,t</m:t>
            </m:r>
          </m:sub>
        </m:sSub>
      </m:oMath>
      <w:r w:rsidR="00E83024" w:rsidRPr="00B62318">
        <w:rPr>
          <w:rFonts w:asciiTheme="majorBidi" w:hAnsiTheme="majorBidi" w:cstheme="majorBidi"/>
        </w:rPr>
        <w:t>}</w:t>
      </w:r>
      <w:r w:rsidR="00E83024" w:rsidRPr="00B62318">
        <w:t xml:space="preserve"> </w:t>
      </w:r>
      <w:r w:rsidRPr="00B62318">
        <w:t>using the Gini coefficient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697"/>
      </w:tblGrid>
      <w:tr w:rsidR="00AC6722" w:rsidRPr="00B62318" w14:paraId="009378F5" w14:textId="77777777" w:rsidTr="00847F2D">
        <w:tc>
          <w:tcPr>
            <w:tcW w:w="625" w:type="dxa"/>
          </w:tcPr>
          <w:p w14:paraId="3952E11C" w14:textId="77777777" w:rsidR="00AC6722" w:rsidRPr="00B62318" w:rsidRDefault="00AC6722" w:rsidP="00F438D9"/>
        </w:tc>
        <w:tc>
          <w:tcPr>
            <w:tcW w:w="7740" w:type="dxa"/>
            <w:vAlign w:val="center"/>
          </w:tcPr>
          <w:p w14:paraId="3B92D00E" w14:textId="77777777" w:rsidR="00AC6722" w:rsidRPr="00B62318" w:rsidRDefault="00DE782A" w:rsidP="00F438D9">
            <w:pPr>
              <w:jc w:val="center"/>
            </w:pPr>
            <m:oMathPara>
              <m:oMath>
                <m:sSub>
                  <m:sSubPr>
                    <m:ctrlPr>
                      <w:rPr>
                        <w:rFonts w:ascii="Cambria Math" w:hAnsi="Cambria Math"/>
                      </w:rPr>
                    </m:ctrlPr>
                  </m:sSubPr>
                  <m:e>
                    <m:r>
                      <w:rPr>
                        <w:rFonts w:ascii="Cambria Math" w:hAnsi="Cambria Math"/>
                      </w:rPr>
                      <m:t>G</m:t>
                    </m:r>
                  </m:e>
                  <m:sub>
                    <m:r>
                      <w:rPr>
                        <w:rFonts w:ascii="Cambria Math" w:hAnsi="Cambria Math"/>
                      </w:rPr>
                      <m:t>t</m:t>
                    </m:r>
                  </m:sub>
                </m:sSub>
                <m:r>
                  <w:rPr>
                    <w:rFonts w:ascii="Cambria Math" w:hAnsi="Cambria Math"/>
                  </w:rPr>
                  <m:t>=</m:t>
                </m:r>
                <m:r>
                  <m:rPr>
                    <m:sty m:val="p"/>
                  </m:rPr>
                  <w:rPr>
                    <w:rFonts w:ascii="Cambria Math" w:hAnsi="Cambria Math"/>
                  </w:rPr>
                  <m:t>Gini</m:t>
                </m:r>
                <m:r>
                  <m:rPr>
                    <m:nor/>
                  </m:rPr>
                  <m:t xml:space="preserve"> </m:t>
                </m:r>
                <m:d>
                  <m:dPr>
                    <m:ctrlPr>
                      <w:rPr>
                        <w:rFonts w:ascii="Cambria Math" w:hAnsi="Cambria Math"/>
                      </w:rPr>
                    </m:ctrlPr>
                  </m:dPr>
                  <m:e>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j</m:t>
                        </m:r>
                        <m:r>
                          <w:rPr>
                            <w:rFonts w:ascii="Cambria Math" w:hAnsi="Cambria Math"/>
                          </w:rPr>
                          <m:t>,</m:t>
                        </m:r>
                        <m:r>
                          <w:rPr>
                            <w:rFonts w:ascii="Cambria Math" w:hAnsi="Cambria Math"/>
                          </w:rPr>
                          <m:t>t</m:t>
                        </m:r>
                      </m:sub>
                    </m:sSub>
                    <m:r>
                      <w:rPr>
                        <w:rFonts w:ascii="Cambria Math" w:hAnsi="Cambria Math"/>
                      </w:rPr>
                      <m:t>}</m:t>
                    </m:r>
                  </m:e>
                </m:d>
                <m:r>
                  <w:rPr>
                    <w:rFonts w:ascii="Cambria Math" w:hAnsi="Cambria Math"/>
                  </w:rPr>
                  <m:t>.</m:t>
                </m:r>
              </m:oMath>
            </m:oMathPara>
          </w:p>
        </w:tc>
        <w:tc>
          <w:tcPr>
            <w:tcW w:w="697" w:type="dxa"/>
            <w:vAlign w:val="center"/>
          </w:tcPr>
          <w:p w14:paraId="0A447D9C" w14:textId="7503314D" w:rsidR="00AC6722" w:rsidRPr="00B62318" w:rsidRDefault="00AC6722" w:rsidP="00F438D9">
            <w:pPr>
              <w:jc w:val="right"/>
            </w:pPr>
            <w:r w:rsidRPr="00B62318">
              <w:t>(</w:t>
            </w:r>
            <w:r w:rsidRPr="00B62318">
              <w:fldChar w:fldCharType="begin"/>
            </w:r>
            <w:r w:rsidRPr="00B62318">
              <w:instrText xml:space="preserve"> SEQ Equation \* ARABIC </w:instrText>
            </w:r>
            <w:r w:rsidRPr="00B62318">
              <w:fldChar w:fldCharType="separate"/>
            </w:r>
            <w:r w:rsidR="00364E4E">
              <w:rPr>
                <w:noProof/>
              </w:rPr>
              <w:t>33</w:t>
            </w:r>
            <w:r w:rsidRPr="00B62318">
              <w:fldChar w:fldCharType="end"/>
            </w:r>
            <w:r w:rsidRPr="00B62318">
              <w:t>)</w:t>
            </w:r>
          </w:p>
        </w:tc>
      </w:tr>
    </w:tbl>
    <w:p w14:paraId="3493F3B8" w14:textId="77777777" w:rsidR="00AC6722" w:rsidRPr="00B62318" w:rsidRDefault="00AC6722" w:rsidP="00AC6722">
      <w:r w:rsidRPr="00B62318">
        <w:t xml:space="preserve">Higher </w:t>
      </w:r>
      <m:oMath>
        <m:sSub>
          <m:sSubPr>
            <m:ctrlPr>
              <w:rPr>
                <w:rFonts w:ascii="Cambria Math" w:hAnsi="Cambria Math"/>
              </w:rPr>
            </m:ctrlPr>
          </m:sSubPr>
          <m:e>
            <m:r>
              <w:rPr>
                <w:rFonts w:ascii="Cambria Math" w:hAnsi="Cambria Math"/>
              </w:rPr>
              <m:t>G</m:t>
            </m:r>
          </m:e>
          <m:sub>
            <m:r>
              <w:rPr>
                <w:rFonts w:ascii="Cambria Math" w:hAnsi="Cambria Math"/>
              </w:rPr>
              <m:t>t</m:t>
            </m:r>
          </m:sub>
        </m:sSub>
      </m:oMath>
      <w:r w:rsidRPr="00B62318">
        <w:rPr>
          <w:rFonts w:eastAsiaTheme="minorEastAsia"/>
        </w:rPr>
        <w:t xml:space="preserve"> </w:t>
      </w:r>
      <w:r w:rsidRPr="00B62318">
        <w:t>indicates that remaining feasible action becomes increasingly uneven across space, which restricts the set of achievable distributions and increases the risk that mismatches cannot be corrected in the locations where the alternative procedural rule would prioritize intervention.</w:t>
      </w:r>
    </w:p>
    <w:p w14:paraId="47E71AA9" w14:textId="77777777" w:rsidR="001643DA" w:rsidRPr="00B62318" w:rsidRDefault="00AC6722" w:rsidP="000B58C5">
      <w:r w:rsidRPr="00B62318">
        <w:lastRenderedPageBreak/>
        <w:t>These diagnostics describe how the decision space is progressively structured by prior allocations and external constraints. Importantly, they do not define lock-in directly, but characterize the conditions under which lock-in emerge</w:t>
      </w:r>
    </w:p>
    <w:p w14:paraId="1CA92290" w14:textId="651B31A1" w:rsidR="001643DA" w:rsidRPr="00B62318" w:rsidRDefault="001643DA" w:rsidP="001643DA">
      <w:pPr>
        <w:pStyle w:val="Heading1"/>
        <w:rPr>
          <w:lang w:val="en-US"/>
        </w:rPr>
      </w:pPr>
      <w:r w:rsidRPr="00B62318">
        <w:rPr>
          <w:lang w:val="en-US"/>
        </w:rPr>
        <w:t>References</w:t>
      </w:r>
    </w:p>
    <w:p w14:paraId="29237771" w14:textId="77777777" w:rsidR="00673035" w:rsidRPr="00B62318" w:rsidRDefault="001643DA" w:rsidP="00673035">
      <w:pPr>
        <w:pStyle w:val="EndNoteBibliography"/>
        <w:spacing w:after="0"/>
        <w:ind w:left="720" w:hanging="720"/>
        <w:rPr>
          <w:noProof/>
        </w:rPr>
      </w:pPr>
      <w:r w:rsidRPr="00B62318">
        <w:fldChar w:fldCharType="begin"/>
      </w:r>
      <w:r w:rsidRPr="00B62318">
        <w:instrText xml:space="preserve"> ADDIN EN.SECTION.REFLIST </w:instrText>
      </w:r>
      <w:r w:rsidRPr="00B62318">
        <w:fldChar w:fldCharType="separate"/>
      </w:r>
      <w:bookmarkStart w:id="5" w:name="_ENREF_13_1"/>
      <w:r w:rsidR="00673035" w:rsidRPr="00B62318">
        <w:rPr>
          <w:noProof/>
        </w:rPr>
        <w:t xml:space="preserve">Aksom, H. (2022). Institutional inertia and practice variation. </w:t>
      </w:r>
      <w:r w:rsidR="00673035" w:rsidRPr="00B62318">
        <w:rPr>
          <w:i/>
          <w:noProof/>
        </w:rPr>
        <w:t>Journal of Organizational Change Management</w:t>
      </w:r>
      <w:r w:rsidR="00673035" w:rsidRPr="00B62318">
        <w:rPr>
          <w:noProof/>
        </w:rPr>
        <w:t>,</w:t>
      </w:r>
      <w:r w:rsidR="00673035" w:rsidRPr="00B62318">
        <w:rPr>
          <w:i/>
          <w:noProof/>
        </w:rPr>
        <w:t xml:space="preserve"> 35</w:t>
      </w:r>
      <w:r w:rsidR="00673035" w:rsidRPr="00B62318">
        <w:rPr>
          <w:noProof/>
        </w:rPr>
        <w:t xml:space="preserve">(3), 463-487. </w:t>
      </w:r>
      <w:bookmarkEnd w:id="5"/>
    </w:p>
    <w:p w14:paraId="54969FD1" w14:textId="77777777" w:rsidR="00673035" w:rsidRPr="00B62318" w:rsidRDefault="00673035" w:rsidP="00673035">
      <w:pPr>
        <w:pStyle w:val="EndNoteBibliography"/>
        <w:spacing w:after="0"/>
        <w:ind w:left="720" w:hanging="720"/>
        <w:rPr>
          <w:noProof/>
        </w:rPr>
      </w:pPr>
      <w:bookmarkStart w:id="6" w:name="_ENREF_13_2"/>
      <w:r w:rsidRPr="00B62318">
        <w:rPr>
          <w:noProof/>
        </w:rPr>
        <w:t xml:space="preserve">Barnett, J., Evans, L. S., Gross, C., Kiem, A. S., Kingsford, R. T., Palutikof, J. P., Pickering, C. M., &amp; Smithers, S. G. (2015). From barriers to limits to climate change adaptation: path dependency and the speed of change. </w:t>
      </w:r>
      <w:r w:rsidRPr="00B62318">
        <w:rPr>
          <w:i/>
          <w:noProof/>
        </w:rPr>
        <w:t>Ecology and Society</w:t>
      </w:r>
      <w:r w:rsidRPr="00B62318">
        <w:rPr>
          <w:noProof/>
        </w:rPr>
        <w:t>,</w:t>
      </w:r>
      <w:r w:rsidRPr="00B62318">
        <w:rPr>
          <w:i/>
          <w:noProof/>
        </w:rPr>
        <w:t xml:space="preserve"> 20</w:t>
      </w:r>
      <w:r w:rsidRPr="00B62318">
        <w:rPr>
          <w:noProof/>
        </w:rPr>
        <w:t xml:space="preserve">(3). </w:t>
      </w:r>
      <w:bookmarkEnd w:id="6"/>
    </w:p>
    <w:p w14:paraId="73816869" w14:textId="77777777" w:rsidR="00673035" w:rsidRPr="00B62318" w:rsidRDefault="00673035" w:rsidP="00673035">
      <w:pPr>
        <w:pStyle w:val="EndNoteBibliography"/>
        <w:spacing w:after="0"/>
        <w:ind w:left="720" w:hanging="720"/>
        <w:rPr>
          <w:noProof/>
        </w:rPr>
      </w:pPr>
      <w:bookmarkStart w:id="7" w:name="_ENREF_13_3"/>
      <w:r w:rsidRPr="00B62318">
        <w:rPr>
          <w:noProof/>
        </w:rPr>
        <w:t xml:space="preserve">Berkhout, F., &amp; Dow, K. (2023). Limits to adaptation: Building an integrated research agenda. </w:t>
      </w:r>
      <w:r w:rsidRPr="00B62318">
        <w:rPr>
          <w:i/>
          <w:noProof/>
        </w:rPr>
        <w:t>Wiley Interdisciplinary Reviews: Climate Change</w:t>
      </w:r>
      <w:r w:rsidRPr="00B62318">
        <w:rPr>
          <w:noProof/>
        </w:rPr>
        <w:t>,</w:t>
      </w:r>
      <w:r w:rsidRPr="00B62318">
        <w:rPr>
          <w:i/>
          <w:noProof/>
        </w:rPr>
        <w:t xml:space="preserve"> 14</w:t>
      </w:r>
      <w:r w:rsidRPr="00B62318">
        <w:rPr>
          <w:noProof/>
        </w:rPr>
        <w:t xml:space="preserve">(3), e817. </w:t>
      </w:r>
      <w:bookmarkEnd w:id="7"/>
    </w:p>
    <w:p w14:paraId="0B1FD8B8" w14:textId="77777777" w:rsidR="00673035" w:rsidRPr="00B62318" w:rsidRDefault="00673035" w:rsidP="00673035">
      <w:pPr>
        <w:pStyle w:val="EndNoteBibliography"/>
        <w:spacing w:after="0"/>
        <w:ind w:left="720" w:hanging="720"/>
        <w:rPr>
          <w:noProof/>
        </w:rPr>
      </w:pPr>
      <w:bookmarkStart w:id="8" w:name="_ENREF_13_4"/>
      <w:r w:rsidRPr="00B62318">
        <w:rPr>
          <w:noProof/>
        </w:rPr>
        <w:t xml:space="preserve">Bertsekas, D., &amp; Gallager, R. (2021). </w:t>
      </w:r>
      <w:r w:rsidRPr="00B62318">
        <w:rPr>
          <w:i/>
          <w:noProof/>
        </w:rPr>
        <w:t>Data networks</w:t>
      </w:r>
      <w:r w:rsidRPr="00B62318">
        <w:rPr>
          <w:noProof/>
        </w:rPr>
        <w:t xml:space="preserve">. Athena Scientific. </w:t>
      </w:r>
      <w:bookmarkEnd w:id="8"/>
    </w:p>
    <w:p w14:paraId="39015A28" w14:textId="77777777" w:rsidR="00673035" w:rsidRPr="00B62318" w:rsidRDefault="00673035" w:rsidP="00673035">
      <w:pPr>
        <w:pStyle w:val="EndNoteBibliography"/>
        <w:spacing w:after="0"/>
        <w:ind w:left="720" w:hanging="720"/>
        <w:rPr>
          <w:noProof/>
        </w:rPr>
      </w:pPr>
      <w:bookmarkStart w:id="9" w:name="_ENREF_13_5"/>
      <w:r w:rsidRPr="00B62318">
        <w:rPr>
          <w:noProof/>
        </w:rPr>
        <w:t xml:space="preserve">Bhave, A. G., Conway, D., Dessai, S., &amp; Stainforth, D. A. (2016). Barriers and opportunities for robust decision making approaches to support climate change adaptation in the developing world. </w:t>
      </w:r>
      <w:r w:rsidRPr="00B62318">
        <w:rPr>
          <w:i/>
          <w:noProof/>
        </w:rPr>
        <w:t>Climate Risk Management</w:t>
      </w:r>
      <w:r w:rsidRPr="00B62318">
        <w:rPr>
          <w:noProof/>
        </w:rPr>
        <w:t>,</w:t>
      </w:r>
      <w:r w:rsidRPr="00B62318">
        <w:rPr>
          <w:i/>
          <w:noProof/>
        </w:rPr>
        <w:t xml:space="preserve"> 14</w:t>
      </w:r>
      <w:r w:rsidRPr="00B62318">
        <w:rPr>
          <w:noProof/>
        </w:rPr>
        <w:t xml:space="preserve">, 1-10. </w:t>
      </w:r>
      <w:bookmarkEnd w:id="9"/>
    </w:p>
    <w:p w14:paraId="75B9CFDC" w14:textId="77777777" w:rsidR="00673035" w:rsidRPr="00B62318" w:rsidRDefault="00673035" w:rsidP="00673035">
      <w:pPr>
        <w:pStyle w:val="EndNoteBibliography"/>
        <w:spacing w:after="0"/>
        <w:ind w:left="720" w:hanging="720"/>
        <w:rPr>
          <w:noProof/>
        </w:rPr>
      </w:pPr>
      <w:bookmarkStart w:id="10" w:name="_ENREF_13_6"/>
      <w:r w:rsidRPr="00B62318">
        <w:rPr>
          <w:noProof/>
        </w:rPr>
        <w:t xml:space="preserve">Blader, S. L., &amp; Tyler, T. R. (2003). A four-component model of procedural justice: Defining the meaning of a “fair” process. </w:t>
      </w:r>
      <w:r w:rsidRPr="00B62318">
        <w:rPr>
          <w:i/>
          <w:noProof/>
        </w:rPr>
        <w:t>Personality and social psychology bulletin</w:t>
      </w:r>
      <w:r w:rsidRPr="00B62318">
        <w:rPr>
          <w:noProof/>
        </w:rPr>
        <w:t>,</w:t>
      </w:r>
      <w:r w:rsidRPr="00B62318">
        <w:rPr>
          <w:i/>
          <w:noProof/>
        </w:rPr>
        <w:t xml:space="preserve"> 29</w:t>
      </w:r>
      <w:r w:rsidRPr="00B62318">
        <w:rPr>
          <w:noProof/>
        </w:rPr>
        <w:t xml:space="preserve">(6), 747-758. </w:t>
      </w:r>
      <w:bookmarkEnd w:id="10"/>
    </w:p>
    <w:p w14:paraId="59097671" w14:textId="77777777" w:rsidR="00673035" w:rsidRPr="00B62318" w:rsidRDefault="00673035" w:rsidP="00673035">
      <w:pPr>
        <w:pStyle w:val="EndNoteBibliography"/>
        <w:spacing w:after="0"/>
        <w:ind w:left="720" w:hanging="720"/>
        <w:rPr>
          <w:noProof/>
        </w:rPr>
      </w:pPr>
      <w:bookmarkStart w:id="11" w:name="_ENREF_13_7"/>
      <w:r w:rsidRPr="00B62318">
        <w:rPr>
          <w:noProof/>
        </w:rPr>
        <w:t xml:space="preserve">Bopp, J., &amp; Bercht, A. L. (2021). Considering time in climate justice. </w:t>
      </w:r>
      <w:r w:rsidRPr="00B62318">
        <w:rPr>
          <w:i/>
          <w:noProof/>
        </w:rPr>
        <w:t>Geographica Helvetica</w:t>
      </w:r>
      <w:r w:rsidRPr="00B62318">
        <w:rPr>
          <w:noProof/>
        </w:rPr>
        <w:t>,</w:t>
      </w:r>
      <w:r w:rsidRPr="00B62318">
        <w:rPr>
          <w:i/>
          <w:noProof/>
        </w:rPr>
        <w:t xml:space="preserve"> 76</w:t>
      </w:r>
      <w:r w:rsidRPr="00B62318">
        <w:rPr>
          <w:noProof/>
        </w:rPr>
        <w:t xml:space="preserve">(1), 29-46. </w:t>
      </w:r>
      <w:bookmarkEnd w:id="11"/>
    </w:p>
    <w:p w14:paraId="474F54F3" w14:textId="77777777" w:rsidR="00673035" w:rsidRPr="00B62318" w:rsidRDefault="00673035" w:rsidP="00673035">
      <w:pPr>
        <w:pStyle w:val="EndNoteBibliography"/>
        <w:spacing w:after="0"/>
        <w:ind w:left="720" w:hanging="720"/>
        <w:rPr>
          <w:noProof/>
        </w:rPr>
      </w:pPr>
      <w:bookmarkStart w:id="12" w:name="_ENREF_13_8"/>
      <w:r w:rsidRPr="00B62318">
        <w:rPr>
          <w:noProof/>
        </w:rPr>
        <w:t xml:space="preserve">Brink, E., Falla, A. M. V., &amp; Boyd, E. (2023). Weapons of the vulnerable? A review of popular resistance to climate adaptation. </w:t>
      </w:r>
      <w:r w:rsidRPr="00B62318">
        <w:rPr>
          <w:i/>
          <w:noProof/>
        </w:rPr>
        <w:t>Global environmental change</w:t>
      </w:r>
      <w:r w:rsidRPr="00B62318">
        <w:rPr>
          <w:noProof/>
        </w:rPr>
        <w:t>,</w:t>
      </w:r>
      <w:r w:rsidRPr="00B62318">
        <w:rPr>
          <w:i/>
          <w:noProof/>
        </w:rPr>
        <w:t xml:space="preserve"> 80</w:t>
      </w:r>
      <w:r w:rsidRPr="00B62318">
        <w:rPr>
          <w:noProof/>
        </w:rPr>
        <w:t xml:space="preserve">, 102656. </w:t>
      </w:r>
      <w:bookmarkEnd w:id="12"/>
    </w:p>
    <w:p w14:paraId="08CBBC83" w14:textId="71F4E265" w:rsidR="00673035" w:rsidRPr="00B62318" w:rsidRDefault="00673035" w:rsidP="00673035">
      <w:pPr>
        <w:pStyle w:val="EndNoteBibliography"/>
        <w:spacing w:after="0"/>
        <w:ind w:left="720" w:hanging="720"/>
        <w:rPr>
          <w:noProof/>
        </w:rPr>
      </w:pPr>
      <w:bookmarkStart w:id="13" w:name="_ENREF_13_9"/>
      <w:r w:rsidRPr="00B62318">
        <w:rPr>
          <w:noProof/>
        </w:rPr>
        <w:t xml:space="preserve">Brodsky, I. (2018). </w:t>
      </w:r>
      <w:r w:rsidRPr="00B62318">
        <w:rPr>
          <w:i/>
          <w:noProof/>
        </w:rPr>
        <w:t>H3: Uber’s Hexagonal Hierarchical Spatial Index</w:t>
      </w:r>
      <w:r w:rsidRPr="00B62318">
        <w:rPr>
          <w:noProof/>
        </w:rPr>
        <w:t xml:space="preserve">. Retrieved 29 January 2026 from </w:t>
      </w:r>
      <w:hyperlink r:id="rId8" w:history="1">
        <w:r w:rsidRPr="00B62318">
          <w:rPr>
            <w:rStyle w:val="Hyperlink"/>
            <w:noProof/>
          </w:rPr>
          <w:t>https://www.uber.com/en-AU/blog/h3/</w:t>
        </w:r>
        <w:bookmarkEnd w:id="13"/>
      </w:hyperlink>
    </w:p>
    <w:p w14:paraId="052C5044" w14:textId="77777777" w:rsidR="00673035" w:rsidRPr="00B62318" w:rsidRDefault="00673035" w:rsidP="00673035">
      <w:pPr>
        <w:pStyle w:val="EndNoteBibliography"/>
        <w:spacing w:after="0"/>
        <w:ind w:left="720" w:hanging="720"/>
        <w:rPr>
          <w:noProof/>
        </w:rPr>
      </w:pPr>
      <w:bookmarkStart w:id="14" w:name="_ENREF_13_10"/>
      <w:r w:rsidRPr="00B62318">
        <w:rPr>
          <w:noProof/>
        </w:rPr>
        <w:t xml:space="preserve">Browning, M., Locke, D. H., Konijnendijk, C., Labib, S., Rigolon, A., Yeager, R., Bardhan, M., Berland, A., Dadvand, P., &amp; Helbich, M. (2024). Measuring the 3-30-300 rule to help cities meet nature access thresholds. </w:t>
      </w:r>
      <w:r w:rsidRPr="00B62318">
        <w:rPr>
          <w:i/>
          <w:noProof/>
        </w:rPr>
        <w:t>Science of the Total Environment</w:t>
      </w:r>
      <w:r w:rsidRPr="00B62318">
        <w:rPr>
          <w:noProof/>
        </w:rPr>
        <w:t>,</w:t>
      </w:r>
      <w:r w:rsidRPr="00B62318">
        <w:rPr>
          <w:i/>
          <w:noProof/>
        </w:rPr>
        <w:t xml:space="preserve"> 907</w:t>
      </w:r>
      <w:r w:rsidRPr="00B62318">
        <w:rPr>
          <w:noProof/>
        </w:rPr>
        <w:t xml:space="preserve">, 167739. </w:t>
      </w:r>
      <w:bookmarkEnd w:id="14"/>
    </w:p>
    <w:p w14:paraId="420D6E2E" w14:textId="77777777" w:rsidR="00673035" w:rsidRPr="00B62318" w:rsidRDefault="00673035" w:rsidP="00673035">
      <w:pPr>
        <w:pStyle w:val="EndNoteBibliography"/>
        <w:spacing w:after="0"/>
        <w:ind w:left="720" w:hanging="720"/>
        <w:rPr>
          <w:noProof/>
        </w:rPr>
      </w:pPr>
      <w:bookmarkStart w:id="15" w:name="_ENREF_13_11"/>
      <w:r w:rsidRPr="00B62318">
        <w:rPr>
          <w:noProof/>
        </w:rPr>
        <w:t xml:space="preserve">Buurman, J., &amp; Babovic, V. (2016). Adaptation Pathways and Real Options Analysis: An approach to deep uncertainty in climate change adaptation policies. </w:t>
      </w:r>
      <w:r w:rsidRPr="00B62318">
        <w:rPr>
          <w:i/>
          <w:noProof/>
        </w:rPr>
        <w:t>Policy and Society</w:t>
      </w:r>
      <w:r w:rsidRPr="00B62318">
        <w:rPr>
          <w:noProof/>
        </w:rPr>
        <w:t>,</w:t>
      </w:r>
      <w:r w:rsidRPr="00B62318">
        <w:rPr>
          <w:i/>
          <w:noProof/>
        </w:rPr>
        <w:t xml:space="preserve"> 35</w:t>
      </w:r>
      <w:r w:rsidRPr="00B62318">
        <w:rPr>
          <w:noProof/>
        </w:rPr>
        <w:t xml:space="preserve">(2), 137-150. </w:t>
      </w:r>
      <w:bookmarkEnd w:id="15"/>
    </w:p>
    <w:p w14:paraId="0A4A4B7A" w14:textId="77777777" w:rsidR="00673035" w:rsidRPr="00B62318" w:rsidRDefault="00673035" w:rsidP="00673035">
      <w:pPr>
        <w:pStyle w:val="EndNoteBibliography"/>
        <w:spacing w:after="0"/>
        <w:ind w:left="720" w:hanging="720"/>
        <w:rPr>
          <w:noProof/>
        </w:rPr>
      </w:pPr>
      <w:bookmarkStart w:id="16" w:name="_ENREF_13_12"/>
      <w:r w:rsidRPr="00B62318">
        <w:rPr>
          <w:noProof/>
        </w:rPr>
        <w:t xml:space="preserve">Cosens, B. A., Craig, R. K., Hirsch, S. L., Arnold, C. A. T., Benson, M. H., DeCaro, D. A., Garmestani, A. S., Gosnell, H., Ruhl, J., &amp; Schlager, E. (2017). The role of law in adaptive governance. </w:t>
      </w:r>
      <w:r w:rsidRPr="00B62318">
        <w:rPr>
          <w:i/>
          <w:noProof/>
        </w:rPr>
        <w:t>Ecology and society: a journal of integrative science for resilience and sustainability</w:t>
      </w:r>
      <w:r w:rsidRPr="00B62318">
        <w:rPr>
          <w:noProof/>
        </w:rPr>
        <w:t>,</w:t>
      </w:r>
      <w:r w:rsidRPr="00B62318">
        <w:rPr>
          <w:i/>
          <w:noProof/>
        </w:rPr>
        <w:t xml:space="preserve"> 22</w:t>
      </w:r>
      <w:r w:rsidRPr="00B62318">
        <w:rPr>
          <w:noProof/>
        </w:rPr>
        <w:t xml:space="preserve">(1), 1. </w:t>
      </w:r>
      <w:bookmarkEnd w:id="16"/>
    </w:p>
    <w:p w14:paraId="240FA476" w14:textId="77777777" w:rsidR="00673035" w:rsidRPr="00B62318" w:rsidRDefault="00673035" w:rsidP="00673035">
      <w:pPr>
        <w:pStyle w:val="EndNoteBibliography"/>
        <w:spacing w:after="0"/>
        <w:ind w:left="720" w:hanging="720"/>
        <w:rPr>
          <w:noProof/>
        </w:rPr>
      </w:pPr>
      <w:bookmarkStart w:id="17" w:name="_ENREF_13_13"/>
      <w:r w:rsidRPr="00B62318">
        <w:rPr>
          <w:noProof/>
        </w:rPr>
        <w:t xml:space="preserve">Cradock-Henry, N. A., Blackett, P., Hall, M., Johnstone, P., Teixeira, E., &amp; Wreford, A. (2020). Climate adaptation pathways for agriculture: Insights from a participatory process. </w:t>
      </w:r>
      <w:r w:rsidRPr="00B62318">
        <w:rPr>
          <w:i/>
          <w:noProof/>
        </w:rPr>
        <w:t>Environmental science &amp; policy</w:t>
      </w:r>
      <w:r w:rsidRPr="00B62318">
        <w:rPr>
          <w:noProof/>
        </w:rPr>
        <w:t>,</w:t>
      </w:r>
      <w:r w:rsidRPr="00B62318">
        <w:rPr>
          <w:i/>
          <w:noProof/>
        </w:rPr>
        <w:t xml:space="preserve"> 107</w:t>
      </w:r>
      <w:r w:rsidRPr="00B62318">
        <w:rPr>
          <w:noProof/>
        </w:rPr>
        <w:t xml:space="preserve">, 66-79. </w:t>
      </w:r>
      <w:bookmarkEnd w:id="17"/>
    </w:p>
    <w:p w14:paraId="01FD0BDB" w14:textId="77777777" w:rsidR="00673035" w:rsidRPr="00B62318" w:rsidRDefault="00673035" w:rsidP="00673035">
      <w:pPr>
        <w:pStyle w:val="EndNoteBibliography"/>
        <w:spacing w:after="0"/>
        <w:ind w:left="720" w:hanging="720"/>
        <w:rPr>
          <w:noProof/>
        </w:rPr>
      </w:pPr>
      <w:bookmarkStart w:id="18" w:name="_ENREF_13_14"/>
      <w:r w:rsidRPr="00B62318">
        <w:rPr>
          <w:noProof/>
        </w:rPr>
        <w:t xml:space="preserve">de Ridder, K., Schultz, F. C., &amp; Pies, I. (2023). Procedural climate justice: Conceptualizing a polycentric solution to a global problem. </w:t>
      </w:r>
      <w:r w:rsidRPr="00B62318">
        <w:rPr>
          <w:i/>
          <w:noProof/>
        </w:rPr>
        <w:t>Ecological economics</w:t>
      </w:r>
      <w:r w:rsidRPr="00B62318">
        <w:rPr>
          <w:noProof/>
        </w:rPr>
        <w:t>,</w:t>
      </w:r>
      <w:r w:rsidRPr="00B62318">
        <w:rPr>
          <w:i/>
          <w:noProof/>
        </w:rPr>
        <w:t xml:space="preserve"> 214</w:t>
      </w:r>
      <w:r w:rsidRPr="00B62318">
        <w:rPr>
          <w:noProof/>
        </w:rPr>
        <w:t xml:space="preserve">, 107998. </w:t>
      </w:r>
      <w:bookmarkEnd w:id="18"/>
    </w:p>
    <w:p w14:paraId="4F39A070" w14:textId="77777777" w:rsidR="00673035" w:rsidRPr="00B62318" w:rsidRDefault="00673035" w:rsidP="00673035">
      <w:pPr>
        <w:pStyle w:val="EndNoteBibliography"/>
        <w:spacing w:after="0"/>
        <w:ind w:left="720" w:hanging="720"/>
        <w:rPr>
          <w:noProof/>
        </w:rPr>
      </w:pPr>
      <w:bookmarkStart w:id="19" w:name="_ENREF_13_15"/>
      <w:r w:rsidRPr="00B62318">
        <w:rPr>
          <w:noProof/>
        </w:rPr>
        <w:t xml:space="preserve">Di Gregorio, A. (2005). </w:t>
      </w:r>
      <w:r w:rsidRPr="00B62318">
        <w:rPr>
          <w:i/>
          <w:noProof/>
        </w:rPr>
        <w:t>Land cover classification system: classification concepts and user manual: LCCS</w:t>
      </w:r>
      <w:r w:rsidRPr="00B62318">
        <w:rPr>
          <w:noProof/>
        </w:rPr>
        <w:t xml:space="preserve"> (Vol. 8). Food &amp; Agriculture Org. </w:t>
      </w:r>
      <w:bookmarkEnd w:id="19"/>
    </w:p>
    <w:p w14:paraId="4DB2D0E9" w14:textId="77777777" w:rsidR="00673035" w:rsidRPr="00B62318" w:rsidRDefault="00673035" w:rsidP="00673035">
      <w:pPr>
        <w:pStyle w:val="EndNoteBibliography"/>
        <w:spacing w:after="0"/>
        <w:ind w:left="720" w:hanging="720"/>
        <w:rPr>
          <w:noProof/>
        </w:rPr>
      </w:pPr>
      <w:bookmarkStart w:id="20" w:name="_ENREF_13_16"/>
      <w:r w:rsidRPr="00B62318">
        <w:rPr>
          <w:noProof/>
        </w:rPr>
        <w:t xml:space="preserve">Dittrich, R., Wreford, A., &amp; Moran, D. (2016). A survey of decision-making approaches for climate change adaptation: Are robust methods the way forward? </w:t>
      </w:r>
      <w:r w:rsidRPr="00B62318">
        <w:rPr>
          <w:i/>
          <w:noProof/>
        </w:rPr>
        <w:t>Ecological economics</w:t>
      </w:r>
      <w:r w:rsidRPr="00B62318">
        <w:rPr>
          <w:noProof/>
        </w:rPr>
        <w:t>,</w:t>
      </w:r>
      <w:r w:rsidRPr="00B62318">
        <w:rPr>
          <w:i/>
          <w:noProof/>
        </w:rPr>
        <w:t xml:space="preserve"> 122</w:t>
      </w:r>
      <w:r w:rsidRPr="00B62318">
        <w:rPr>
          <w:noProof/>
        </w:rPr>
        <w:t xml:space="preserve">, 79-89. </w:t>
      </w:r>
      <w:bookmarkEnd w:id="20"/>
    </w:p>
    <w:p w14:paraId="7AB27C3A" w14:textId="77777777" w:rsidR="00673035" w:rsidRPr="00B62318" w:rsidRDefault="00673035" w:rsidP="00673035">
      <w:pPr>
        <w:pStyle w:val="EndNoteBibliography"/>
        <w:spacing w:after="0"/>
        <w:ind w:left="720" w:hanging="720"/>
        <w:rPr>
          <w:noProof/>
        </w:rPr>
      </w:pPr>
      <w:bookmarkStart w:id="21" w:name="_ENREF_13_17"/>
      <w:r w:rsidRPr="00B62318">
        <w:rPr>
          <w:noProof/>
        </w:rPr>
        <w:t xml:space="preserve">Doorn, N. (2025). Assessing risk management interventions from the perspective of intergenerational justice: preserving options and avoiding irreversible planetary loss. </w:t>
      </w:r>
      <w:r w:rsidRPr="00B62318">
        <w:rPr>
          <w:i/>
          <w:noProof/>
        </w:rPr>
        <w:t>Journal of Risk Research</w:t>
      </w:r>
      <w:r w:rsidRPr="00B62318">
        <w:rPr>
          <w:noProof/>
        </w:rPr>
        <w:t xml:space="preserve">, 1-18. </w:t>
      </w:r>
      <w:bookmarkEnd w:id="21"/>
    </w:p>
    <w:p w14:paraId="46C07CB3" w14:textId="77777777" w:rsidR="00673035" w:rsidRPr="00B62318" w:rsidRDefault="00673035" w:rsidP="00673035">
      <w:pPr>
        <w:pStyle w:val="EndNoteBibliography"/>
        <w:spacing w:after="0"/>
        <w:ind w:left="720" w:hanging="720"/>
        <w:rPr>
          <w:noProof/>
        </w:rPr>
      </w:pPr>
      <w:bookmarkStart w:id="22" w:name="_ENREF_13_18"/>
      <w:r w:rsidRPr="00B62318">
        <w:rPr>
          <w:noProof/>
        </w:rPr>
        <w:lastRenderedPageBreak/>
        <w:t xml:space="preserve">Eakin, H., Keele, S., &amp; Lueck, V. (2022). Uncomfortable knowledge: mechanisms of urban development in adaptation governance. </w:t>
      </w:r>
      <w:r w:rsidRPr="00B62318">
        <w:rPr>
          <w:i/>
          <w:noProof/>
        </w:rPr>
        <w:t>World development</w:t>
      </w:r>
      <w:r w:rsidRPr="00B62318">
        <w:rPr>
          <w:noProof/>
        </w:rPr>
        <w:t>,</w:t>
      </w:r>
      <w:r w:rsidRPr="00B62318">
        <w:rPr>
          <w:i/>
          <w:noProof/>
        </w:rPr>
        <w:t xml:space="preserve"> 159</w:t>
      </w:r>
      <w:r w:rsidRPr="00B62318">
        <w:rPr>
          <w:noProof/>
        </w:rPr>
        <w:t xml:space="preserve">, 106056. </w:t>
      </w:r>
      <w:bookmarkEnd w:id="22"/>
    </w:p>
    <w:p w14:paraId="0556A04A" w14:textId="77777777" w:rsidR="00673035" w:rsidRPr="00B62318" w:rsidRDefault="00673035" w:rsidP="00673035">
      <w:pPr>
        <w:pStyle w:val="EndNoteBibliography"/>
        <w:spacing w:after="0"/>
        <w:ind w:left="720" w:hanging="720"/>
        <w:rPr>
          <w:noProof/>
        </w:rPr>
      </w:pPr>
      <w:bookmarkStart w:id="23" w:name="_ENREF_13_19"/>
      <w:r w:rsidRPr="00B62318">
        <w:rPr>
          <w:noProof/>
        </w:rPr>
        <w:t xml:space="preserve">Eriksen, S., Schipper, E. L. F., Scoville-Simonds, M., Vincent, K., Adam, H. N., Brooks, N., Harding, B., Lenaerts, L., Liverman, D., &amp; Mills-Novoa, M. (2021). Adaptation interventions and their effect on vulnerability in developing countries: Help, hindrance or irrelevance? </w:t>
      </w:r>
      <w:r w:rsidRPr="00B62318">
        <w:rPr>
          <w:i/>
          <w:noProof/>
        </w:rPr>
        <w:t>World development</w:t>
      </w:r>
      <w:r w:rsidRPr="00B62318">
        <w:rPr>
          <w:noProof/>
        </w:rPr>
        <w:t>,</w:t>
      </w:r>
      <w:r w:rsidRPr="00B62318">
        <w:rPr>
          <w:i/>
          <w:noProof/>
        </w:rPr>
        <w:t xml:space="preserve"> 141</w:t>
      </w:r>
      <w:r w:rsidRPr="00B62318">
        <w:rPr>
          <w:noProof/>
        </w:rPr>
        <w:t xml:space="preserve">, 105383. </w:t>
      </w:r>
      <w:bookmarkEnd w:id="23"/>
    </w:p>
    <w:p w14:paraId="01FB04C9" w14:textId="77777777" w:rsidR="00673035" w:rsidRPr="00B62318" w:rsidRDefault="00673035" w:rsidP="00673035">
      <w:pPr>
        <w:pStyle w:val="EndNoteBibliography"/>
        <w:spacing w:after="0"/>
        <w:ind w:left="720" w:hanging="720"/>
        <w:rPr>
          <w:noProof/>
        </w:rPr>
      </w:pPr>
      <w:bookmarkStart w:id="24" w:name="_ENREF_13_20"/>
      <w:r w:rsidRPr="00B62318">
        <w:rPr>
          <w:noProof/>
        </w:rPr>
        <w:t xml:space="preserve">Fortin, M., Cojuharenco, I., Patient, D., &amp; German, H. (2016). It is time for justice: How time changes what we know about justice judgments and justice effects. </w:t>
      </w:r>
      <w:r w:rsidRPr="00B62318">
        <w:rPr>
          <w:i/>
          <w:noProof/>
        </w:rPr>
        <w:t>Journal of Organizational Behavior</w:t>
      </w:r>
      <w:r w:rsidRPr="00B62318">
        <w:rPr>
          <w:noProof/>
        </w:rPr>
        <w:t>,</w:t>
      </w:r>
      <w:r w:rsidRPr="00B62318">
        <w:rPr>
          <w:i/>
          <w:noProof/>
        </w:rPr>
        <w:t xml:space="preserve"> 37</w:t>
      </w:r>
      <w:r w:rsidRPr="00B62318">
        <w:rPr>
          <w:noProof/>
        </w:rPr>
        <w:t xml:space="preserve">, S30-S56. </w:t>
      </w:r>
      <w:bookmarkEnd w:id="24"/>
    </w:p>
    <w:p w14:paraId="177BE82F" w14:textId="77777777" w:rsidR="00673035" w:rsidRPr="00B62318" w:rsidRDefault="00673035" w:rsidP="00673035">
      <w:pPr>
        <w:pStyle w:val="EndNoteBibliography"/>
        <w:spacing w:after="0"/>
        <w:ind w:left="720" w:hanging="720"/>
        <w:rPr>
          <w:noProof/>
        </w:rPr>
      </w:pPr>
      <w:bookmarkStart w:id="25" w:name="_ENREF_13_21"/>
      <w:r w:rsidRPr="00B62318">
        <w:rPr>
          <w:noProof/>
        </w:rPr>
        <w:t xml:space="preserve">Gao, J., &amp; Pesaresi, M. (2021a). Downscaling SSP-consistent global spatial urban land projections from 1/8-degree to 1-km resolution 2000–2100. </w:t>
      </w:r>
      <w:r w:rsidRPr="00B62318">
        <w:rPr>
          <w:i/>
          <w:noProof/>
        </w:rPr>
        <w:t>Scientific Data</w:t>
      </w:r>
      <w:r w:rsidRPr="00B62318">
        <w:rPr>
          <w:noProof/>
        </w:rPr>
        <w:t>,</w:t>
      </w:r>
      <w:r w:rsidRPr="00B62318">
        <w:rPr>
          <w:i/>
          <w:noProof/>
        </w:rPr>
        <w:t xml:space="preserve"> 8</w:t>
      </w:r>
      <w:r w:rsidRPr="00B62318">
        <w:rPr>
          <w:noProof/>
        </w:rPr>
        <w:t xml:space="preserve">(1), 281. </w:t>
      </w:r>
      <w:bookmarkEnd w:id="25"/>
    </w:p>
    <w:p w14:paraId="7AD7F6BE" w14:textId="4B00F608" w:rsidR="00673035" w:rsidRPr="00B62318" w:rsidRDefault="00673035" w:rsidP="00673035">
      <w:pPr>
        <w:pStyle w:val="EndNoteBibliography"/>
        <w:spacing w:after="0"/>
        <w:ind w:left="720" w:hanging="720"/>
        <w:rPr>
          <w:noProof/>
        </w:rPr>
      </w:pPr>
      <w:bookmarkStart w:id="26" w:name="_ENREF_13_22"/>
      <w:r w:rsidRPr="00B62318">
        <w:rPr>
          <w:noProof/>
        </w:rPr>
        <w:t xml:space="preserve">Gao, J., &amp; Pesaresi, M. (2021b). </w:t>
      </w:r>
      <w:r w:rsidRPr="00B62318">
        <w:rPr>
          <w:i/>
          <w:noProof/>
        </w:rPr>
        <w:t>Global 1-km Downscaled Urban Land Extent Projection and Base Year Grids by SSP Scenarios, 2000–2100</w:t>
      </w:r>
      <w:r w:rsidRPr="00B62318">
        <w:rPr>
          <w:noProof/>
        </w:rPr>
        <w:t xml:space="preserve"> NASA Socioeconomic Data and Applications Center (SEDAC). </w:t>
      </w:r>
      <w:hyperlink r:id="rId9" w:history="1">
        <w:r w:rsidRPr="00B62318">
          <w:rPr>
            <w:rStyle w:val="Hyperlink"/>
            <w:noProof/>
          </w:rPr>
          <w:t>https://doi.org/https://doi.org/10.7927/1z4r-ez63</w:t>
        </w:r>
        <w:bookmarkEnd w:id="26"/>
      </w:hyperlink>
    </w:p>
    <w:p w14:paraId="661D4AE2" w14:textId="77777777" w:rsidR="00673035" w:rsidRPr="00B62318" w:rsidRDefault="00673035" w:rsidP="00673035">
      <w:pPr>
        <w:pStyle w:val="EndNoteBibliography"/>
        <w:spacing w:after="0"/>
        <w:ind w:left="720" w:hanging="720"/>
        <w:rPr>
          <w:noProof/>
        </w:rPr>
      </w:pPr>
      <w:bookmarkStart w:id="27" w:name="_ENREF_13_23"/>
      <w:r w:rsidRPr="00B62318">
        <w:rPr>
          <w:noProof/>
        </w:rPr>
        <w:t xml:space="preserve">Geels, F. W. (2010). Ontologies, socio-technical transitions (to sustainability), and the multi-level perspective. </w:t>
      </w:r>
      <w:r w:rsidRPr="00B62318">
        <w:rPr>
          <w:i/>
          <w:noProof/>
        </w:rPr>
        <w:t>Research policy</w:t>
      </w:r>
      <w:r w:rsidRPr="00B62318">
        <w:rPr>
          <w:noProof/>
        </w:rPr>
        <w:t>,</w:t>
      </w:r>
      <w:r w:rsidRPr="00B62318">
        <w:rPr>
          <w:i/>
          <w:noProof/>
        </w:rPr>
        <w:t xml:space="preserve"> 39</w:t>
      </w:r>
      <w:r w:rsidRPr="00B62318">
        <w:rPr>
          <w:noProof/>
        </w:rPr>
        <w:t xml:space="preserve">(4), 495-510. </w:t>
      </w:r>
      <w:bookmarkEnd w:id="27"/>
    </w:p>
    <w:p w14:paraId="707B1B9D" w14:textId="77777777" w:rsidR="00673035" w:rsidRPr="00B62318" w:rsidRDefault="00673035" w:rsidP="00673035">
      <w:pPr>
        <w:pStyle w:val="EndNoteBibliography"/>
        <w:spacing w:after="0"/>
        <w:ind w:left="720" w:hanging="720"/>
        <w:rPr>
          <w:noProof/>
        </w:rPr>
      </w:pPr>
      <w:bookmarkStart w:id="28" w:name="_ENREF_13_24"/>
      <w:r w:rsidRPr="00B62318">
        <w:rPr>
          <w:noProof/>
        </w:rPr>
        <w:t xml:space="preserve">Gillespie, J., Penny, D., &amp; Hamilton, R. (2025). Time, justice, and urban nature: procedural barriers to multi-species flourishing. </w:t>
      </w:r>
      <w:r w:rsidRPr="00B62318">
        <w:rPr>
          <w:i/>
          <w:noProof/>
        </w:rPr>
        <w:t>npj Urban Sustainability</w:t>
      </w:r>
      <w:r w:rsidRPr="00B62318">
        <w:rPr>
          <w:noProof/>
        </w:rPr>
        <w:t>,</w:t>
      </w:r>
      <w:r w:rsidRPr="00B62318">
        <w:rPr>
          <w:i/>
          <w:noProof/>
        </w:rPr>
        <w:t xml:space="preserve"> 5</w:t>
      </w:r>
      <w:r w:rsidRPr="00B62318">
        <w:rPr>
          <w:noProof/>
        </w:rPr>
        <w:t xml:space="preserve">(1), 17. </w:t>
      </w:r>
      <w:bookmarkEnd w:id="28"/>
    </w:p>
    <w:p w14:paraId="24DAFD30" w14:textId="77777777" w:rsidR="00673035" w:rsidRPr="00B62318" w:rsidRDefault="00673035" w:rsidP="00673035">
      <w:pPr>
        <w:pStyle w:val="EndNoteBibliography"/>
        <w:spacing w:after="0"/>
        <w:ind w:left="720" w:hanging="720"/>
        <w:rPr>
          <w:noProof/>
        </w:rPr>
      </w:pPr>
      <w:bookmarkStart w:id="29" w:name="_ENREF_13_25"/>
      <w:r w:rsidRPr="00B62318">
        <w:rPr>
          <w:noProof/>
        </w:rPr>
        <w:t xml:space="preserve">Groen, L., Alexander, M., King, J. P., Jager, N. W., &amp; Huitema, D. (2023). Re-examining policy stability in climate adaptation through a lock-in perspective. </w:t>
      </w:r>
      <w:r w:rsidRPr="00B62318">
        <w:rPr>
          <w:i/>
          <w:noProof/>
        </w:rPr>
        <w:t>Journal of European Public Policy</w:t>
      </w:r>
      <w:r w:rsidRPr="00B62318">
        <w:rPr>
          <w:noProof/>
        </w:rPr>
        <w:t>,</w:t>
      </w:r>
      <w:r w:rsidRPr="00B62318">
        <w:rPr>
          <w:i/>
          <w:noProof/>
        </w:rPr>
        <w:t xml:space="preserve"> 30</w:t>
      </w:r>
      <w:r w:rsidRPr="00B62318">
        <w:rPr>
          <w:noProof/>
        </w:rPr>
        <w:t xml:space="preserve">(3), 488-512. </w:t>
      </w:r>
      <w:bookmarkEnd w:id="29"/>
    </w:p>
    <w:p w14:paraId="51BF1E66" w14:textId="77777777" w:rsidR="00673035" w:rsidRPr="00B62318" w:rsidRDefault="00673035" w:rsidP="00673035">
      <w:pPr>
        <w:pStyle w:val="EndNoteBibliography"/>
        <w:spacing w:after="0"/>
        <w:ind w:left="720" w:hanging="720"/>
        <w:rPr>
          <w:noProof/>
        </w:rPr>
      </w:pPr>
      <w:bookmarkStart w:id="30" w:name="_ENREF_13_26"/>
      <w:r w:rsidRPr="00B62318">
        <w:rPr>
          <w:noProof/>
        </w:rPr>
        <w:t xml:space="preserve">Haasnoot, M., Biesbroek, R., Lawrence, J., Muccione, V., Lempert, R., &amp; Glavovic, B. (2020). Defining the solution space to accelerate climate change adaptation. </w:t>
      </w:r>
      <w:r w:rsidRPr="00B62318">
        <w:rPr>
          <w:i/>
          <w:noProof/>
        </w:rPr>
        <w:t>Regional environmental change</w:t>
      </w:r>
      <w:r w:rsidRPr="00B62318">
        <w:rPr>
          <w:noProof/>
        </w:rPr>
        <w:t>,</w:t>
      </w:r>
      <w:r w:rsidRPr="00B62318">
        <w:rPr>
          <w:i/>
          <w:noProof/>
        </w:rPr>
        <w:t xml:space="preserve"> 20</w:t>
      </w:r>
      <w:r w:rsidRPr="00B62318">
        <w:rPr>
          <w:noProof/>
        </w:rPr>
        <w:t xml:space="preserve">(2), 37. </w:t>
      </w:r>
      <w:bookmarkEnd w:id="30"/>
    </w:p>
    <w:p w14:paraId="7C72758A" w14:textId="77777777" w:rsidR="00673035" w:rsidRPr="00B62318" w:rsidRDefault="00673035" w:rsidP="00673035">
      <w:pPr>
        <w:pStyle w:val="EndNoteBibliography"/>
        <w:spacing w:after="0"/>
        <w:ind w:left="720" w:hanging="720"/>
        <w:rPr>
          <w:noProof/>
        </w:rPr>
      </w:pPr>
      <w:bookmarkStart w:id="31" w:name="_ENREF_13_27"/>
      <w:r w:rsidRPr="00B62318">
        <w:rPr>
          <w:noProof/>
        </w:rPr>
        <w:t xml:space="preserve">Haasnoot, M., Di Fant, V., Kwakkel, J., &amp; Lawrence, J. (2024). Lessons from a decade of adaptive pathways studies for climate adaptation. </w:t>
      </w:r>
      <w:r w:rsidRPr="00B62318">
        <w:rPr>
          <w:i/>
          <w:noProof/>
        </w:rPr>
        <w:t>Global environmental change</w:t>
      </w:r>
      <w:r w:rsidRPr="00B62318">
        <w:rPr>
          <w:noProof/>
        </w:rPr>
        <w:t>,</w:t>
      </w:r>
      <w:r w:rsidRPr="00B62318">
        <w:rPr>
          <w:i/>
          <w:noProof/>
        </w:rPr>
        <w:t xml:space="preserve"> 88</w:t>
      </w:r>
      <w:r w:rsidRPr="00B62318">
        <w:rPr>
          <w:noProof/>
        </w:rPr>
        <w:t xml:space="preserve">, 102907. </w:t>
      </w:r>
      <w:bookmarkEnd w:id="31"/>
    </w:p>
    <w:p w14:paraId="7796C5EB" w14:textId="77777777" w:rsidR="00673035" w:rsidRPr="00B62318" w:rsidRDefault="00673035" w:rsidP="00673035">
      <w:pPr>
        <w:pStyle w:val="EndNoteBibliography"/>
        <w:spacing w:after="0"/>
        <w:ind w:left="720" w:hanging="720"/>
        <w:rPr>
          <w:noProof/>
        </w:rPr>
      </w:pPr>
      <w:bookmarkStart w:id="32" w:name="_ENREF_13_28"/>
      <w:r w:rsidRPr="00B62318">
        <w:rPr>
          <w:noProof/>
        </w:rPr>
        <w:t xml:space="preserve">Haasnoot, M., Kwakkel, J. H., Walker, W. E., &amp; Ter Maat, J. (2013). Dynamic adaptive policy pathways: A method for crafting robust decisions for a deeply uncertain world. </w:t>
      </w:r>
      <w:r w:rsidRPr="00B62318">
        <w:rPr>
          <w:i/>
          <w:noProof/>
        </w:rPr>
        <w:t>Global environmental change</w:t>
      </w:r>
      <w:r w:rsidRPr="00B62318">
        <w:rPr>
          <w:noProof/>
        </w:rPr>
        <w:t>,</w:t>
      </w:r>
      <w:r w:rsidRPr="00B62318">
        <w:rPr>
          <w:i/>
          <w:noProof/>
        </w:rPr>
        <w:t xml:space="preserve"> 23</w:t>
      </w:r>
      <w:r w:rsidRPr="00B62318">
        <w:rPr>
          <w:noProof/>
        </w:rPr>
        <w:t xml:space="preserve">(2), 485-498. </w:t>
      </w:r>
      <w:bookmarkEnd w:id="32"/>
    </w:p>
    <w:p w14:paraId="10FA13D6" w14:textId="77777777" w:rsidR="00673035" w:rsidRPr="00B62318" w:rsidRDefault="00673035" w:rsidP="00673035">
      <w:pPr>
        <w:pStyle w:val="EndNoteBibliography"/>
        <w:spacing w:after="0"/>
        <w:ind w:left="720" w:hanging="720"/>
        <w:rPr>
          <w:noProof/>
        </w:rPr>
      </w:pPr>
      <w:bookmarkStart w:id="33" w:name="_ENREF_13_29"/>
      <w:r w:rsidRPr="00B62318">
        <w:rPr>
          <w:noProof/>
        </w:rPr>
        <w:t xml:space="preserve">Hanger-Kopp, S., Thaler, T., Seebauer, S., Schinko, T., &amp; Clar, C. (2022). Defining and operationalizing path dependency for the development and monitoring of adaptation pathways. </w:t>
      </w:r>
      <w:r w:rsidRPr="00B62318">
        <w:rPr>
          <w:i/>
          <w:noProof/>
        </w:rPr>
        <w:t>Global environmental change</w:t>
      </w:r>
      <w:r w:rsidRPr="00B62318">
        <w:rPr>
          <w:noProof/>
        </w:rPr>
        <w:t>,</w:t>
      </w:r>
      <w:r w:rsidRPr="00B62318">
        <w:rPr>
          <w:i/>
          <w:noProof/>
        </w:rPr>
        <w:t xml:space="preserve"> 72</w:t>
      </w:r>
      <w:r w:rsidRPr="00B62318">
        <w:rPr>
          <w:noProof/>
        </w:rPr>
        <w:t xml:space="preserve">, 102425. </w:t>
      </w:r>
      <w:bookmarkEnd w:id="33"/>
    </w:p>
    <w:p w14:paraId="29D12754" w14:textId="77777777" w:rsidR="00673035" w:rsidRPr="00B62318" w:rsidRDefault="00673035" w:rsidP="00673035">
      <w:pPr>
        <w:pStyle w:val="EndNoteBibliography"/>
        <w:spacing w:after="0"/>
        <w:ind w:left="720" w:hanging="720"/>
        <w:rPr>
          <w:noProof/>
        </w:rPr>
      </w:pPr>
      <w:bookmarkStart w:id="34" w:name="_ENREF_13_30"/>
      <w:r w:rsidRPr="00B62318">
        <w:rPr>
          <w:noProof/>
        </w:rPr>
        <w:t xml:space="preserve">Hetz, K., &amp; Bruns, A. (2014). Urban planning lock-in: implications for the realization of adaptive options towards climate change risks. </w:t>
      </w:r>
      <w:r w:rsidRPr="00B62318">
        <w:rPr>
          <w:i/>
          <w:noProof/>
        </w:rPr>
        <w:t>Water International</w:t>
      </w:r>
      <w:r w:rsidRPr="00B62318">
        <w:rPr>
          <w:noProof/>
        </w:rPr>
        <w:t>,</w:t>
      </w:r>
      <w:r w:rsidRPr="00B62318">
        <w:rPr>
          <w:i/>
          <w:noProof/>
        </w:rPr>
        <w:t xml:space="preserve"> 39</w:t>
      </w:r>
      <w:r w:rsidRPr="00B62318">
        <w:rPr>
          <w:noProof/>
        </w:rPr>
        <w:t xml:space="preserve">(6), 884-900. </w:t>
      </w:r>
      <w:bookmarkEnd w:id="34"/>
    </w:p>
    <w:p w14:paraId="492ECDAF" w14:textId="77777777" w:rsidR="00673035" w:rsidRPr="00B62318" w:rsidRDefault="00673035" w:rsidP="00673035">
      <w:pPr>
        <w:pStyle w:val="EndNoteBibliography"/>
        <w:spacing w:after="0"/>
        <w:ind w:left="720" w:hanging="720"/>
        <w:rPr>
          <w:noProof/>
        </w:rPr>
      </w:pPr>
      <w:bookmarkStart w:id="35" w:name="_ENREF_13_31"/>
      <w:r w:rsidRPr="00B62318">
        <w:rPr>
          <w:noProof/>
        </w:rPr>
        <w:t xml:space="preserve">Holland, B. (2017). Procedural justice in local climate adaptation: political capabilities and transformational change. </w:t>
      </w:r>
      <w:r w:rsidRPr="00B62318">
        <w:rPr>
          <w:i/>
          <w:noProof/>
        </w:rPr>
        <w:t>Environmental Politics</w:t>
      </w:r>
      <w:r w:rsidRPr="00B62318">
        <w:rPr>
          <w:noProof/>
        </w:rPr>
        <w:t>,</w:t>
      </w:r>
      <w:r w:rsidRPr="00B62318">
        <w:rPr>
          <w:i/>
          <w:noProof/>
        </w:rPr>
        <w:t xml:space="preserve"> 26</w:t>
      </w:r>
      <w:r w:rsidRPr="00B62318">
        <w:rPr>
          <w:noProof/>
        </w:rPr>
        <w:t xml:space="preserve">(3), 391-412. </w:t>
      </w:r>
      <w:bookmarkEnd w:id="35"/>
    </w:p>
    <w:p w14:paraId="139485EF" w14:textId="77777777" w:rsidR="00673035" w:rsidRPr="00B62318" w:rsidRDefault="00673035" w:rsidP="00673035">
      <w:pPr>
        <w:pStyle w:val="EndNoteBibliography"/>
        <w:spacing w:after="0"/>
        <w:ind w:left="720" w:hanging="720"/>
        <w:rPr>
          <w:noProof/>
        </w:rPr>
      </w:pPr>
      <w:bookmarkStart w:id="36" w:name="_ENREF_13_32"/>
      <w:r w:rsidRPr="00B62318">
        <w:rPr>
          <w:noProof/>
        </w:rPr>
        <w:t xml:space="preserve">Huitema, D., Adger, W. N., Berkhout, F., Massey, E., Mazmanian, D., Munaretto, S., Plummer, R., &amp; Termeer, C. C. (2016). The governance of adaptation: choices, reasons, and effects. Introduction to the Special Feature. </w:t>
      </w:r>
      <w:r w:rsidRPr="00B62318">
        <w:rPr>
          <w:i/>
          <w:noProof/>
        </w:rPr>
        <w:t>Ecology and Society</w:t>
      </w:r>
      <w:r w:rsidRPr="00B62318">
        <w:rPr>
          <w:noProof/>
        </w:rPr>
        <w:t>,</w:t>
      </w:r>
      <w:r w:rsidRPr="00B62318">
        <w:rPr>
          <w:i/>
          <w:noProof/>
        </w:rPr>
        <w:t xml:space="preserve"> 21</w:t>
      </w:r>
      <w:r w:rsidRPr="00B62318">
        <w:rPr>
          <w:noProof/>
        </w:rPr>
        <w:t xml:space="preserve">(3). </w:t>
      </w:r>
      <w:bookmarkEnd w:id="36"/>
    </w:p>
    <w:p w14:paraId="7398D48D" w14:textId="77777777" w:rsidR="00673035" w:rsidRPr="00B62318" w:rsidRDefault="00673035" w:rsidP="00673035">
      <w:pPr>
        <w:pStyle w:val="EndNoteBibliography"/>
        <w:spacing w:after="0"/>
        <w:ind w:left="720" w:hanging="720"/>
        <w:rPr>
          <w:noProof/>
        </w:rPr>
      </w:pPr>
      <w:bookmarkStart w:id="37" w:name="_ENREF_13_33"/>
      <w:r w:rsidRPr="00B62318">
        <w:rPr>
          <w:noProof/>
        </w:rPr>
        <w:t xml:space="preserve">Hurlbert, M., &amp; Gupta, J. (2015). The split ladder of participation: A diagnostic, strategic, and evaluation tool to assess when participation is necessary. </w:t>
      </w:r>
      <w:r w:rsidRPr="00B62318">
        <w:rPr>
          <w:i/>
          <w:noProof/>
        </w:rPr>
        <w:t>Environmental science &amp; policy</w:t>
      </w:r>
      <w:r w:rsidRPr="00B62318">
        <w:rPr>
          <w:noProof/>
        </w:rPr>
        <w:t>,</w:t>
      </w:r>
      <w:r w:rsidRPr="00B62318">
        <w:rPr>
          <w:i/>
          <w:noProof/>
        </w:rPr>
        <w:t xml:space="preserve"> 50</w:t>
      </w:r>
      <w:r w:rsidRPr="00B62318">
        <w:rPr>
          <w:noProof/>
        </w:rPr>
        <w:t xml:space="preserve">, 100-113. </w:t>
      </w:r>
      <w:bookmarkEnd w:id="37"/>
    </w:p>
    <w:p w14:paraId="5F3E19D2" w14:textId="28AA2F1C" w:rsidR="00673035" w:rsidRPr="00B62318" w:rsidRDefault="00673035" w:rsidP="00673035">
      <w:pPr>
        <w:pStyle w:val="EndNoteBibliography"/>
        <w:spacing w:after="0"/>
        <w:ind w:left="720" w:hanging="720"/>
        <w:rPr>
          <w:noProof/>
        </w:rPr>
      </w:pPr>
      <w:bookmarkStart w:id="38" w:name="_ENREF_13_34"/>
      <w:r w:rsidRPr="00B62318">
        <w:rPr>
          <w:noProof/>
        </w:rPr>
        <w:t xml:space="preserve">Irving, D., Macadam, I., &amp; King, M. (2024). </w:t>
      </w:r>
      <w:r w:rsidRPr="00B62318">
        <w:rPr>
          <w:i/>
          <w:noProof/>
        </w:rPr>
        <w:t>Application-ready quantile-delta-change (QDC) scaled CMIP6 climate projections for Australia (global warming levels, 5km grid)</w:t>
      </w:r>
      <w:r w:rsidRPr="00B62318">
        <w:rPr>
          <w:noProof/>
        </w:rPr>
        <w:t xml:space="preserve">. </w:t>
      </w:r>
      <w:hyperlink r:id="rId10" w:history="1">
        <w:r w:rsidRPr="00B62318">
          <w:rPr>
            <w:rStyle w:val="Hyperlink"/>
            <w:noProof/>
          </w:rPr>
          <w:t>https://doi.org/10.25919/mywe-tz19</w:t>
        </w:r>
        <w:bookmarkEnd w:id="38"/>
      </w:hyperlink>
    </w:p>
    <w:p w14:paraId="527AAD41" w14:textId="77777777" w:rsidR="00673035" w:rsidRPr="00B62318" w:rsidRDefault="00673035" w:rsidP="00673035">
      <w:pPr>
        <w:pStyle w:val="EndNoteBibliography"/>
        <w:spacing w:after="0"/>
        <w:ind w:left="720" w:hanging="720"/>
        <w:rPr>
          <w:noProof/>
        </w:rPr>
      </w:pPr>
      <w:bookmarkStart w:id="39" w:name="_ENREF_13_35"/>
      <w:r w:rsidRPr="00B62318">
        <w:rPr>
          <w:noProof/>
        </w:rPr>
        <w:t xml:space="preserve">Juhola, S., Heikkinen, M., Pietilä, T., Groundstroem, F., &amp; Käyhkö, J. (2022). Connecting climate justice and adaptation planning: An adaptation justice index. </w:t>
      </w:r>
      <w:r w:rsidRPr="00B62318">
        <w:rPr>
          <w:i/>
          <w:noProof/>
        </w:rPr>
        <w:t>Environmental science &amp; policy</w:t>
      </w:r>
      <w:r w:rsidRPr="00B62318">
        <w:rPr>
          <w:noProof/>
        </w:rPr>
        <w:t>,</w:t>
      </w:r>
      <w:r w:rsidRPr="00B62318">
        <w:rPr>
          <w:i/>
          <w:noProof/>
        </w:rPr>
        <w:t xml:space="preserve"> 136</w:t>
      </w:r>
      <w:r w:rsidRPr="00B62318">
        <w:rPr>
          <w:noProof/>
        </w:rPr>
        <w:t xml:space="preserve">, 609-619. </w:t>
      </w:r>
      <w:bookmarkEnd w:id="39"/>
    </w:p>
    <w:p w14:paraId="791A533E" w14:textId="77777777" w:rsidR="00673035" w:rsidRPr="00B62318" w:rsidRDefault="00673035" w:rsidP="00673035">
      <w:pPr>
        <w:pStyle w:val="EndNoteBibliography"/>
        <w:spacing w:after="0"/>
        <w:ind w:left="720" w:hanging="720"/>
        <w:rPr>
          <w:noProof/>
        </w:rPr>
      </w:pPr>
      <w:bookmarkStart w:id="40" w:name="_ENREF_13_36"/>
      <w:r w:rsidRPr="00B62318">
        <w:rPr>
          <w:noProof/>
        </w:rPr>
        <w:lastRenderedPageBreak/>
        <w:t xml:space="preserve">Konijnendijk, C. C. (2023). Evidence-based guidelines for greener, healthier, more resilient neighbourhoods: Introducing the 3–30–300 rule. </w:t>
      </w:r>
      <w:r w:rsidRPr="00B62318">
        <w:rPr>
          <w:i/>
          <w:noProof/>
        </w:rPr>
        <w:t>Journal of forestry research</w:t>
      </w:r>
      <w:r w:rsidRPr="00B62318">
        <w:rPr>
          <w:noProof/>
        </w:rPr>
        <w:t>,</w:t>
      </w:r>
      <w:r w:rsidRPr="00B62318">
        <w:rPr>
          <w:i/>
          <w:noProof/>
        </w:rPr>
        <w:t xml:space="preserve"> 34</w:t>
      </w:r>
      <w:r w:rsidRPr="00B62318">
        <w:rPr>
          <w:noProof/>
        </w:rPr>
        <w:t xml:space="preserve">(3), 821-830. </w:t>
      </w:r>
      <w:bookmarkEnd w:id="40"/>
    </w:p>
    <w:p w14:paraId="326C471D" w14:textId="77777777" w:rsidR="00673035" w:rsidRPr="00B62318" w:rsidRDefault="00673035" w:rsidP="00673035">
      <w:pPr>
        <w:pStyle w:val="EndNoteBibliography"/>
        <w:spacing w:after="0"/>
        <w:ind w:left="720" w:hanging="720"/>
        <w:rPr>
          <w:noProof/>
        </w:rPr>
      </w:pPr>
      <w:bookmarkStart w:id="41" w:name="_ENREF_13_37"/>
      <w:r w:rsidRPr="00B62318">
        <w:rPr>
          <w:noProof/>
        </w:rPr>
        <w:t xml:space="preserve">Langemeyer, J., &amp; Connolly, J. J. (2020). Weaving notions of justice into urban ecosystem services research and practice. </w:t>
      </w:r>
      <w:r w:rsidRPr="00B62318">
        <w:rPr>
          <w:i/>
          <w:noProof/>
        </w:rPr>
        <w:t>Environmental science &amp; policy</w:t>
      </w:r>
      <w:r w:rsidRPr="00B62318">
        <w:rPr>
          <w:noProof/>
        </w:rPr>
        <w:t>,</w:t>
      </w:r>
      <w:r w:rsidRPr="00B62318">
        <w:rPr>
          <w:i/>
          <w:noProof/>
        </w:rPr>
        <w:t xml:space="preserve"> 109</w:t>
      </w:r>
      <w:r w:rsidRPr="00B62318">
        <w:rPr>
          <w:noProof/>
        </w:rPr>
        <w:t xml:space="preserve">, 1-14. </w:t>
      </w:r>
      <w:bookmarkEnd w:id="41"/>
    </w:p>
    <w:p w14:paraId="7A3090F4" w14:textId="77777777" w:rsidR="00673035" w:rsidRPr="00B62318" w:rsidRDefault="00673035" w:rsidP="00673035">
      <w:pPr>
        <w:pStyle w:val="EndNoteBibliography"/>
        <w:spacing w:after="0"/>
        <w:ind w:left="720" w:hanging="720"/>
        <w:rPr>
          <w:noProof/>
        </w:rPr>
      </w:pPr>
      <w:bookmarkStart w:id="42" w:name="_ENREF_13_38"/>
      <w:r w:rsidRPr="00B62318">
        <w:rPr>
          <w:noProof/>
        </w:rPr>
        <w:t xml:space="preserve">Le Quéré, C., Wilson, C., Barton, H., Hall, J. W., Minns, A., Prosser, M., Russell, A. E., Tebboth, M. G., &amp; Topping, N. (2026). Irreversibility in climate action. </w:t>
      </w:r>
      <w:r w:rsidRPr="00B62318">
        <w:rPr>
          <w:i/>
          <w:noProof/>
        </w:rPr>
        <w:t>Nature Climate Change</w:t>
      </w:r>
      <w:r w:rsidRPr="00B62318">
        <w:rPr>
          <w:noProof/>
        </w:rPr>
        <w:t>,</w:t>
      </w:r>
      <w:r w:rsidRPr="00B62318">
        <w:rPr>
          <w:i/>
          <w:noProof/>
        </w:rPr>
        <w:t xml:space="preserve"> 16</w:t>
      </w:r>
      <w:r w:rsidRPr="00B62318">
        <w:rPr>
          <w:noProof/>
        </w:rPr>
        <w:t xml:space="preserve">(1), 5-7. </w:t>
      </w:r>
      <w:bookmarkEnd w:id="42"/>
    </w:p>
    <w:p w14:paraId="41804917" w14:textId="77777777" w:rsidR="00673035" w:rsidRPr="00B62318" w:rsidRDefault="00673035" w:rsidP="00673035">
      <w:pPr>
        <w:pStyle w:val="EndNoteBibliography"/>
        <w:spacing w:after="0"/>
        <w:ind w:left="720" w:hanging="720"/>
        <w:rPr>
          <w:noProof/>
        </w:rPr>
      </w:pPr>
      <w:bookmarkStart w:id="43" w:name="_ENREF_13_39"/>
      <w:r w:rsidRPr="00B62318">
        <w:rPr>
          <w:noProof/>
        </w:rPr>
        <w:t xml:space="preserve">Lefstad, L., &amp; Paavola, J. (2024). The evolution of climate justice claims in global climate change negotiations under the UNFCCC. </w:t>
      </w:r>
      <w:r w:rsidRPr="00B62318">
        <w:rPr>
          <w:i/>
          <w:noProof/>
        </w:rPr>
        <w:t>Critical Policy Studies</w:t>
      </w:r>
      <w:r w:rsidRPr="00B62318">
        <w:rPr>
          <w:noProof/>
        </w:rPr>
        <w:t>,</w:t>
      </w:r>
      <w:r w:rsidRPr="00B62318">
        <w:rPr>
          <w:i/>
          <w:noProof/>
        </w:rPr>
        <w:t xml:space="preserve"> 18</w:t>
      </w:r>
      <w:r w:rsidRPr="00B62318">
        <w:rPr>
          <w:noProof/>
        </w:rPr>
        <w:t xml:space="preserve">(3), 363-388. </w:t>
      </w:r>
      <w:bookmarkEnd w:id="43"/>
    </w:p>
    <w:p w14:paraId="08F91FDB" w14:textId="77777777" w:rsidR="00673035" w:rsidRPr="00B62318" w:rsidRDefault="00673035" w:rsidP="00673035">
      <w:pPr>
        <w:pStyle w:val="EndNoteBibliography"/>
        <w:spacing w:after="0"/>
        <w:ind w:left="720" w:hanging="720"/>
        <w:rPr>
          <w:noProof/>
        </w:rPr>
      </w:pPr>
      <w:bookmarkStart w:id="44" w:name="_ENREF_13_40"/>
      <w:r w:rsidRPr="00B62318">
        <w:rPr>
          <w:noProof/>
        </w:rPr>
        <w:t xml:space="preserve">Lind, E. A., Walker, L., Kurtz, S., Musante, L., &amp; Thibaut, J. W. (1980). Procedure and outcome effects on reactions to adjudicated resolution of conflicts of interest. </w:t>
      </w:r>
      <w:r w:rsidRPr="00B62318">
        <w:rPr>
          <w:i/>
          <w:noProof/>
        </w:rPr>
        <w:t>Journal of Personality and Social Psychology</w:t>
      </w:r>
      <w:r w:rsidRPr="00B62318">
        <w:rPr>
          <w:noProof/>
        </w:rPr>
        <w:t>,</w:t>
      </w:r>
      <w:r w:rsidRPr="00B62318">
        <w:rPr>
          <w:i/>
          <w:noProof/>
        </w:rPr>
        <w:t xml:space="preserve"> 39</w:t>
      </w:r>
      <w:r w:rsidRPr="00B62318">
        <w:rPr>
          <w:noProof/>
        </w:rPr>
        <w:t xml:space="preserve">(4), 643. </w:t>
      </w:r>
      <w:bookmarkEnd w:id="44"/>
    </w:p>
    <w:p w14:paraId="54C65375" w14:textId="77777777" w:rsidR="00673035" w:rsidRPr="00B62318" w:rsidRDefault="00673035" w:rsidP="00673035">
      <w:pPr>
        <w:pStyle w:val="EndNoteBibliography"/>
        <w:spacing w:after="0"/>
        <w:ind w:left="720" w:hanging="720"/>
        <w:rPr>
          <w:noProof/>
        </w:rPr>
      </w:pPr>
      <w:bookmarkStart w:id="45" w:name="_ENREF_13_41"/>
      <w:r w:rsidRPr="00B62318">
        <w:rPr>
          <w:noProof/>
        </w:rPr>
        <w:t xml:space="preserve">Lindner, J. (2003). Institutional stability and change: two sides of the same coin¹. </w:t>
      </w:r>
      <w:r w:rsidRPr="00B62318">
        <w:rPr>
          <w:i/>
          <w:noProof/>
        </w:rPr>
        <w:t>Journal of European Public Policy</w:t>
      </w:r>
      <w:r w:rsidRPr="00B62318">
        <w:rPr>
          <w:noProof/>
        </w:rPr>
        <w:t>,</w:t>
      </w:r>
      <w:r w:rsidRPr="00B62318">
        <w:rPr>
          <w:i/>
          <w:noProof/>
        </w:rPr>
        <w:t xml:space="preserve"> 10</w:t>
      </w:r>
      <w:r w:rsidRPr="00B62318">
        <w:rPr>
          <w:noProof/>
        </w:rPr>
        <w:t xml:space="preserve">(6), 912-935. </w:t>
      </w:r>
      <w:bookmarkEnd w:id="45"/>
    </w:p>
    <w:p w14:paraId="5786DF92" w14:textId="77777777" w:rsidR="00673035" w:rsidRPr="00B62318" w:rsidRDefault="00673035" w:rsidP="00673035">
      <w:pPr>
        <w:pStyle w:val="EndNoteBibliography"/>
        <w:spacing w:after="0"/>
        <w:ind w:left="720" w:hanging="720"/>
        <w:rPr>
          <w:noProof/>
        </w:rPr>
      </w:pPr>
      <w:bookmarkStart w:id="46" w:name="_ENREF_13_42"/>
      <w:r w:rsidRPr="00B62318">
        <w:rPr>
          <w:noProof/>
        </w:rPr>
        <w:t xml:space="preserve">Maassen, A. (2012). Heterogeneity of lock-in and the role of strategic technological interventions in urban infrastructural transformations. </w:t>
      </w:r>
      <w:r w:rsidRPr="00B62318">
        <w:rPr>
          <w:i/>
          <w:noProof/>
        </w:rPr>
        <w:t>European Planning Studies</w:t>
      </w:r>
      <w:r w:rsidRPr="00B62318">
        <w:rPr>
          <w:noProof/>
        </w:rPr>
        <w:t>,</w:t>
      </w:r>
      <w:r w:rsidRPr="00B62318">
        <w:rPr>
          <w:i/>
          <w:noProof/>
        </w:rPr>
        <w:t xml:space="preserve"> 20</w:t>
      </w:r>
      <w:r w:rsidRPr="00B62318">
        <w:rPr>
          <w:noProof/>
        </w:rPr>
        <w:t xml:space="preserve">(3), 441-460. </w:t>
      </w:r>
      <w:bookmarkEnd w:id="46"/>
    </w:p>
    <w:p w14:paraId="07CFA988" w14:textId="77777777" w:rsidR="00673035" w:rsidRPr="00B62318" w:rsidRDefault="00673035" w:rsidP="00673035">
      <w:pPr>
        <w:pStyle w:val="EndNoteBibliography"/>
        <w:spacing w:after="0"/>
        <w:ind w:left="720" w:hanging="720"/>
        <w:rPr>
          <w:noProof/>
        </w:rPr>
      </w:pPr>
      <w:bookmarkStart w:id="47" w:name="_ENREF_13_43"/>
      <w:r w:rsidRPr="00B62318">
        <w:rPr>
          <w:noProof/>
        </w:rPr>
        <w:t xml:space="preserve">Martello, M. V., Whittle, A. J., Oddo, P. C., &amp; de Neufville, R. (2024). Real options analysis for valuation of climate adaptation pathways with application to transit infrastructure. </w:t>
      </w:r>
      <w:r w:rsidRPr="00B62318">
        <w:rPr>
          <w:i/>
          <w:noProof/>
        </w:rPr>
        <w:t>Risk Analysis</w:t>
      </w:r>
      <w:r w:rsidRPr="00B62318">
        <w:rPr>
          <w:noProof/>
        </w:rPr>
        <w:t>,</w:t>
      </w:r>
      <w:r w:rsidRPr="00B62318">
        <w:rPr>
          <w:i/>
          <w:noProof/>
        </w:rPr>
        <w:t xml:space="preserve"> 44</w:t>
      </w:r>
      <w:r w:rsidRPr="00B62318">
        <w:rPr>
          <w:noProof/>
        </w:rPr>
        <w:t xml:space="preserve">(5), 1046-1066. </w:t>
      </w:r>
      <w:bookmarkEnd w:id="47"/>
    </w:p>
    <w:p w14:paraId="4FCBCDB5" w14:textId="77777777" w:rsidR="00673035" w:rsidRPr="00B62318" w:rsidRDefault="00673035" w:rsidP="00673035">
      <w:pPr>
        <w:pStyle w:val="EndNoteBibliography"/>
        <w:spacing w:after="0"/>
        <w:ind w:left="720" w:hanging="720"/>
        <w:rPr>
          <w:noProof/>
        </w:rPr>
      </w:pPr>
      <w:bookmarkStart w:id="48" w:name="_ENREF_13_44"/>
      <w:r w:rsidRPr="00B62318">
        <w:rPr>
          <w:noProof/>
        </w:rPr>
        <w:t xml:space="preserve">Martin, R. (2010). Roepke lecture in economic geography—rethinking regional path dependence: beyond lock-in to evolution. </w:t>
      </w:r>
      <w:r w:rsidRPr="00B62318">
        <w:rPr>
          <w:i/>
          <w:noProof/>
        </w:rPr>
        <w:t>Economic geography</w:t>
      </w:r>
      <w:r w:rsidRPr="00B62318">
        <w:rPr>
          <w:noProof/>
        </w:rPr>
        <w:t>,</w:t>
      </w:r>
      <w:r w:rsidRPr="00B62318">
        <w:rPr>
          <w:i/>
          <w:noProof/>
        </w:rPr>
        <w:t xml:space="preserve"> 86</w:t>
      </w:r>
      <w:r w:rsidRPr="00B62318">
        <w:rPr>
          <w:noProof/>
        </w:rPr>
        <w:t xml:space="preserve">(1), 1-27. </w:t>
      </w:r>
      <w:bookmarkEnd w:id="48"/>
    </w:p>
    <w:p w14:paraId="76A8D226" w14:textId="3E22B479" w:rsidR="00673035" w:rsidRPr="00B62318" w:rsidRDefault="00673035" w:rsidP="00673035">
      <w:pPr>
        <w:pStyle w:val="EndNoteBibliography"/>
        <w:spacing w:after="0"/>
        <w:ind w:left="720" w:hanging="720"/>
        <w:rPr>
          <w:noProof/>
        </w:rPr>
      </w:pPr>
      <w:bookmarkStart w:id="49" w:name="_ENREF_13_45"/>
      <w:r w:rsidRPr="00B62318">
        <w:rPr>
          <w:noProof/>
        </w:rPr>
        <w:t xml:space="preserve">Microsoft. (2018). </w:t>
      </w:r>
      <w:r w:rsidRPr="00B62318">
        <w:rPr>
          <w:i/>
          <w:noProof/>
        </w:rPr>
        <w:t>Australia building footprints</w:t>
      </w:r>
      <w:r w:rsidRPr="00B62318">
        <w:rPr>
          <w:noProof/>
        </w:rPr>
        <w:t xml:space="preserve">. GitHub. Retrieved 29 January 2026 from </w:t>
      </w:r>
      <w:hyperlink r:id="rId11" w:history="1">
        <w:r w:rsidRPr="00B62318">
          <w:rPr>
            <w:rStyle w:val="Hyperlink"/>
            <w:noProof/>
          </w:rPr>
          <w:t>https://github.com/microsoft/AustraliaBuildingFootprints</w:t>
        </w:r>
        <w:bookmarkEnd w:id="49"/>
      </w:hyperlink>
    </w:p>
    <w:p w14:paraId="727B9F1E" w14:textId="77777777" w:rsidR="00673035" w:rsidRPr="00B62318" w:rsidRDefault="00673035" w:rsidP="00673035">
      <w:pPr>
        <w:pStyle w:val="EndNoteBibliography"/>
        <w:spacing w:after="0"/>
        <w:ind w:left="720" w:hanging="720"/>
        <w:rPr>
          <w:noProof/>
        </w:rPr>
      </w:pPr>
      <w:bookmarkStart w:id="50" w:name="_ENREF_13_46"/>
      <w:r w:rsidRPr="00B62318">
        <w:rPr>
          <w:noProof/>
        </w:rPr>
        <w:t xml:space="preserve">Munck af Rosenschöld, J., Rozema, J. G., &amp; Frye‐Levine, L. A. (2014). Institutional inertia and climate change: a review of the new institutionalist literature. </w:t>
      </w:r>
      <w:r w:rsidRPr="00B62318">
        <w:rPr>
          <w:i/>
          <w:noProof/>
        </w:rPr>
        <w:t>Wiley Interdisciplinary Reviews: Climate Change</w:t>
      </w:r>
      <w:r w:rsidRPr="00B62318">
        <w:rPr>
          <w:noProof/>
        </w:rPr>
        <w:t>,</w:t>
      </w:r>
      <w:r w:rsidRPr="00B62318">
        <w:rPr>
          <w:i/>
          <w:noProof/>
        </w:rPr>
        <w:t xml:space="preserve"> 5</w:t>
      </w:r>
      <w:r w:rsidRPr="00B62318">
        <w:rPr>
          <w:noProof/>
        </w:rPr>
        <w:t xml:space="preserve">(5), 639-648. </w:t>
      </w:r>
      <w:bookmarkEnd w:id="50"/>
    </w:p>
    <w:p w14:paraId="51347724" w14:textId="77777777" w:rsidR="00673035" w:rsidRPr="00B62318" w:rsidRDefault="00673035" w:rsidP="00673035">
      <w:pPr>
        <w:pStyle w:val="EndNoteBibliography"/>
        <w:spacing w:after="0"/>
        <w:ind w:left="720" w:hanging="720"/>
        <w:rPr>
          <w:noProof/>
        </w:rPr>
      </w:pPr>
      <w:bookmarkStart w:id="51" w:name="_ENREF_13_47"/>
      <w:r w:rsidRPr="00B62318">
        <w:rPr>
          <w:noProof/>
        </w:rPr>
        <w:t xml:space="preserve">Ottinger, G. (2024). Careful knowing as an aspect of environmental justice. </w:t>
      </w:r>
      <w:r w:rsidRPr="00B62318">
        <w:rPr>
          <w:i/>
          <w:noProof/>
        </w:rPr>
        <w:t>Environmental Politics</w:t>
      </w:r>
      <w:r w:rsidRPr="00B62318">
        <w:rPr>
          <w:noProof/>
        </w:rPr>
        <w:t>,</w:t>
      </w:r>
      <w:r w:rsidRPr="00B62318">
        <w:rPr>
          <w:i/>
          <w:noProof/>
        </w:rPr>
        <w:t xml:space="preserve"> 33</w:t>
      </w:r>
      <w:r w:rsidRPr="00B62318">
        <w:rPr>
          <w:noProof/>
        </w:rPr>
        <w:t xml:space="preserve">(2), 199-218. </w:t>
      </w:r>
      <w:bookmarkEnd w:id="51"/>
    </w:p>
    <w:p w14:paraId="4D9C5927" w14:textId="77777777" w:rsidR="00673035" w:rsidRPr="00B62318" w:rsidRDefault="00673035" w:rsidP="00673035">
      <w:pPr>
        <w:pStyle w:val="EndNoteBibliography"/>
        <w:spacing w:after="0"/>
        <w:ind w:left="720" w:hanging="720"/>
        <w:rPr>
          <w:noProof/>
        </w:rPr>
      </w:pPr>
      <w:bookmarkStart w:id="52" w:name="_ENREF_13_48"/>
      <w:r w:rsidRPr="00B62318">
        <w:rPr>
          <w:noProof/>
        </w:rPr>
        <w:t xml:space="preserve">Paavola, J. (2008). Science and social justice in the governance of adaptation to climate change. </w:t>
      </w:r>
      <w:r w:rsidRPr="00B62318">
        <w:rPr>
          <w:i/>
          <w:noProof/>
        </w:rPr>
        <w:t>Environmental Politics</w:t>
      </w:r>
      <w:r w:rsidRPr="00B62318">
        <w:rPr>
          <w:noProof/>
        </w:rPr>
        <w:t>,</w:t>
      </w:r>
      <w:r w:rsidRPr="00B62318">
        <w:rPr>
          <w:i/>
          <w:noProof/>
        </w:rPr>
        <w:t xml:space="preserve"> 17</w:t>
      </w:r>
      <w:r w:rsidRPr="00B62318">
        <w:rPr>
          <w:noProof/>
        </w:rPr>
        <w:t xml:space="preserve">(4), 644-659. </w:t>
      </w:r>
      <w:bookmarkEnd w:id="52"/>
    </w:p>
    <w:p w14:paraId="7D361853" w14:textId="77777777" w:rsidR="00673035" w:rsidRPr="00B62318" w:rsidRDefault="00673035" w:rsidP="00673035">
      <w:pPr>
        <w:pStyle w:val="EndNoteBibliography"/>
        <w:spacing w:after="0"/>
        <w:ind w:left="720" w:hanging="720"/>
        <w:rPr>
          <w:noProof/>
        </w:rPr>
      </w:pPr>
      <w:bookmarkStart w:id="53" w:name="_ENREF_13_49"/>
      <w:r w:rsidRPr="00B62318">
        <w:rPr>
          <w:noProof/>
        </w:rPr>
        <w:t xml:space="preserve">Paavola, J., &amp; Adger, W. N. (2006). Fair adaptation to climate change. </w:t>
      </w:r>
      <w:r w:rsidRPr="00B62318">
        <w:rPr>
          <w:i/>
          <w:noProof/>
        </w:rPr>
        <w:t>Ecological economics</w:t>
      </w:r>
      <w:r w:rsidRPr="00B62318">
        <w:rPr>
          <w:noProof/>
        </w:rPr>
        <w:t>,</w:t>
      </w:r>
      <w:r w:rsidRPr="00B62318">
        <w:rPr>
          <w:i/>
          <w:noProof/>
        </w:rPr>
        <w:t xml:space="preserve"> 56</w:t>
      </w:r>
      <w:r w:rsidRPr="00B62318">
        <w:rPr>
          <w:noProof/>
        </w:rPr>
        <w:t xml:space="preserve">(4), 594-609. </w:t>
      </w:r>
      <w:bookmarkEnd w:id="53"/>
    </w:p>
    <w:p w14:paraId="48F25A56" w14:textId="77777777" w:rsidR="00673035" w:rsidRPr="00B62318" w:rsidRDefault="00673035" w:rsidP="00673035">
      <w:pPr>
        <w:pStyle w:val="EndNoteBibliography"/>
        <w:spacing w:after="0"/>
        <w:ind w:left="720" w:hanging="720"/>
        <w:rPr>
          <w:noProof/>
        </w:rPr>
      </w:pPr>
      <w:bookmarkStart w:id="54" w:name="_ENREF_13_50"/>
      <w:r w:rsidRPr="00B62318">
        <w:rPr>
          <w:noProof/>
        </w:rPr>
        <w:t xml:space="preserve">Radunovic, B., &amp; Le Boudec, J.-Y. (2007). A unified framework for max-min and min-max fairness with applications. </w:t>
      </w:r>
      <w:r w:rsidRPr="00B62318">
        <w:rPr>
          <w:i/>
          <w:noProof/>
        </w:rPr>
        <w:t>IEEE/ACM Transactions on networking</w:t>
      </w:r>
      <w:r w:rsidRPr="00B62318">
        <w:rPr>
          <w:noProof/>
        </w:rPr>
        <w:t>,</w:t>
      </w:r>
      <w:r w:rsidRPr="00B62318">
        <w:rPr>
          <w:i/>
          <w:noProof/>
        </w:rPr>
        <w:t xml:space="preserve"> 15</w:t>
      </w:r>
      <w:r w:rsidRPr="00B62318">
        <w:rPr>
          <w:noProof/>
        </w:rPr>
        <w:t xml:space="preserve">(5), 1073-1083. </w:t>
      </w:r>
      <w:bookmarkEnd w:id="54"/>
    </w:p>
    <w:p w14:paraId="7CCACEB3" w14:textId="77777777" w:rsidR="00673035" w:rsidRPr="00B62318" w:rsidRDefault="00673035" w:rsidP="00673035">
      <w:pPr>
        <w:pStyle w:val="EndNoteBibliography"/>
        <w:spacing w:after="0"/>
        <w:ind w:left="720" w:hanging="720"/>
        <w:rPr>
          <w:noProof/>
        </w:rPr>
      </w:pPr>
      <w:bookmarkStart w:id="55" w:name="_ENREF_13_51"/>
      <w:r w:rsidRPr="00B62318">
        <w:rPr>
          <w:noProof/>
        </w:rPr>
        <w:t xml:space="preserve">Ruano‐Chamorro, C., Gurney, G. G., &amp; Cinner, J. E. (2022). Advancing procedural justice in conservation. </w:t>
      </w:r>
      <w:r w:rsidRPr="00B62318">
        <w:rPr>
          <w:i/>
          <w:noProof/>
        </w:rPr>
        <w:t>Conservation Letters</w:t>
      </w:r>
      <w:r w:rsidRPr="00B62318">
        <w:rPr>
          <w:noProof/>
        </w:rPr>
        <w:t>,</w:t>
      </w:r>
      <w:r w:rsidRPr="00B62318">
        <w:rPr>
          <w:i/>
          <w:noProof/>
        </w:rPr>
        <w:t xml:space="preserve"> 15</w:t>
      </w:r>
      <w:r w:rsidRPr="00B62318">
        <w:rPr>
          <w:noProof/>
        </w:rPr>
        <w:t xml:space="preserve">(3), e12861. </w:t>
      </w:r>
      <w:bookmarkEnd w:id="55"/>
    </w:p>
    <w:p w14:paraId="4659CEFA" w14:textId="77777777" w:rsidR="00673035" w:rsidRPr="00B62318" w:rsidRDefault="00673035" w:rsidP="00673035">
      <w:pPr>
        <w:pStyle w:val="EndNoteBibliography"/>
        <w:spacing w:after="0"/>
        <w:ind w:left="720" w:hanging="720"/>
        <w:rPr>
          <w:noProof/>
        </w:rPr>
      </w:pPr>
      <w:bookmarkStart w:id="56" w:name="_ENREF_13_52"/>
      <w:r w:rsidRPr="00B62318">
        <w:rPr>
          <w:noProof/>
        </w:rPr>
        <w:t xml:space="preserve">Sanz-Hernández, A. (2024). Temporal negotiations and injustices in the energy transition: Perspectives from a Spanish coal region. </w:t>
      </w:r>
      <w:r w:rsidRPr="00B62318">
        <w:rPr>
          <w:i/>
          <w:noProof/>
        </w:rPr>
        <w:t>Energy Research &amp; Social Science</w:t>
      </w:r>
      <w:r w:rsidRPr="00B62318">
        <w:rPr>
          <w:noProof/>
        </w:rPr>
        <w:t>,</w:t>
      </w:r>
      <w:r w:rsidRPr="00B62318">
        <w:rPr>
          <w:i/>
          <w:noProof/>
        </w:rPr>
        <w:t xml:space="preserve"> 110</w:t>
      </w:r>
      <w:r w:rsidRPr="00B62318">
        <w:rPr>
          <w:noProof/>
        </w:rPr>
        <w:t xml:space="preserve">, 103453. </w:t>
      </w:r>
      <w:bookmarkEnd w:id="56"/>
    </w:p>
    <w:p w14:paraId="1DC387A3" w14:textId="67D4ED3B" w:rsidR="00673035" w:rsidRPr="00B62318" w:rsidRDefault="00673035" w:rsidP="00673035">
      <w:pPr>
        <w:pStyle w:val="EndNoteBibliography"/>
        <w:spacing w:after="0"/>
        <w:ind w:left="720" w:hanging="720"/>
        <w:rPr>
          <w:noProof/>
        </w:rPr>
      </w:pPr>
      <w:bookmarkStart w:id="57" w:name="_ENREF_13_53"/>
      <w:r w:rsidRPr="00B62318">
        <w:rPr>
          <w:noProof/>
        </w:rPr>
        <w:t xml:space="preserve">Schipper, E. L. F., Revi, A., Preston, B. L., Carr, E. R., Eriksen, S. H., Fernandez-Carril, L. R., Glavovic, B. C., Hilmi, N. J. M., Ley, D., Mukerji, R., Muylaert de Araujo, M. S., Perez, R., Rose, S. K., &amp; Singh, P. K. (2022). Climate Resilient Development Pathways. In H. O. Pörtner, D. C. Roberts, M. Tignor, E. S. Poloczanska, K. Mintenbeck, A. Alegría, M. Craig, S. Langsdorf, S. Löschke, V. Möller, A. Okem, &amp; B. Rama (Eds.), </w:t>
      </w:r>
      <w:r w:rsidRPr="00B62318">
        <w:rPr>
          <w:i/>
          <w:noProof/>
        </w:rPr>
        <w:t>Climate Change 2022: Impacts, Adaptation and Vulnerability</w:t>
      </w:r>
      <w:r w:rsidRPr="00B62318">
        <w:rPr>
          <w:noProof/>
        </w:rPr>
        <w:t xml:space="preserve"> (pp. 2655-2807). Cambridge University Press. </w:t>
      </w:r>
      <w:hyperlink r:id="rId12" w:history="1">
        <w:r w:rsidRPr="00B62318">
          <w:rPr>
            <w:rStyle w:val="Hyperlink"/>
            <w:noProof/>
          </w:rPr>
          <w:t>https://doi.org/10.1017/9781009325844.027</w:t>
        </w:r>
      </w:hyperlink>
      <w:r w:rsidRPr="00B62318">
        <w:rPr>
          <w:noProof/>
        </w:rPr>
        <w:t xml:space="preserve"> </w:t>
      </w:r>
      <w:bookmarkEnd w:id="57"/>
    </w:p>
    <w:p w14:paraId="6D1B10E4" w14:textId="77777777" w:rsidR="00673035" w:rsidRPr="00B62318" w:rsidRDefault="00673035" w:rsidP="00673035">
      <w:pPr>
        <w:pStyle w:val="EndNoteBibliography"/>
        <w:spacing w:after="0"/>
        <w:ind w:left="720" w:hanging="720"/>
        <w:rPr>
          <w:noProof/>
        </w:rPr>
      </w:pPr>
      <w:bookmarkStart w:id="58" w:name="_ENREF_13_54"/>
      <w:r w:rsidRPr="00B62318">
        <w:rPr>
          <w:noProof/>
        </w:rPr>
        <w:t xml:space="preserve">Schlosberg, D. (2004). Reconceiving environmental justice: global movements and political theories. </w:t>
      </w:r>
      <w:r w:rsidRPr="00B62318">
        <w:rPr>
          <w:i/>
          <w:noProof/>
        </w:rPr>
        <w:t>Environmental Politics</w:t>
      </w:r>
      <w:r w:rsidRPr="00B62318">
        <w:rPr>
          <w:noProof/>
        </w:rPr>
        <w:t>,</w:t>
      </w:r>
      <w:r w:rsidRPr="00B62318">
        <w:rPr>
          <w:i/>
          <w:noProof/>
        </w:rPr>
        <w:t xml:space="preserve"> 13</w:t>
      </w:r>
      <w:r w:rsidRPr="00B62318">
        <w:rPr>
          <w:noProof/>
        </w:rPr>
        <w:t xml:space="preserve">(3), 517-540. </w:t>
      </w:r>
      <w:bookmarkEnd w:id="58"/>
    </w:p>
    <w:p w14:paraId="4D64054E" w14:textId="77777777" w:rsidR="00673035" w:rsidRPr="00B62318" w:rsidRDefault="00673035" w:rsidP="00673035">
      <w:pPr>
        <w:pStyle w:val="EndNoteBibliography"/>
        <w:spacing w:after="0"/>
        <w:ind w:left="720" w:hanging="720"/>
        <w:rPr>
          <w:noProof/>
        </w:rPr>
      </w:pPr>
      <w:bookmarkStart w:id="59" w:name="_ENREF_13_55"/>
      <w:r w:rsidRPr="00B62318">
        <w:rPr>
          <w:noProof/>
        </w:rPr>
        <w:lastRenderedPageBreak/>
        <w:t xml:space="preserve">Seebauer, S., Thaler, T., Hanger-Kopp, S., &amp; Schinko, T. (2023). How path dependency manifests in flood risk management: observations from four decades in the Ennstal and Aist catchments in Austria. </w:t>
      </w:r>
      <w:r w:rsidRPr="00B62318">
        <w:rPr>
          <w:i/>
          <w:noProof/>
        </w:rPr>
        <w:t>Regional environmental change</w:t>
      </w:r>
      <w:r w:rsidRPr="00B62318">
        <w:rPr>
          <w:noProof/>
        </w:rPr>
        <w:t>,</w:t>
      </w:r>
      <w:r w:rsidRPr="00B62318">
        <w:rPr>
          <w:i/>
          <w:noProof/>
        </w:rPr>
        <w:t xml:space="preserve"> 23</w:t>
      </w:r>
      <w:r w:rsidRPr="00B62318">
        <w:rPr>
          <w:noProof/>
        </w:rPr>
        <w:t xml:space="preserve">(1), 31. </w:t>
      </w:r>
      <w:bookmarkEnd w:id="59"/>
    </w:p>
    <w:p w14:paraId="725A3B95" w14:textId="77777777" w:rsidR="00673035" w:rsidRPr="00B62318" w:rsidRDefault="00673035" w:rsidP="00673035">
      <w:pPr>
        <w:pStyle w:val="EndNoteBibliography"/>
        <w:spacing w:after="0"/>
        <w:ind w:left="720" w:hanging="720"/>
        <w:rPr>
          <w:noProof/>
        </w:rPr>
      </w:pPr>
      <w:bookmarkStart w:id="60" w:name="_ENREF_13_56"/>
      <w:r w:rsidRPr="00B62318">
        <w:rPr>
          <w:noProof/>
        </w:rPr>
        <w:t xml:space="preserve">Seto, K. C., Davis, S. J., Mitchell, R. B., Stokes, E. C., Unruh, G., &amp; Ürge-Vorsatz, D. (2016). Carbon lock-in: types, causes, and policy implications. </w:t>
      </w:r>
      <w:r w:rsidRPr="00B62318">
        <w:rPr>
          <w:i/>
          <w:noProof/>
        </w:rPr>
        <w:t>Annual Review of Environment and Resources</w:t>
      </w:r>
      <w:r w:rsidRPr="00B62318">
        <w:rPr>
          <w:noProof/>
        </w:rPr>
        <w:t>,</w:t>
      </w:r>
      <w:r w:rsidRPr="00B62318">
        <w:rPr>
          <w:i/>
          <w:noProof/>
        </w:rPr>
        <w:t xml:space="preserve"> 41</w:t>
      </w:r>
      <w:r w:rsidRPr="00B62318">
        <w:rPr>
          <w:noProof/>
        </w:rPr>
        <w:t xml:space="preserve">(1), 425-452. </w:t>
      </w:r>
      <w:bookmarkEnd w:id="60"/>
    </w:p>
    <w:p w14:paraId="26F86D35" w14:textId="50F61678" w:rsidR="00673035" w:rsidRPr="00B62318" w:rsidRDefault="00673035" w:rsidP="00673035">
      <w:pPr>
        <w:pStyle w:val="EndNoteBibliography"/>
        <w:spacing w:after="0"/>
        <w:ind w:left="720" w:hanging="720"/>
        <w:rPr>
          <w:noProof/>
        </w:rPr>
      </w:pPr>
      <w:bookmarkStart w:id="61" w:name="_ENREF_13_57"/>
      <w:r w:rsidRPr="00B62318">
        <w:rPr>
          <w:noProof/>
        </w:rPr>
        <w:t xml:space="preserve">State Government of NSW and NSW Department of Planning Housing and Infrastructure. (2025). </w:t>
      </w:r>
      <w:r w:rsidRPr="00B62318">
        <w:rPr>
          <w:i/>
          <w:noProof/>
        </w:rPr>
        <w:t>Greater Sydney Canopy Access 2022, accessed from The Sharing and Enabling Environmental Data Portal</w:t>
      </w:r>
      <w:r w:rsidRPr="00B62318">
        <w:rPr>
          <w:noProof/>
        </w:rPr>
        <w:t xml:space="preserve">. Retrieved 24 October 2025 from </w:t>
      </w:r>
      <w:hyperlink r:id="rId13" w:history="1">
        <w:r w:rsidRPr="00B62318">
          <w:rPr>
            <w:rStyle w:val="Hyperlink"/>
            <w:noProof/>
          </w:rPr>
          <w:t>https://datasets.seed.nsw.gov.au/dataset/1aacf341-945d-4392-b53d-9d266468963f</w:t>
        </w:r>
        <w:bookmarkEnd w:id="61"/>
      </w:hyperlink>
    </w:p>
    <w:p w14:paraId="13B29F46" w14:textId="77777777" w:rsidR="00673035" w:rsidRPr="00B62318" w:rsidRDefault="00673035" w:rsidP="00673035">
      <w:pPr>
        <w:pStyle w:val="EndNoteBibliography"/>
        <w:spacing w:after="0"/>
        <w:ind w:left="720" w:hanging="720"/>
        <w:rPr>
          <w:noProof/>
        </w:rPr>
      </w:pPr>
      <w:bookmarkStart w:id="62" w:name="_ENREF_13_58"/>
      <w:r w:rsidRPr="00B62318">
        <w:rPr>
          <w:noProof/>
        </w:rPr>
        <w:t xml:space="preserve">Stroombergen, A., &amp; Lawrence, J. (2022). A novel illustration of real options analysis to address the problem of probabilities under deep uncertainty and changing climate risk. </w:t>
      </w:r>
      <w:r w:rsidRPr="00B62318">
        <w:rPr>
          <w:i/>
          <w:noProof/>
        </w:rPr>
        <w:t>Climate Risk Management</w:t>
      </w:r>
      <w:r w:rsidRPr="00B62318">
        <w:rPr>
          <w:noProof/>
        </w:rPr>
        <w:t>,</w:t>
      </w:r>
      <w:r w:rsidRPr="00B62318">
        <w:rPr>
          <w:i/>
          <w:noProof/>
        </w:rPr>
        <w:t xml:space="preserve"> 38</w:t>
      </w:r>
      <w:r w:rsidRPr="00B62318">
        <w:rPr>
          <w:noProof/>
        </w:rPr>
        <w:t xml:space="preserve">, 100458. </w:t>
      </w:r>
      <w:bookmarkEnd w:id="62"/>
    </w:p>
    <w:p w14:paraId="5A3A62CD" w14:textId="77777777" w:rsidR="00673035" w:rsidRPr="00B62318" w:rsidRDefault="00673035" w:rsidP="00673035">
      <w:pPr>
        <w:pStyle w:val="EndNoteBibliography"/>
        <w:spacing w:after="0"/>
        <w:ind w:left="720" w:hanging="720"/>
        <w:rPr>
          <w:noProof/>
        </w:rPr>
      </w:pPr>
      <w:bookmarkStart w:id="63" w:name="_ENREF_13_59"/>
      <w:r w:rsidRPr="00B62318">
        <w:rPr>
          <w:noProof/>
        </w:rPr>
        <w:t xml:space="preserve">Swanson, K. (2023). Centering equity and justice in participatory climate action planning: guidance for urban governance actors. </w:t>
      </w:r>
      <w:r w:rsidRPr="00B62318">
        <w:rPr>
          <w:i/>
          <w:noProof/>
        </w:rPr>
        <w:t>Planning theory &amp; practice</w:t>
      </w:r>
      <w:r w:rsidRPr="00B62318">
        <w:rPr>
          <w:noProof/>
        </w:rPr>
        <w:t>,</w:t>
      </w:r>
      <w:r w:rsidRPr="00B62318">
        <w:rPr>
          <w:i/>
          <w:noProof/>
        </w:rPr>
        <w:t xml:space="preserve"> 24</w:t>
      </w:r>
      <w:r w:rsidRPr="00B62318">
        <w:rPr>
          <w:noProof/>
        </w:rPr>
        <w:t xml:space="preserve">(2), 207-223. </w:t>
      </w:r>
      <w:bookmarkEnd w:id="63"/>
    </w:p>
    <w:p w14:paraId="011792C2" w14:textId="77777777" w:rsidR="00673035" w:rsidRPr="00B62318" w:rsidRDefault="00673035" w:rsidP="00673035">
      <w:pPr>
        <w:pStyle w:val="EndNoteBibliography"/>
        <w:spacing w:after="0"/>
        <w:ind w:left="720" w:hanging="720"/>
        <w:rPr>
          <w:noProof/>
        </w:rPr>
      </w:pPr>
      <w:bookmarkStart w:id="64" w:name="_ENREF_13_60"/>
      <w:r w:rsidRPr="00B62318">
        <w:rPr>
          <w:noProof/>
        </w:rPr>
        <w:t xml:space="preserve">Thaler, T., Hanger-Kopp, S., Schinko, T., &amp; Nordbeck, R. (2023). Addressing path dependencies in decision-making processes for operationalizing compound climate-risk management. </w:t>
      </w:r>
      <w:r w:rsidRPr="00B62318">
        <w:rPr>
          <w:i/>
          <w:noProof/>
        </w:rPr>
        <w:t>Iscience</w:t>
      </w:r>
      <w:r w:rsidRPr="00B62318">
        <w:rPr>
          <w:noProof/>
        </w:rPr>
        <w:t>,</w:t>
      </w:r>
      <w:r w:rsidRPr="00B62318">
        <w:rPr>
          <w:i/>
          <w:noProof/>
        </w:rPr>
        <w:t xml:space="preserve"> 26</w:t>
      </w:r>
      <w:r w:rsidRPr="00B62318">
        <w:rPr>
          <w:noProof/>
        </w:rPr>
        <w:t xml:space="preserve">(7). </w:t>
      </w:r>
      <w:bookmarkEnd w:id="64"/>
    </w:p>
    <w:p w14:paraId="31D58EA2" w14:textId="77777777" w:rsidR="00673035" w:rsidRPr="00B62318" w:rsidRDefault="00673035" w:rsidP="00673035">
      <w:pPr>
        <w:pStyle w:val="EndNoteBibliography"/>
        <w:spacing w:after="0"/>
        <w:ind w:left="720" w:hanging="720"/>
        <w:rPr>
          <w:noProof/>
        </w:rPr>
      </w:pPr>
      <w:bookmarkStart w:id="65" w:name="_ENREF_13_61"/>
      <w:r w:rsidRPr="00B62318">
        <w:rPr>
          <w:noProof/>
        </w:rPr>
        <w:t xml:space="preserve">Thibaut, J. W., &amp; Walker, L. (1975). Procedural justice: A psychological analysis. </w:t>
      </w:r>
      <w:r w:rsidRPr="00B62318">
        <w:rPr>
          <w:i/>
          <w:noProof/>
        </w:rPr>
        <w:t>(No Title)</w:t>
      </w:r>
      <w:r w:rsidRPr="00B62318">
        <w:rPr>
          <w:noProof/>
        </w:rPr>
        <w:t xml:space="preserve">. </w:t>
      </w:r>
      <w:bookmarkEnd w:id="65"/>
    </w:p>
    <w:p w14:paraId="35BB836C" w14:textId="7AC89217" w:rsidR="00673035" w:rsidRPr="00B62318" w:rsidRDefault="00673035" w:rsidP="00673035">
      <w:pPr>
        <w:pStyle w:val="EndNoteBibliography"/>
        <w:spacing w:after="0"/>
        <w:ind w:left="720" w:hanging="720"/>
        <w:rPr>
          <w:noProof/>
        </w:rPr>
      </w:pPr>
      <w:bookmarkStart w:id="66" w:name="_ENREF_13_62"/>
      <w:r w:rsidRPr="00B62318">
        <w:rPr>
          <w:noProof/>
        </w:rPr>
        <w:t xml:space="preserve">Tyler, T. R. (2000). Social Justice: Outcome and Procedure. </w:t>
      </w:r>
      <w:r w:rsidRPr="00B62318">
        <w:rPr>
          <w:i/>
          <w:noProof/>
        </w:rPr>
        <w:t>International Journal of Psychology</w:t>
      </w:r>
      <w:r w:rsidRPr="00B62318">
        <w:rPr>
          <w:noProof/>
        </w:rPr>
        <w:t>,</w:t>
      </w:r>
      <w:r w:rsidRPr="00B62318">
        <w:rPr>
          <w:i/>
          <w:noProof/>
        </w:rPr>
        <w:t xml:space="preserve"> 35</w:t>
      </w:r>
      <w:r w:rsidRPr="00B62318">
        <w:rPr>
          <w:noProof/>
        </w:rPr>
        <w:t xml:space="preserve">(2), 117-125. </w:t>
      </w:r>
      <w:hyperlink r:id="rId14" w:history="1">
        <w:r w:rsidRPr="00B62318">
          <w:rPr>
            <w:rStyle w:val="Hyperlink"/>
            <w:noProof/>
          </w:rPr>
          <w:t>https://doi.org/https://doi.org/10.1080/002075900399411</w:t>
        </w:r>
      </w:hyperlink>
      <w:r w:rsidRPr="00B62318">
        <w:rPr>
          <w:noProof/>
        </w:rPr>
        <w:t xml:space="preserve"> </w:t>
      </w:r>
      <w:bookmarkEnd w:id="66"/>
    </w:p>
    <w:p w14:paraId="0A102DD4" w14:textId="77777777" w:rsidR="00673035" w:rsidRPr="00B62318" w:rsidRDefault="00673035" w:rsidP="00673035">
      <w:pPr>
        <w:pStyle w:val="EndNoteBibliography"/>
        <w:spacing w:after="0"/>
        <w:ind w:left="720" w:hanging="720"/>
        <w:rPr>
          <w:noProof/>
        </w:rPr>
      </w:pPr>
      <w:bookmarkStart w:id="67" w:name="_ENREF_13_63"/>
      <w:r w:rsidRPr="00B62318">
        <w:rPr>
          <w:noProof/>
        </w:rPr>
        <w:t xml:space="preserve">Tyler, T. R. (2003). Procedural justice, legitimacy, and the effective rule of law. </w:t>
      </w:r>
      <w:r w:rsidRPr="00B62318">
        <w:rPr>
          <w:i/>
          <w:noProof/>
        </w:rPr>
        <w:t>Crime and justice</w:t>
      </w:r>
      <w:r w:rsidRPr="00B62318">
        <w:rPr>
          <w:noProof/>
        </w:rPr>
        <w:t>,</w:t>
      </w:r>
      <w:r w:rsidRPr="00B62318">
        <w:rPr>
          <w:i/>
          <w:noProof/>
        </w:rPr>
        <w:t xml:space="preserve"> 30</w:t>
      </w:r>
      <w:r w:rsidRPr="00B62318">
        <w:rPr>
          <w:noProof/>
        </w:rPr>
        <w:t xml:space="preserve">, 283-357. </w:t>
      </w:r>
      <w:bookmarkEnd w:id="67"/>
    </w:p>
    <w:p w14:paraId="01E09F79" w14:textId="77777777" w:rsidR="00673035" w:rsidRPr="00B62318" w:rsidRDefault="00673035" w:rsidP="00673035">
      <w:pPr>
        <w:pStyle w:val="EndNoteBibliography"/>
        <w:spacing w:after="0"/>
        <w:ind w:left="720" w:hanging="720"/>
        <w:rPr>
          <w:noProof/>
        </w:rPr>
      </w:pPr>
      <w:bookmarkStart w:id="68" w:name="_ENREF_13_64"/>
      <w:r w:rsidRPr="00B62318">
        <w:rPr>
          <w:noProof/>
        </w:rPr>
        <w:t xml:space="preserve">Unruh, G. C. (2000). Understanding carbon lock-in. </w:t>
      </w:r>
      <w:r w:rsidRPr="00B62318">
        <w:rPr>
          <w:i/>
          <w:noProof/>
        </w:rPr>
        <w:t>Energy policy</w:t>
      </w:r>
      <w:r w:rsidRPr="00B62318">
        <w:rPr>
          <w:noProof/>
        </w:rPr>
        <w:t>,</w:t>
      </w:r>
      <w:r w:rsidRPr="00B62318">
        <w:rPr>
          <w:i/>
          <w:noProof/>
        </w:rPr>
        <w:t xml:space="preserve"> 28</w:t>
      </w:r>
      <w:r w:rsidRPr="00B62318">
        <w:rPr>
          <w:noProof/>
        </w:rPr>
        <w:t xml:space="preserve">(12), 817-830. </w:t>
      </w:r>
      <w:bookmarkEnd w:id="68"/>
    </w:p>
    <w:p w14:paraId="3519A6AA" w14:textId="77777777" w:rsidR="00673035" w:rsidRPr="00B62318" w:rsidRDefault="00673035" w:rsidP="00673035">
      <w:pPr>
        <w:pStyle w:val="EndNoteBibliography"/>
        <w:spacing w:after="0"/>
        <w:ind w:left="720" w:hanging="720"/>
        <w:rPr>
          <w:noProof/>
        </w:rPr>
      </w:pPr>
      <w:bookmarkStart w:id="69" w:name="_ENREF_13_65"/>
      <w:r w:rsidRPr="00B62318">
        <w:rPr>
          <w:noProof/>
        </w:rPr>
        <w:t xml:space="preserve">Van Der Jagt, A. P., Buijs, A., Dobbs, C., Van Lierop, M., Pauleit, S., Randrup, T. B., Skiba, A., &amp; Wild, T. (2023). With the process comes the progress: A systematic review to support governance assessment of urban nature-based solutions. </w:t>
      </w:r>
      <w:r w:rsidRPr="00B62318">
        <w:rPr>
          <w:i/>
          <w:noProof/>
        </w:rPr>
        <w:t>Urban Forestry &amp; Urban Greening</w:t>
      </w:r>
      <w:r w:rsidRPr="00B62318">
        <w:rPr>
          <w:noProof/>
        </w:rPr>
        <w:t>,</w:t>
      </w:r>
      <w:r w:rsidRPr="00B62318">
        <w:rPr>
          <w:i/>
          <w:noProof/>
        </w:rPr>
        <w:t xml:space="preserve"> 87</w:t>
      </w:r>
      <w:r w:rsidRPr="00B62318">
        <w:rPr>
          <w:noProof/>
        </w:rPr>
        <w:t xml:space="preserve">, 128067. </w:t>
      </w:r>
      <w:bookmarkEnd w:id="69"/>
    </w:p>
    <w:p w14:paraId="01511647" w14:textId="77777777" w:rsidR="00673035" w:rsidRPr="00B62318" w:rsidRDefault="00673035" w:rsidP="00673035">
      <w:pPr>
        <w:pStyle w:val="EndNoteBibliography"/>
        <w:spacing w:after="0"/>
        <w:ind w:left="720" w:hanging="720"/>
        <w:rPr>
          <w:noProof/>
        </w:rPr>
      </w:pPr>
      <w:bookmarkStart w:id="70" w:name="_ENREF_13_66"/>
      <w:r w:rsidRPr="00B62318">
        <w:rPr>
          <w:noProof/>
        </w:rPr>
        <w:t xml:space="preserve">Vergne, J.-P., &amp; Durand, R. (2011). The path of most persistence: An evolutionary perspective on path dependence and dynamic capabilities. </w:t>
      </w:r>
      <w:r w:rsidRPr="00B62318">
        <w:rPr>
          <w:i/>
          <w:noProof/>
        </w:rPr>
        <w:t>Organization Studies</w:t>
      </w:r>
      <w:r w:rsidRPr="00B62318">
        <w:rPr>
          <w:noProof/>
        </w:rPr>
        <w:t>,</w:t>
      </w:r>
      <w:r w:rsidRPr="00B62318">
        <w:rPr>
          <w:i/>
          <w:noProof/>
        </w:rPr>
        <w:t xml:space="preserve"> 32</w:t>
      </w:r>
      <w:r w:rsidRPr="00B62318">
        <w:rPr>
          <w:noProof/>
        </w:rPr>
        <w:t xml:space="preserve">(3), 365-382. </w:t>
      </w:r>
      <w:bookmarkEnd w:id="70"/>
    </w:p>
    <w:p w14:paraId="38D73014" w14:textId="77777777" w:rsidR="00673035" w:rsidRPr="00B62318" w:rsidRDefault="00673035" w:rsidP="00673035">
      <w:pPr>
        <w:pStyle w:val="EndNoteBibliography"/>
        <w:spacing w:after="0"/>
        <w:ind w:left="720" w:hanging="720"/>
        <w:rPr>
          <w:noProof/>
        </w:rPr>
      </w:pPr>
      <w:bookmarkStart w:id="71" w:name="_ENREF_13_67"/>
      <w:r w:rsidRPr="00B62318">
        <w:rPr>
          <w:noProof/>
        </w:rPr>
        <w:t xml:space="preserve">Walker, G. (2012). </w:t>
      </w:r>
      <w:r w:rsidRPr="00B62318">
        <w:rPr>
          <w:i/>
          <w:noProof/>
        </w:rPr>
        <w:t>Environmental justice: concepts, evidence and politics</w:t>
      </w:r>
      <w:r w:rsidRPr="00B62318">
        <w:rPr>
          <w:noProof/>
        </w:rPr>
        <w:t xml:space="preserve">. Routledge. </w:t>
      </w:r>
      <w:bookmarkEnd w:id="71"/>
    </w:p>
    <w:p w14:paraId="3846843B" w14:textId="77777777" w:rsidR="00673035" w:rsidRPr="00B62318" w:rsidRDefault="00673035" w:rsidP="00673035">
      <w:pPr>
        <w:pStyle w:val="EndNoteBibliography"/>
        <w:spacing w:after="0"/>
        <w:ind w:left="720" w:hanging="720"/>
        <w:rPr>
          <w:noProof/>
        </w:rPr>
      </w:pPr>
      <w:bookmarkStart w:id="72" w:name="_ENREF_13_68"/>
      <w:r w:rsidRPr="00B62318">
        <w:rPr>
          <w:noProof/>
        </w:rPr>
        <w:t xml:space="preserve">Wenta, J., McDonald, J., &amp; McGee, J. S. (2019). Enhancing resilience and justice in climate adaptation laws. </w:t>
      </w:r>
      <w:r w:rsidRPr="00B62318">
        <w:rPr>
          <w:i/>
          <w:noProof/>
        </w:rPr>
        <w:t>Transnational Environmental Law</w:t>
      </w:r>
      <w:r w:rsidRPr="00B62318">
        <w:rPr>
          <w:noProof/>
        </w:rPr>
        <w:t>,</w:t>
      </w:r>
      <w:r w:rsidRPr="00B62318">
        <w:rPr>
          <w:i/>
          <w:noProof/>
        </w:rPr>
        <w:t xml:space="preserve"> 8</w:t>
      </w:r>
      <w:r w:rsidRPr="00B62318">
        <w:rPr>
          <w:noProof/>
        </w:rPr>
        <w:t xml:space="preserve">(1), 89-118. </w:t>
      </w:r>
      <w:bookmarkEnd w:id="72"/>
    </w:p>
    <w:p w14:paraId="62D81049" w14:textId="77777777" w:rsidR="00673035" w:rsidRPr="00B62318" w:rsidRDefault="00673035" w:rsidP="00673035">
      <w:pPr>
        <w:pStyle w:val="EndNoteBibliography"/>
        <w:spacing w:after="0"/>
        <w:ind w:left="720" w:hanging="720"/>
        <w:rPr>
          <w:noProof/>
        </w:rPr>
      </w:pPr>
      <w:bookmarkStart w:id="73" w:name="_ENREF_13_69"/>
      <w:r w:rsidRPr="00B62318">
        <w:rPr>
          <w:noProof/>
        </w:rPr>
        <w:t xml:space="preserve">Werners, S. E., Wise, R. M., Butler, J. R., Totin, E., &amp; Vincent, K. (2021). Adaptation pathways: A review of approaches and a learning framework. </w:t>
      </w:r>
      <w:r w:rsidRPr="00B62318">
        <w:rPr>
          <w:i/>
          <w:noProof/>
        </w:rPr>
        <w:t>Environmental science &amp; policy</w:t>
      </w:r>
      <w:r w:rsidRPr="00B62318">
        <w:rPr>
          <w:noProof/>
        </w:rPr>
        <w:t>,</w:t>
      </w:r>
      <w:r w:rsidRPr="00B62318">
        <w:rPr>
          <w:i/>
          <w:noProof/>
        </w:rPr>
        <w:t xml:space="preserve"> 116</w:t>
      </w:r>
      <w:r w:rsidRPr="00B62318">
        <w:rPr>
          <w:noProof/>
        </w:rPr>
        <w:t xml:space="preserve">, 266-275. </w:t>
      </w:r>
      <w:bookmarkEnd w:id="73"/>
    </w:p>
    <w:p w14:paraId="0E799BB2" w14:textId="77777777" w:rsidR="00673035" w:rsidRPr="00B62318" w:rsidRDefault="00673035" w:rsidP="00673035">
      <w:pPr>
        <w:pStyle w:val="EndNoteBibliography"/>
        <w:spacing w:after="0"/>
        <w:ind w:left="720" w:hanging="720"/>
        <w:rPr>
          <w:noProof/>
        </w:rPr>
      </w:pPr>
      <w:bookmarkStart w:id="74" w:name="_ENREF_13_70"/>
      <w:r w:rsidRPr="00B62318">
        <w:rPr>
          <w:noProof/>
        </w:rPr>
        <w:t xml:space="preserve">Wilson, G. A. (2014). Community resilience: path dependency, lock-in effects and transitional ruptures. </w:t>
      </w:r>
      <w:r w:rsidRPr="00B62318">
        <w:rPr>
          <w:i/>
          <w:noProof/>
        </w:rPr>
        <w:t>Journal of Environmental Planning and Management</w:t>
      </w:r>
      <w:r w:rsidRPr="00B62318">
        <w:rPr>
          <w:noProof/>
        </w:rPr>
        <w:t>,</w:t>
      </w:r>
      <w:r w:rsidRPr="00B62318">
        <w:rPr>
          <w:i/>
          <w:noProof/>
        </w:rPr>
        <w:t xml:space="preserve"> 57</w:t>
      </w:r>
      <w:r w:rsidRPr="00B62318">
        <w:rPr>
          <w:noProof/>
        </w:rPr>
        <w:t xml:space="preserve">(1), 1-26. </w:t>
      </w:r>
      <w:bookmarkEnd w:id="74"/>
    </w:p>
    <w:p w14:paraId="5C73B6C3" w14:textId="77777777" w:rsidR="00673035" w:rsidRPr="00B62318" w:rsidRDefault="00673035" w:rsidP="00673035">
      <w:pPr>
        <w:pStyle w:val="EndNoteBibliography"/>
        <w:spacing w:after="0"/>
        <w:ind w:left="720" w:hanging="720"/>
        <w:rPr>
          <w:noProof/>
        </w:rPr>
      </w:pPr>
      <w:bookmarkStart w:id="75" w:name="_ENREF_13_71"/>
      <w:r w:rsidRPr="00B62318">
        <w:rPr>
          <w:noProof/>
        </w:rPr>
        <w:t xml:space="preserve">Wise, R. M., Fazey, I., Smith, M. S., Park, S. E., Eakin, H. C., Van Garderen, E. A., &amp; Campbell, B. (2014). Reconceptualising adaptation to climate change as part of pathways of change and response. </w:t>
      </w:r>
      <w:r w:rsidRPr="00B62318">
        <w:rPr>
          <w:i/>
          <w:noProof/>
        </w:rPr>
        <w:t>Global environmental change</w:t>
      </w:r>
      <w:r w:rsidRPr="00B62318">
        <w:rPr>
          <w:noProof/>
        </w:rPr>
        <w:t>,</w:t>
      </w:r>
      <w:r w:rsidRPr="00B62318">
        <w:rPr>
          <w:i/>
          <w:noProof/>
        </w:rPr>
        <w:t xml:space="preserve"> 28</w:t>
      </w:r>
      <w:r w:rsidRPr="00B62318">
        <w:rPr>
          <w:noProof/>
        </w:rPr>
        <w:t xml:space="preserve">, 325-336. </w:t>
      </w:r>
      <w:bookmarkEnd w:id="75"/>
    </w:p>
    <w:p w14:paraId="20595F0E" w14:textId="69031907" w:rsidR="00673035" w:rsidRPr="00B62318" w:rsidRDefault="00673035" w:rsidP="00673035">
      <w:pPr>
        <w:pStyle w:val="EndNoteBibliography"/>
        <w:spacing w:after="0"/>
        <w:ind w:left="720" w:hanging="720"/>
        <w:rPr>
          <w:noProof/>
        </w:rPr>
      </w:pPr>
      <w:bookmarkStart w:id="76" w:name="_ENREF_13_72"/>
      <w:r w:rsidRPr="00B62318">
        <w:rPr>
          <w:noProof/>
        </w:rPr>
        <w:t xml:space="preserve">Zanaga, D., Van De Kerchove, R., Daems, D., De Keersmaecker, W., Brockmann, C., Kirches, G., Wevers, J., Cartus, O., Santoro, M., Fritz, S., Lesiv, M., Herold, M., Tsendbazar, N. E., Xu, P., Ramoino, F., &amp; Arino, O. (2022). </w:t>
      </w:r>
      <w:r w:rsidRPr="00B62318">
        <w:rPr>
          <w:i/>
          <w:noProof/>
        </w:rPr>
        <w:t>ESA WorldCover 10 m 2021 v200</w:t>
      </w:r>
      <w:r w:rsidRPr="00B62318">
        <w:rPr>
          <w:noProof/>
        </w:rPr>
        <w:t xml:space="preserve"> Zenodo. </w:t>
      </w:r>
      <w:hyperlink r:id="rId15" w:history="1">
        <w:r w:rsidRPr="00B62318">
          <w:rPr>
            <w:rStyle w:val="Hyperlink"/>
            <w:noProof/>
          </w:rPr>
          <w:t>https://doi.org/https://doi.org/10.5281/zenodo.7254221</w:t>
        </w:r>
        <w:bookmarkEnd w:id="76"/>
      </w:hyperlink>
    </w:p>
    <w:p w14:paraId="1B600DD9" w14:textId="77777777" w:rsidR="00673035" w:rsidRPr="00B62318" w:rsidRDefault="00673035" w:rsidP="00673035">
      <w:pPr>
        <w:pStyle w:val="EndNoteBibliography"/>
        <w:ind w:left="720" w:hanging="720"/>
        <w:rPr>
          <w:noProof/>
        </w:rPr>
      </w:pPr>
      <w:bookmarkStart w:id="77" w:name="_ENREF_13_73"/>
      <w:r w:rsidRPr="00B62318">
        <w:rPr>
          <w:noProof/>
        </w:rPr>
        <w:t xml:space="preserve">Ziter, C. D., Pedersen, E. J., Kucharik, C. J., &amp; Turner, M. G. (2019). Scale-dependent interactions between tree canopy cover and impervious surfaces reduce daytime urban heat during summer. </w:t>
      </w:r>
      <w:r w:rsidRPr="00B62318">
        <w:rPr>
          <w:i/>
          <w:noProof/>
        </w:rPr>
        <w:t>Proceedings of the National Academy of Sciences</w:t>
      </w:r>
      <w:r w:rsidRPr="00B62318">
        <w:rPr>
          <w:noProof/>
        </w:rPr>
        <w:t>,</w:t>
      </w:r>
      <w:r w:rsidRPr="00B62318">
        <w:rPr>
          <w:i/>
          <w:noProof/>
        </w:rPr>
        <w:t xml:space="preserve"> 116</w:t>
      </w:r>
      <w:r w:rsidRPr="00B62318">
        <w:rPr>
          <w:noProof/>
        </w:rPr>
        <w:t xml:space="preserve">(15), 7575-7580. </w:t>
      </w:r>
      <w:bookmarkEnd w:id="77"/>
    </w:p>
    <w:p w14:paraId="5903E08A" w14:textId="4E804B7B" w:rsidR="000B58C5" w:rsidRPr="00B62318" w:rsidRDefault="001643DA" w:rsidP="00076106">
      <w:r w:rsidRPr="00B62318">
        <w:fldChar w:fldCharType="end"/>
      </w:r>
      <w:r w:rsidR="00DD75F7" w:rsidRPr="00B62318">
        <w:fldChar w:fldCharType="begin"/>
      </w:r>
      <w:r w:rsidR="00DD75F7" w:rsidRPr="00B62318">
        <w:instrText xml:space="preserve"> ADDIN EN.REFLIST </w:instrText>
      </w:r>
      <w:r w:rsidR="00DD75F7" w:rsidRPr="00B62318">
        <w:fldChar w:fldCharType="separate"/>
      </w:r>
      <w:r w:rsidR="00DD75F7" w:rsidRPr="00B62318">
        <w:fldChar w:fldCharType="end"/>
      </w:r>
    </w:p>
    <w:sectPr w:rsidR="000B58C5" w:rsidRPr="00B62318" w:rsidSect="00155A64">
      <w:headerReference w:type="even" r:id="rId16"/>
      <w:footerReference w:type="default" r:id="rId17"/>
      <w:headerReference w:type="first" r:id="rId18"/>
      <w:pgSz w:w="11906" w:h="16838" w:code="9"/>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128A3" w14:textId="77777777" w:rsidR="00DE782A" w:rsidRPr="001D432F" w:rsidRDefault="00DE782A">
      <w:pPr>
        <w:spacing w:after="0" w:line="240" w:lineRule="auto"/>
      </w:pPr>
      <w:r w:rsidRPr="001D432F">
        <w:separator/>
      </w:r>
    </w:p>
  </w:endnote>
  <w:endnote w:type="continuationSeparator" w:id="0">
    <w:p w14:paraId="3CC59F32" w14:textId="77777777" w:rsidR="00DE782A" w:rsidRPr="001D432F" w:rsidRDefault="00DE782A">
      <w:pPr>
        <w:spacing w:after="0" w:line="240" w:lineRule="auto"/>
      </w:pPr>
      <w:r w:rsidRPr="001D432F">
        <w:continuationSeparator/>
      </w:r>
    </w:p>
  </w:endnote>
  <w:endnote w:type="continuationNotice" w:id="1">
    <w:p w14:paraId="3707B046" w14:textId="77777777" w:rsidR="00DE782A" w:rsidRPr="001D432F" w:rsidRDefault="00DE78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dvTT5235d5a9+fb">
    <w:altName w:val="Times New Roman"/>
    <w:panose1 w:val="00000000000000000000"/>
    <w:charset w:val="00"/>
    <w:family w:val="roman"/>
    <w:notTrueType/>
    <w:pitch w:val="default"/>
  </w:font>
  <w:font w:name="Consolas">
    <w:panose1 w:val="020B0609020204030204"/>
    <w:charset w:val="00"/>
    <w:family w:val="modern"/>
    <w:pitch w:val="fixed"/>
    <w:sig w:usb0="E10006FF" w:usb1="4000FCFF" w:usb2="00000009"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381579"/>
      <w:docPartObj>
        <w:docPartGallery w:val="Page Numbers (Bottom of Page)"/>
        <w:docPartUnique/>
      </w:docPartObj>
    </w:sdtPr>
    <w:sdtEndPr/>
    <w:sdtContent>
      <w:p w14:paraId="5A7D1166" w14:textId="1BEDB60C" w:rsidR="00DD2C8E" w:rsidRPr="001D432F" w:rsidRDefault="00DD2C8E">
        <w:pPr>
          <w:pStyle w:val="Footer"/>
          <w:jc w:val="center"/>
        </w:pPr>
        <w:r w:rsidRPr="001D432F">
          <w:fldChar w:fldCharType="begin"/>
        </w:r>
        <w:r w:rsidRPr="001D432F">
          <w:instrText xml:space="preserve"> PAGE   \* MERGEFORMAT </w:instrText>
        </w:r>
        <w:r w:rsidRPr="001D432F">
          <w:fldChar w:fldCharType="separate"/>
        </w:r>
        <w:r w:rsidRPr="001D432F">
          <w:t>2</w:t>
        </w:r>
        <w:r w:rsidRPr="001D432F">
          <w:fldChar w:fldCharType="end"/>
        </w:r>
      </w:p>
    </w:sdtContent>
  </w:sdt>
  <w:p w14:paraId="5AFFAAFE" w14:textId="77777777" w:rsidR="00DD2C8E" w:rsidRPr="001D432F" w:rsidRDefault="00DD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DF2EF" w14:textId="77777777" w:rsidR="00DE782A" w:rsidRPr="001D432F" w:rsidRDefault="00DE782A">
      <w:pPr>
        <w:spacing w:after="0" w:line="240" w:lineRule="auto"/>
      </w:pPr>
      <w:r w:rsidRPr="001D432F">
        <w:separator/>
      </w:r>
    </w:p>
  </w:footnote>
  <w:footnote w:type="continuationSeparator" w:id="0">
    <w:p w14:paraId="53981288" w14:textId="77777777" w:rsidR="00DE782A" w:rsidRPr="001D432F" w:rsidRDefault="00DE782A">
      <w:pPr>
        <w:spacing w:after="0" w:line="240" w:lineRule="auto"/>
      </w:pPr>
      <w:r w:rsidRPr="001D432F">
        <w:continuationSeparator/>
      </w:r>
    </w:p>
  </w:footnote>
  <w:footnote w:type="continuationNotice" w:id="1">
    <w:p w14:paraId="3DDC6E0E" w14:textId="77777777" w:rsidR="00DE782A" w:rsidRPr="001D432F" w:rsidRDefault="00DE78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2830" w14:textId="4D88CAB4" w:rsidR="003E35BC" w:rsidRPr="001D432F" w:rsidRDefault="003E35BC">
    <w:pPr>
      <w:pStyle w:val="Header"/>
      <w:rPr>
        <w:lang w:val="en-US"/>
      </w:rPr>
    </w:pPr>
    <w:r w:rsidRPr="001D432F">
      <w:rPr>
        <w:noProof/>
        <w:lang w:val="en-US"/>
      </w:rPr>
      <mc:AlternateContent>
        <mc:Choice Requires="wps">
          <w:drawing>
            <wp:anchor distT="0" distB="0" distL="0" distR="0" simplePos="0" relativeHeight="251657216" behindDoc="0" locked="0" layoutInCell="1" allowOverlap="1" wp14:anchorId="13D53BE7" wp14:editId="5FA42C3E">
              <wp:simplePos x="635" y="635"/>
              <wp:positionH relativeFrom="page">
                <wp:align>center</wp:align>
              </wp:positionH>
              <wp:positionV relativeFrom="page">
                <wp:align>top</wp:align>
              </wp:positionV>
              <wp:extent cx="443865" cy="443865"/>
              <wp:effectExtent l="0" t="0" r="15240" b="14605"/>
              <wp:wrapNone/>
              <wp:docPr id="2" name="Text Box 2"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163FF4" w14:textId="34A02073" w:rsidR="003E35BC" w:rsidRPr="001D432F" w:rsidRDefault="003E35BC" w:rsidP="00D66959">
                          <w:pPr>
                            <w:spacing w:after="0"/>
                            <w:rPr>
                              <w:rFonts w:ascii="Calibri" w:eastAsia="Calibri" w:hAnsi="Calibri" w:cs="Calibri"/>
                              <w:color w:val="EEDC00"/>
                            </w:rPr>
                          </w:pPr>
                          <w:r w:rsidRPr="001D432F">
                            <w:rPr>
                              <w:rFonts w:ascii="Calibri" w:eastAsia="Calibri" w:hAnsi="Calibri" w:cs="Calibri"/>
                              <w:color w:val="EEDC00"/>
                            </w:rPr>
                            <w:t>RMIT Classification: Trusted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D53BE7" id="_x0000_t202" coordsize="21600,21600" o:spt="202" path="m,l,21600r21600,l21600,xe">
              <v:stroke joinstyle="miter"/>
              <v:path gradientshapeok="t" o:connecttype="rect"/>
            </v:shapetype>
            <v:shape id="Text Box 2" o:spid="_x0000_s1028" type="#_x0000_t202" alt="RMIT Classification: Trusted" style="position:absolute;left:0;text-align:left;margin-left:0;margin-top:0;width:34.95pt;height:34.9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4163FF4" w14:textId="34A02073" w:rsidR="003E35BC" w:rsidRPr="001D432F" w:rsidRDefault="003E35BC" w:rsidP="00D66959">
                    <w:pPr>
                      <w:spacing w:after="0"/>
                      <w:rPr>
                        <w:rFonts w:ascii="Calibri" w:eastAsia="Calibri" w:hAnsi="Calibri" w:cs="Calibri"/>
                        <w:color w:val="EEDC00"/>
                      </w:rPr>
                    </w:pPr>
                    <w:r w:rsidRPr="001D432F">
                      <w:rPr>
                        <w:rFonts w:ascii="Calibri" w:eastAsia="Calibri" w:hAnsi="Calibri" w:cs="Calibri"/>
                        <w:color w:val="EEDC00"/>
                      </w:rPr>
                      <w:t>RMIT Classification: Trusted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0D319" w14:textId="73B35291" w:rsidR="003E35BC" w:rsidRPr="001D432F" w:rsidRDefault="003E35BC">
    <w:pPr>
      <w:pStyle w:val="Header"/>
      <w:rPr>
        <w:lang w:val="en-US"/>
      </w:rPr>
    </w:pPr>
    <w:r w:rsidRPr="001D432F">
      <w:rPr>
        <w:noProof/>
        <w:lang w:val="en-US"/>
      </w:rPr>
      <mc:AlternateContent>
        <mc:Choice Requires="wps">
          <w:drawing>
            <wp:anchor distT="0" distB="0" distL="0" distR="0" simplePos="0" relativeHeight="251656192" behindDoc="0" locked="0" layoutInCell="1" allowOverlap="1" wp14:anchorId="41737C90" wp14:editId="0F9B7DE6">
              <wp:simplePos x="635" y="635"/>
              <wp:positionH relativeFrom="page">
                <wp:align>center</wp:align>
              </wp:positionH>
              <wp:positionV relativeFrom="page">
                <wp:align>top</wp:align>
              </wp:positionV>
              <wp:extent cx="443865" cy="443865"/>
              <wp:effectExtent l="0" t="0" r="15240" b="14605"/>
              <wp:wrapNone/>
              <wp:docPr id="1" name="Text Box 1"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9AD57E" w14:textId="4EFCEF6E" w:rsidR="003E35BC" w:rsidRPr="001D432F" w:rsidRDefault="003E35BC" w:rsidP="00D66959">
                          <w:pPr>
                            <w:spacing w:after="0"/>
                            <w:rPr>
                              <w:rFonts w:ascii="Calibri" w:eastAsia="Calibri" w:hAnsi="Calibri" w:cs="Calibri"/>
                              <w:color w:val="EEDC00"/>
                            </w:rPr>
                          </w:pPr>
                          <w:r w:rsidRPr="001D432F">
                            <w:rPr>
                              <w:rFonts w:ascii="Calibri" w:eastAsia="Calibri" w:hAnsi="Calibri" w:cs="Calibri"/>
                              <w:color w:val="EEDC00"/>
                            </w:rPr>
                            <w:t>RMIT Classification: Trusted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737C90" id="_x0000_t202" coordsize="21600,21600" o:spt="202" path="m,l,21600r21600,l21600,xe">
              <v:stroke joinstyle="miter"/>
              <v:path gradientshapeok="t" o:connecttype="rect"/>
            </v:shapetype>
            <v:shape id="Text Box 1" o:spid="_x0000_s1029" type="#_x0000_t202" alt="RMIT Classification: Trusted" style="position:absolute;left:0;text-align:left;margin-left:0;margin-top:0;width:34.95pt;height:34.9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09AD57E" w14:textId="4EFCEF6E" w:rsidR="003E35BC" w:rsidRPr="001D432F" w:rsidRDefault="003E35BC" w:rsidP="00D66959">
                    <w:pPr>
                      <w:spacing w:after="0"/>
                      <w:rPr>
                        <w:rFonts w:ascii="Calibri" w:eastAsia="Calibri" w:hAnsi="Calibri" w:cs="Calibri"/>
                        <w:color w:val="EEDC00"/>
                      </w:rPr>
                    </w:pPr>
                    <w:r w:rsidRPr="001D432F">
                      <w:rPr>
                        <w:rFonts w:ascii="Calibri" w:eastAsia="Calibri" w:hAnsi="Calibri" w:cs="Calibri"/>
                        <w:color w:val="EEDC00"/>
                      </w:rPr>
                      <w:t>RMIT Classification: Trusted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22900"/>
    <w:multiLevelType w:val="multilevel"/>
    <w:tmpl w:val="1BC4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52A04"/>
    <w:multiLevelType w:val="multilevel"/>
    <w:tmpl w:val="1CAA2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0728FA"/>
    <w:multiLevelType w:val="multilevel"/>
    <w:tmpl w:val="92C2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5E4429"/>
    <w:multiLevelType w:val="multilevel"/>
    <w:tmpl w:val="17E6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F3616A"/>
    <w:multiLevelType w:val="multilevel"/>
    <w:tmpl w:val="C286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01B2A"/>
    <w:multiLevelType w:val="multilevel"/>
    <w:tmpl w:val="AB5A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763E10"/>
    <w:multiLevelType w:val="multilevel"/>
    <w:tmpl w:val="3B1E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30F6D"/>
    <w:multiLevelType w:val="multilevel"/>
    <w:tmpl w:val="E292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70669E"/>
    <w:multiLevelType w:val="multilevel"/>
    <w:tmpl w:val="2B28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206038"/>
    <w:multiLevelType w:val="multilevel"/>
    <w:tmpl w:val="1D14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662D74"/>
    <w:multiLevelType w:val="multilevel"/>
    <w:tmpl w:val="FC94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844C93"/>
    <w:multiLevelType w:val="multilevel"/>
    <w:tmpl w:val="BC40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18125E"/>
    <w:multiLevelType w:val="multilevel"/>
    <w:tmpl w:val="3580DE84"/>
    <w:lvl w:ilvl="0">
      <w:start w:val="1"/>
      <w:numFmt w:val="decimal"/>
      <w:pStyle w:val="Heading1"/>
      <w:lvlText w:val="%1"/>
      <w:lvlJc w:val="left"/>
      <w:pPr>
        <w:ind w:left="432" w:hanging="432"/>
      </w:pPr>
      <w:rPr>
        <w:b/>
        <w:bCs/>
        <w:color w:val="auto"/>
      </w:rPr>
    </w:lvl>
    <w:lvl w:ilvl="1">
      <w:start w:val="1"/>
      <w:numFmt w:val="decimal"/>
      <w:pStyle w:val="Heading2"/>
      <w:lvlText w:val="%1.%2"/>
      <w:lvlJc w:val="left"/>
      <w:pPr>
        <w:ind w:left="576" w:hanging="576"/>
      </w:pPr>
      <w:rPr>
        <w:sz w:val="24"/>
        <w:szCs w:val="24"/>
        <w:specVanish w:val="0"/>
      </w:r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rPr>
        <w:b w:val="0"/>
        <w:bCs w:val="0"/>
        <w:i/>
        <w:iCs/>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0496A4E"/>
    <w:multiLevelType w:val="hybridMultilevel"/>
    <w:tmpl w:val="172EC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B02606"/>
    <w:multiLevelType w:val="multilevel"/>
    <w:tmpl w:val="C1F08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6941100">
    <w:abstractNumId w:val="12"/>
  </w:num>
  <w:num w:numId="2" w16cid:durableId="1152675202">
    <w:abstractNumId w:val="13"/>
  </w:num>
  <w:num w:numId="3" w16cid:durableId="1137644108">
    <w:abstractNumId w:val="8"/>
  </w:num>
  <w:num w:numId="4" w16cid:durableId="231935485">
    <w:abstractNumId w:val="2"/>
  </w:num>
  <w:num w:numId="5" w16cid:durableId="1342275543">
    <w:abstractNumId w:val="9"/>
  </w:num>
  <w:num w:numId="6" w16cid:durableId="685250045">
    <w:abstractNumId w:val="1"/>
  </w:num>
  <w:num w:numId="7" w16cid:durableId="1377239246">
    <w:abstractNumId w:val="4"/>
  </w:num>
  <w:num w:numId="8" w16cid:durableId="454258774">
    <w:abstractNumId w:val="14"/>
  </w:num>
  <w:num w:numId="9" w16cid:durableId="443040354">
    <w:abstractNumId w:val="5"/>
  </w:num>
  <w:num w:numId="10" w16cid:durableId="2054578301">
    <w:abstractNumId w:val="7"/>
  </w:num>
  <w:num w:numId="11" w16cid:durableId="1547991394">
    <w:abstractNumId w:val="11"/>
  </w:num>
  <w:num w:numId="12" w16cid:durableId="334184702">
    <w:abstractNumId w:val="10"/>
  </w:num>
  <w:num w:numId="13" w16cid:durableId="550653361">
    <w:abstractNumId w:val="6"/>
  </w:num>
  <w:num w:numId="14" w16cid:durableId="661353123">
    <w:abstractNumId w:val="0"/>
  </w:num>
  <w:num w:numId="15" w16cid:durableId="32377625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sraawt0aw9azuedz5b5pfszez0twxsdzpz2&quot;&gt;My EndNote Library&lt;record-ids&gt;&lt;item&gt;394&lt;/item&gt;&lt;item&gt;499&lt;/item&gt;&lt;item&gt;699&lt;/item&gt;&lt;item&gt;1070&lt;/item&gt;&lt;item&gt;1231&lt;/item&gt;&lt;item&gt;1270&lt;/item&gt;&lt;item&gt;1274&lt;/item&gt;&lt;item&gt;1276&lt;/item&gt;&lt;item&gt;1294&lt;/item&gt;&lt;item&gt;1295&lt;/item&gt;&lt;item&gt;1345&lt;/item&gt;&lt;item&gt;1346&lt;/item&gt;&lt;item&gt;1347&lt;/item&gt;&lt;item&gt;1348&lt;/item&gt;&lt;item&gt;1349&lt;/item&gt;&lt;item&gt;1350&lt;/item&gt;&lt;item&gt;1351&lt;/item&gt;&lt;item&gt;1353&lt;/item&gt;&lt;item&gt;1354&lt;/item&gt;&lt;item&gt;1355&lt;/item&gt;&lt;item&gt;1356&lt;/item&gt;&lt;item&gt;1357&lt;/item&gt;&lt;item&gt;1360&lt;/item&gt;&lt;item&gt;1361&lt;/item&gt;&lt;item&gt;1362&lt;/item&gt;&lt;item&gt;1364&lt;/item&gt;&lt;item&gt;1369&lt;/item&gt;&lt;item&gt;1370&lt;/item&gt;&lt;item&gt;1371&lt;/item&gt;&lt;item&gt;1372&lt;/item&gt;&lt;item&gt;1374&lt;/item&gt;&lt;item&gt;1377&lt;/item&gt;&lt;item&gt;1379&lt;/item&gt;&lt;item&gt;1380&lt;/item&gt;&lt;item&gt;1381&lt;/item&gt;&lt;item&gt;1382&lt;/item&gt;&lt;item&gt;1384&lt;/item&gt;&lt;item&gt;1385&lt;/item&gt;&lt;item&gt;1386&lt;/item&gt;&lt;item&gt;1387&lt;/item&gt;&lt;item&gt;1388&lt;/item&gt;&lt;item&gt;1389&lt;/item&gt;&lt;item&gt;1394&lt;/item&gt;&lt;item&gt;1395&lt;/item&gt;&lt;item&gt;1396&lt;/item&gt;&lt;item&gt;1397&lt;/item&gt;&lt;item&gt;1398&lt;/item&gt;&lt;item&gt;1401&lt;/item&gt;&lt;item&gt;1402&lt;/item&gt;&lt;item&gt;1403&lt;/item&gt;&lt;item&gt;1409&lt;/item&gt;&lt;item&gt;1410&lt;/item&gt;&lt;item&gt;1411&lt;/item&gt;&lt;item&gt;1412&lt;/item&gt;&lt;item&gt;1415&lt;/item&gt;&lt;item&gt;1416&lt;/item&gt;&lt;item&gt;1417&lt;/item&gt;&lt;item&gt;1418&lt;/item&gt;&lt;item&gt;1419&lt;/item&gt;&lt;item&gt;1420&lt;/item&gt;&lt;item&gt;1421&lt;/item&gt;&lt;item&gt;1422&lt;/item&gt;&lt;item&gt;1423&lt;/item&gt;&lt;item&gt;1424&lt;/item&gt;&lt;item&gt;1425&lt;/item&gt;&lt;item&gt;1426&lt;/item&gt;&lt;item&gt;1427&lt;/item&gt;&lt;item&gt;1428&lt;/item&gt;&lt;item&gt;1429&lt;/item&gt;&lt;item&gt;1430&lt;/item&gt;&lt;item&gt;1431&lt;/item&gt;&lt;item&gt;1432&lt;/item&gt;&lt;item&gt;1433&lt;/item&gt;&lt;item&gt;1434&lt;/item&gt;&lt;item&gt;1435&lt;/item&gt;&lt;item&gt;1436&lt;/item&gt;&lt;item&gt;1437&lt;/item&gt;&lt;item&gt;1438&lt;/item&gt;&lt;item&gt;1441&lt;/item&gt;&lt;item&gt;1442&lt;/item&gt;&lt;item&gt;1443&lt;/item&gt;&lt;item&gt;1444&lt;/item&gt;&lt;item&gt;1445&lt;/item&gt;&lt;item&gt;1446&lt;/item&gt;&lt;item&gt;1449&lt;/item&gt;&lt;item&gt;1451&lt;/item&gt;&lt;item&gt;1456&lt;/item&gt;&lt;item&gt;1457&lt;/item&gt;&lt;item&gt;1459&lt;/item&gt;&lt;item&gt;1460&lt;/item&gt;&lt;item&gt;1461&lt;/item&gt;&lt;item&gt;1462&lt;/item&gt;&lt;item&gt;1463&lt;/item&gt;&lt;item&gt;1464&lt;/item&gt;&lt;item&gt;1465&lt;/item&gt;&lt;item&gt;1466&lt;/item&gt;&lt;item&gt;1467&lt;/item&gt;&lt;item&gt;1468&lt;/item&gt;&lt;item&gt;1469&lt;/item&gt;&lt;item&gt;1470&lt;/item&gt;&lt;item&gt;1471&lt;/item&gt;&lt;item&gt;1472&lt;/item&gt;&lt;/record-ids&gt;&lt;/item&gt;&lt;/Libraries&gt;"/>
  </w:docVars>
  <w:rsids>
    <w:rsidRoot w:val="00E70140"/>
    <w:rsid w:val="00000082"/>
    <w:rsid w:val="000002E3"/>
    <w:rsid w:val="00000431"/>
    <w:rsid w:val="0000044D"/>
    <w:rsid w:val="000007CB"/>
    <w:rsid w:val="000007D3"/>
    <w:rsid w:val="00000AF4"/>
    <w:rsid w:val="00000D77"/>
    <w:rsid w:val="0000128A"/>
    <w:rsid w:val="0000138C"/>
    <w:rsid w:val="000013C4"/>
    <w:rsid w:val="00001987"/>
    <w:rsid w:val="00001C60"/>
    <w:rsid w:val="00001CC6"/>
    <w:rsid w:val="00001CEF"/>
    <w:rsid w:val="00001D67"/>
    <w:rsid w:val="00001D79"/>
    <w:rsid w:val="00001E91"/>
    <w:rsid w:val="00001F10"/>
    <w:rsid w:val="00002092"/>
    <w:rsid w:val="0000252A"/>
    <w:rsid w:val="000025D1"/>
    <w:rsid w:val="00002728"/>
    <w:rsid w:val="00002B8A"/>
    <w:rsid w:val="00002CDC"/>
    <w:rsid w:val="00002F31"/>
    <w:rsid w:val="000030FC"/>
    <w:rsid w:val="0000326F"/>
    <w:rsid w:val="0000378B"/>
    <w:rsid w:val="000039D9"/>
    <w:rsid w:val="00003B4C"/>
    <w:rsid w:val="00003CFD"/>
    <w:rsid w:val="000042EB"/>
    <w:rsid w:val="00004318"/>
    <w:rsid w:val="0000445B"/>
    <w:rsid w:val="0000447F"/>
    <w:rsid w:val="00004614"/>
    <w:rsid w:val="000046D6"/>
    <w:rsid w:val="00004A2C"/>
    <w:rsid w:val="00004BAD"/>
    <w:rsid w:val="00004CEB"/>
    <w:rsid w:val="00005067"/>
    <w:rsid w:val="000052B1"/>
    <w:rsid w:val="0000547C"/>
    <w:rsid w:val="000056B5"/>
    <w:rsid w:val="000056EF"/>
    <w:rsid w:val="00005749"/>
    <w:rsid w:val="000058A9"/>
    <w:rsid w:val="00005956"/>
    <w:rsid w:val="00005AFA"/>
    <w:rsid w:val="00005F1C"/>
    <w:rsid w:val="00005F47"/>
    <w:rsid w:val="00006105"/>
    <w:rsid w:val="000067E9"/>
    <w:rsid w:val="0000687F"/>
    <w:rsid w:val="00006A3B"/>
    <w:rsid w:val="00006A4B"/>
    <w:rsid w:val="00006A92"/>
    <w:rsid w:val="00006CAD"/>
    <w:rsid w:val="00006CCA"/>
    <w:rsid w:val="00006DFF"/>
    <w:rsid w:val="00006E04"/>
    <w:rsid w:val="0000722F"/>
    <w:rsid w:val="0000724E"/>
    <w:rsid w:val="000072BE"/>
    <w:rsid w:val="00007309"/>
    <w:rsid w:val="00007640"/>
    <w:rsid w:val="0000766B"/>
    <w:rsid w:val="00007794"/>
    <w:rsid w:val="0000782F"/>
    <w:rsid w:val="000079D5"/>
    <w:rsid w:val="00007D30"/>
    <w:rsid w:val="00007DC0"/>
    <w:rsid w:val="00007EDB"/>
    <w:rsid w:val="00010267"/>
    <w:rsid w:val="000104F9"/>
    <w:rsid w:val="000106CF"/>
    <w:rsid w:val="000108FA"/>
    <w:rsid w:val="00010915"/>
    <w:rsid w:val="00010BEC"/>
    <w:rsid w:val="00010C13"/>
    <w:rsid w:val="00010D8D"/>
    <w:rsid w:val="0001102D"/>
    <w:rsid w:val="00011057"/>
    <w:rsid w:val="000110C4"/>
    <w:rsid w:val="0001138B"/>
    <w:rsid w:val="0001168D"/>
    <w:rsid w:val="000117C8"/>
    <w:rsid w:val="000117F2"/>
    <w:rsid w:val="00011D50"/>
    <w:rsid w:val="00011F9E"/>
    <w:rsid w:val="000121FE"/>
    <w:rsid w:val="000124FC"/>
    <w:rsid w:val="000126EA"/>
    <w:rsid w:val="00012737"/>
    <w:rsid w:val="00012839"/>
    <w:rsid w:val="00012877"/>
    <w:rsid w:val="00012B9E"/>
    <w:rsid w:val="00013013"/>
    <w:rsid w:val="00013247"/>
    <w:rsid w:val="000133D0"/>
    <w:rsid w:val="0001360E"/>
    <w:rsid w:val="00013AF8"/>
    <w:rsid w:val="00013B1F"/>
    <w:rsid w:val="00013B4E"/>
    <w:rsid w:val="00013B77"/>
    <w:rsid w:val="00013BB9"/>
    <w:rsid w:val="00013E5A"/>
    <w:rsid w:val="00013E6C"/>
    <w:rsid w:val="00013ED1"/>
    <w:rsid w:val="00013F03"/>
    <w:rsid w:val="000140BB"/>
    <w:rsid w:val="0001454A"/>
    <w:rsid w:val="00014613"/>
    <w:rsid w:val="00014926"/>
    <w:rsid w:val="00014B88"/>
    <w:rsid w:val="00014D54"/>
    <w:rsid w:val="00014F31"/>
    <w:rsid w:val="00014FB8"/>
    <w:rsid w:val="000152F7"/>
    <w:rsid w:val="0001547B"/>
    <w:rsid w:val="000154C6"/>
    <w:rsid w:val="00015668"/>
    <w:rsid w:val="00015808"/>
    <w:rsid w:val="000159C0"/>
    <w:rsid w:val="00015CD7"/>
    <w:rsid w:val="00015F75"/>
    <w:rsid w:val="0001611B"/>
    <w:rsid w:val="0001613C"/>
    <w:rsid w:val="000166B3"/>
    <w:rsid w:val="000167F0"/>
    <w:rsid w:val="00016808"/>
    <w:rsid w:val="000169A4"/>
    <w:rsid w:val="00016A17"/>
    <w:rsid w:val="00016CD5"/>
    <w:rsid w:val="00016EF4"/>
    <w:rsid w:val="00017594"/>
    <w:rsid w:val="000177C3"/>
    <w:rsid w:val="000177C7"/>
    <w:rsid w:val="0001789B"/>
    <w:rsid w:val="000178BB"/>
    <w:rsid w:val="00020056"/>
    <w:rsid w:val="000201FB"/>
    <w:rsid w:val="0002020B"/>
    <w:rsid w:val="00020284"/>
    <w:rsid w:val="0002032E"/>
    <w:rsid w:val="00020449"/>
    <w:rsid w:val="00020554"/>
    <w:rsid w:val="000206BF"/>
    <w:rsid w:val="000206C0"/>
    <w:rsid w:val="00020930"/>
    <w:rsid w:val="00020A96"/>
    <w:rsid w:val="00020AF1"/>
    <w:rsid w:val="00020CFE"/>
    <w:rsid w:val="000210CD"/>
    <w:rsid w:val="00021187"/>
    <w:rsid w:val="0002128F"/>
    <w:rsid w:val="00021346"/>
    <w:rsid w:val="0002147E"/>
    <w:rsid w:val="000216F6"/>
    <w:rsid w:val="0002192D"/>
    <w:rsid w:val="000219D4"/>
    <w:rsid w:val="00021AD2"/>
    <w:rsid w:val="00021AE1"/>
    <w:rsid w:val="00021BBE"/>
    <w:rsid w:val="00021C67"/>
    <w:rsid w:val="00021C99"/>
    <w:rsid w:val="00022089"/>
    <w:rsid w:val="0002226E"/>
    <w:rsid w:val="000223D2"/>
    <w:rsid w:val="00022448"/>
    <w:rsid w:val="000224E9"/>
    <w:rsid w:val="00022647"/>
    <w:rsid w:val="00022B52"/>
    <w:rsid w:val="00022D34"/>
    <w:rsid w:val="00022E9A"/>
    <w:rsid w:val="000230D2"/>
    <w:rsid w:val="000230EE"/>
    <w:rsid w:val="00023252"/>
    <w:rsid w:val="000232B4"/>
    <w:rsid w:val="00023691"/>
    <w:rsid w:val="00023CFD"/>
    <w:rsid w:val="00023D25"/>
    <w:rsid w:val="00023DC1"/>
    <w:rsid w:val="00023F8A"/>
    <w:rsid w:val="00024095"/>
    <w:rsid w:val="00024277"/>
    <w:rsid w:val="0002427A"/>
    <w:rsid w:val="000243CA"/>
    <w:rsid w:val="000244E7"/>
    <w:rsid w:val="00024B56"/>
    <w:rsid w:val="00024BC0"/>
    <w:rsid w:val="00024BD6"/>
    <w:rsid w:val="00024C64"/>
    <w:rsid w:val="0002507B"/>
    <w:rsid w:val="00025084"/>
    <w:rsid w:val="000250B7"/>
    <w:rsid w:val="0002530D"/>
    <w:rsid w:val="00025322"/>
    <w:rsid w:val="00025586"/>
    <w:rsid w:val="000255D4"/>
    <w:rsid w:val="00025740"/>
    <w:rsid w:val="000257D5"/>
    <w:rsid w:val="000259F1"/>
    <w:rsid w:val="00025B21"/>
    <w:rsid w:val="00025C09"/>
    <w:rsid w:val="00025E54"/>
    <w:rsid w:val="00025EFE"/>
    <w:rsid w:val="00025F71"/>
    <w:rsid w:val="0002604A"/>
    <w:rsid w:val="00026161"/>
    <w:rsid w:val="000261CC"/>
    <w:rsid w:val="000261F2"/>
    <w:rsid w:val="0002624A"/>
    <w:rsid w:val="0002636A"/>
    <w:rsid w:val="00026515"/>
    <w:rsid w:val="0002651A"/>
    <w:rsid w:val="00026585"/>
    <w:rsid w:val="00026651"/>
    <w:rsid w:val="00026A4F"/>
    <w:rsid w:val="00026AD9"/>
    <w:rsid w:val="00026B0F"/>
    <w:rsid w:val="00026D8B"/>
    <w:rsid w:val="00026D9F"/>
    <w:rsid w:val="00026FE0"/>
    <w:rsid w:val="00027024"/>
    <w:rsid w:val="000271CA"/>
    <w:rsid w:val="000277D9"/>
    <w:rsid w:val="00027820"/>
    <w:rsid w:val="0002782E"/>
    <w:rsid w:val="00027A70"/>
    <w:rsid w:val="00027D98"/>
    <w:rsid w:val="00027D9D"/>
    <w:rsid w:val="00027F87"/>
    <w:rsid w:val="00027F93"/>
    <w:rsid w:val="000300BB"/>
    <w:rsid w:val="000303B4"/>
    <w:rsid w:val="00030561"/>
    <w:rsid w:val="00030683"/>
    <w:rsid w:val="00030804"/>
    <w:rsid w:val="0003082A"/>
    <w:rsid w:val="00030878"/>
    <w:rsid w:val="00030964"/>
    <w:rsid w:val="0003099B"/>
    <w:rsid w:val="00030A66"/>
    <w:rsid w:val="00030B05"/>
    <w:rsid w:val="00030BFA"/>
    <w:rsid w:val="00030D08"/>
    <w:rsid w:val="00031089"/>
    <w:rsid w:val="0003109A"/>
    <w:rsid w:val="00031101"/>
    <w:rsid w:val="00031379"/>
    <w:rsid w:val="000314D2"/>
    <w:rsid w:val="000315B4"/>
    <w:rsid w:val="0003168B"/>
    <w:rsid w:val="000316F5"/>
    <w:rsid w:val="00031755"/>
    <w:rsid w:val="000318D0"/>
    <w:rsid w:val="0003198C"/>
    <w:rsid w:val="00031A8F"/>
    <w:rsid w:val="00031DC5"/>
    <w:rsid w:val="00031F47"/>
    <w:rsid w:val="0003247E"/>
    <w:rsid w:val="000324A8"/>
    <w:rsid w:val="000325D9"/>
    <w:rsid w:val="000326AB"/>
    <w:rsid w:val="000328F7"/>
    <w:rsid w:val="000329EE"/>
    <w:rsid w:val="00032AB4"/>
    <w:rsid w:val="00032BFB"/>
    <w:rsid w:val="00032CC3"/>
    <w:rsid w:val="00032D59"/>
    <w:rsid w:val="00032E3C"/>
    <w:rsid w:val="0003307F"/>
    <w:rsid w:val="00033325"/>
    <w:rsid w:val="00033523"/>
    <w:rsid w:val="00033683"/>
    <w:rsid w:val="00033698"/>
    <w:rsid w:val="00033738"/>
    <w:rsid w:val="00033816"/>
    <w:rsid w:val="00033A1D"/>
    <w:rsid w:val="00033AAC"/>
    <w:rsid w:val="00033DAC"/>
    <w:rsid w:val="00033E17"/>
    <w:rsid w:val="00033E1A"/>
    <w:rsid w:val="00034242"/>
    <w:rsid w:val="000346D8"/>
    <w:rsid w:val="000347F8"/>
    <w:rsid w:val="0003495F"/>
    <w:rsid w:val="00034981"/>
    <w:rsid w:val="00034D37"/>
    <w:rsid w:val="00034DF6"/>
    <w:rsid w:val="00034F7A"/>
    <w:rsid w:val="00035087"/>
    <w:rsid w:val="00035535"/>
    <w:rsid w:val="000357A9"/>
    <w:rsid w:val="000359A8"/>
    <w:rsid w:val="00035BCD"/>
    <w:rsid w:val="00035C56"/>
    <w:rsid w:val="00035D67"/>
    <w:rsid w:val="00035E56"/>
    <w:rsid w:val="00036294"/>
    <w:rsid w:val="0003629A"/>
    <w:rsid w:val="0003631B"/>
    <w:rsid w:val="00036440"/>
    <w:rsid w:val="000364E4"/>
    <w:rsid w:val="00036585"/>
    <w:rsid w:val="0003668E"/>
    <w:rsid w:val="000367BA"/>
    <w:rsid w:val="00036893"/>
    <w:rsid w:val="0003691C"/>
    <w:rsid w:val="000369C4"/>
    <w:rsid w:val="00036A93"/>
    <w:rsid w:val="00036DDB"/>
    <w:rsid w:val="0003718B"/>
    <w:rsid w:val="00037430"/>
    <w:rsid w:val="0003743C"/>
    <w:rsid w:val="00037520"/>
    <w:rsid w:val="00037A91"/>
    <w:rsid w:val="00037AD0"/>
    <w:rsid w:val="00037D6A"/>
    <w:rsid w:val="00037D6E"/>
    <w:rsid w:val="00040075"/>
    <w:rsid w:val="0004021C"/>
    <w:rsid w:val="000402E3"/>
    <w:rsid w:val="00040445"/>
    <w:rsid w:val="000406BA"/>
    <w:rsid w:val="000406DB"/>
    <w:rsid w:val="00040811"/>
    <w:rsid w:val="000409C3"/>
    <w:rsid w:val="00040AB8"/>
    <w:rsid w:val="00040B34"/>
    <w:rsid w:val="00040B47"/>
    <w:rsid w:val="00040BDC"/>
    <w:rsid w:val="00040DA7"/>
    <w:rsid w:val="00040E34"/>
    <w:rsid w:val="000411A4"/>
    <w:rsid w:val="00041771"/>
    <w:rsid w:val="00041952"/>
    <w:rsid w:val="00041A0C"/>
    <w:rsid w:val="00041BCE"/>
    <w:rsid w:val="00041C72"/>
    <w:rsid w:val="00041CE3"/>
    <w:rsid w:val="00041EA6"/>
    <w:rsid w:val="0004201D"/>
    <w:rsid w:val="00042119"/>
    <w:rsid w:val="00042167"/>
    <w:rsid w:val="00042204"/>
    <w:rsid w:val="000423F1"/>
    <w:rsid w:val="00042506"/>
    <w:rsid w:val="0004261A"/>
    <w:rsid w:val="000427A5"/>
    <w:rsid w:val="000427B4"/>
    <w:rsid w:val="000428A0"/>
    <w:rsid w:val="00042A12"/>
    <w:rsid w:val="00042A7E"/>
    <w:rsid w:val="00042E15"/>
    <w:rsid w:val="00042F1A"/>
    <w:rsid w:val="000432F5"/>
    <w:rsid w:val="000433D3"/>
    <w:rsid w:val="00043551"/>
    <w:rsid w:val="0004378C"/>
    <w:rsid w:val="0004389E"/>
    <w:rsid w:val="00043943"/>
    <w:rsid w:val="00043BEF"/>
    <w:rsid w:val="00043EEA"/>
    <w:rsid w:val="0004401D"/>
    <w:rsid w:val="0004446A"/>
    <w:rsid w:val="000444D2"/>
    <w:rsid w:val="00044733"/>
    <w:rsid w:val="00044776"/>
    <w:rsid w:val="000448D5"/>
    <w:rsid w:val="00044B53"/>
    <w:rsid w:val="00044C1B"/>
    <w:rsid w:val="00044DE0"/>
    <w:rsid w:val="00044F0B"/>
    <w:rsid w:val="00044F22"/>
    <w:rsid w:val="00044FF1"/>
    <w:rsid w:val="000450CE"/>
    <w:rsid w:val="00045237"/>
    <w:rsid w:val="000452D1"/>
    <w:rsid w:val="00045530"/>
    <w:rsid w:val="0004567A"/>
    <w:rsid w:val="00045864"/>
    <w:rsid w:val="0004595A"/>
    <w:rsid w:val="00045AC2"/>
    <w:rsid w:val="00045AF9"/>
    <w:rsid w:val="00045C2D"/>
    <w:rsid w:val="00045DA2"/>
    <w:rsid w:val="00045DFF"/>
    <w:rsid w:val="00045F12"/>
    <w:rsid w:val="00045F45"/>
    <w:rsid w:val="00046072"/>
    <w:rsid w:val="0004662A"/>
    <w:rsid w:val="00046709"/>
    <w:rsid w:val="00046713"/>
    <w:rsid w:val="000467AA"/>
    <w:rsid w:val="00046E29"/>
    <w:rsid w:val="00046E5C"/>
    <w:rsid w:val="00046E64"/>
    <w:rsid w:val="000470A4"/>
    <w:rsid w:val="000474D7"/>
    <w:rsid w:val="000475C2"/>
    <w:rsid w:val="0004760F"/>
    <w:rsid w:val="000477BE"/>
    <w:rsid w:val="00047896"/>
    <w:rsid w:val="00047905"/>
    <w:rsid w:val="0004792C"/>
    <w:rsid w:val="00047937"/>
    <w:rsid w:val="000479EE"/>
    <w:rsid w:val="00047A45"/>
    <w:rsid w:val="00047E0E"/>
    <w:rsid w:val="00047F59"/>
    <w:rsid w:val="00047FB3"/>
    <w:rsid w:val="00050060"/>
    <w:rsid w:val="00050123"/>
    <w:rsid w:val="000505B4"/>
    <w:rsid w:val="000505F2"/>
    <w:rsid w:val="0005066B"/>
    <w:rsid w:val="000506A8"/>
    <w:rsid w:val="00050719"/>
    <w:rsid w:val="000508E4"/>
    <w:rsid w:val="000509F2"/>
    <w:rsid w:val="00050ED7"/>
    <w:rsid w:val="00050F3B"/>
    <w:rsid w:val="000515FF"/>
    <w:rsid w:val="0005179F"/>
    <w:rsid w:val="000518A7"/>
    <w:rsid w:val="00051961"/>
    <w:rsid w:val="00051D22"/>
    <w:rsid w:val="00051FAD"/>
    <w:rsid w:val="000521EC"/>
    <w:rsid w:val="0005248B"/>
    <w:rsid w:val="0005265B"/>
    <w:rsid w:val="00052823"/>
    <w:rsid w:val="00052901"/>
    <w:rsid w:val="00052934"/>
    <w:rsid w:val="00052970"/>
    <w:rsid w:val="00052DDC"/>
    <w:rsid w:val="00053032"/>
    <w:rsid w:val="000532C1"/>
    <w:rsid w:val="00053768"/>
    <w:rsid w:val="0005382B"/>
    <w:rsid w:val="00053E2E"/>
    <w:rsid w:val="00053EB5"/>
    <w:rsid w:val="00054411"/>
    <w:rsid w:val="0005443E"/>
    <w:rsid w:val="000544FE"/>
    <w:rsid w:val="000546D5"/>
    <w:rsid w:val="00054741"/>
    <w:rsid w:val="000548F0"/>
    <w:rsid w:val="0005496D"/>
    <w:rsid w:val="00054BB3"/>
    <w:rsid w:val="00055067"/>
    <w:rsid w:val="00055099"/>
    <w:rsid w:val="00055191"/>
    <w:rsid w:val="0005548D"/>
    <w:rsid w:val="00055514"/>
    <w:rsid w:val="000555A9"/>
    <w:rsid w:val="000555B0"/>
    <w:rsid w:val="00055860"/>
    <w:rsid w:val="00055AC2"/>
    <w:rsid w:val="00055AC7"/>
    <w:rsid w:val="00055F37"/>
    <w:rsid w:val="00056155"/>
    <w:rsid w:val="000562C1"/>
    <w:rsid w:val="00056492"/>
    <w:rsid w:val="000565A9"/>
    <w:rsid w:val="00056808"/>
    <w:rsid w:val="00056C52"/>
    <w:rsid w:val="00056DBC"/>
    <w:rsid w:val="00056F60"/>
    <w:rsid w:val="00056F8B"/>
    <w:rsid w:val="00057523"/>
    <w:rsid w:val="00057848"/>
    <w:rsid w:val="00057AD3"/>
    <w:rsid w:val="00057C06"/>
    <w:rsid w:val="00057C3E"/>
    <w:rsid w:val="00057E44"/>
    <w:rsid w:val="00060038"/>
    <w:rsid w:val="0006022E"/>
    <w:rsid w:val="000606CB"/>
    <w:rsid w:val="00060765"/>
    <w:rsid w:val="00060864"/>
    <w:rsid w:val="000608C8"/>
    <w:rsid w:val="000608C9"/>
    <w:rsid w:val="00060A96"/>
    <w:rsid w:val="00060B0E"/>
    <w:rsid w:val="00060B7C"/>
    <w:rsid w:val="00060C0C"/>
    <w:rsid w:val="00060DDF"/>
    <w:rsid w:val="00060FFA"/>
    <w:rsid w:val="0006103E"/>
    <w:rsid w:val="000610EF"/>
    <w:rsid w:val="000614ED"/>
    <w:rsid w:val="000615A2"/>
    <w:rsid w:val="0006160D"/>
    <w:rsid w:val="00061756"/>
    <w:rsid w:val="0006186A"/>
    <w:rsid w:val="000619E6"/>
    <w:rsid w:val="00061A40"/>
    <w:rsid w:val="00061A53"/>
    <w:rsid w:val="00061C22"/>
    <w:rsid w:val="00061C5D"/>
    <w:rsid w:val="00061C7C"/>
    <w:rsid w:val="00061C91"/>
    <w:rsid w:val="00061CB9"/>
    <w:rsid w:val="00061DFE"/>
    <w:rsid w:val="00061FEE"/>
    <w:rsid w:val="0006204D"/>
    <w:rsid w:val="00062079"/>
    <w:rsid w:val="000623D3"/>
    <w:rsid w:val="000623EC"/>
    <w:rsid w:val="000624FC"/>
    <w:rsid w:val="0006253E"/>
    <w:rsid w:val="000625FD"/>
    <w:rsid w:val="000628E6"/>
    <w:rsid w:val="00062A38"/>
    <w:rsid w:val="00062C60"/>
    <w:rsid w:val="00062F8A"/>
    <w:rsid w:val="0006377E"/>
    <w:rsid w:val="000637B8"/>
    <w:rsid w:val="000637CE"/>
    <w:rsid w:val="00063A2B"/>
    <w:rsid w:val="00063BF9"/>
    <w:rsid w:val="00063CB7"/>
    <w:rsid w:val="00063E1C"/>
    <w:rsid w:val="00063E5F"/>
    <w:rsid w:val="00063FB1"/>
    <w:rsid w:val="000640C0"/>
    <w:rsid w:val="00064381"/>
    <w:rsid w:val="0006444D"/>
    <w:rsid w:val="00064759"/>
    <w:rsid w:val="00064AAF"/>
    <w:rsid w:val="00064AC1"/>
    <w:rsid w:val="00064ADE"/>
    <w:rsid w:val="00064B37"/>
    <w:rsid w:val="00064C82"/>
    <w:rsid w:val="00064E23"/>
    <w:rsid w:val="0006504E"/>
    <w:rsid w:val="00065138"/>
    <w:rsid w:val="00065644"/>
    <w:rsid w:val="00065777"/>
    <w:rsid w:val="00065B59"/>
    <w:rsid w:val="00065DC8"/>
    <w:rsid w:val="00065E20"/>
    <w:rsid w:val="00065F5B"/>
    <w:rsid w:val="00066299"/>
    <w:rsid w:val="000662CE"/>
    <w:rsid w:val="000662F9"/>
    <w:rsid w:val="0006633C"/>
    <w:rsid w:val="00066399"/>
    <w:rsid w:val="000663E1"/>
    <w:rsid w:val="00066483"/>
    <w:rsid w:val="000666CD"/>
    <w:rsid w:val="0006691C"/>
    <w:rsid w:val="00066A43"/>
    <w:rsid w:val="00066CC0"/>
    <w:rsid w:val="00066DCD"/>
    <w:rsid w:val="00066FBF"/>
    <w:rsid w:val="00067021"/>
    <w:rsid w:val="000670A8"/>
    <w:rsid w:val="00067294"/>
    <w:rsid w:val="000675AF"/>
    <w:rsid w:val="000675BB"/>
    <w:rsid w:val="0006767D"/>
    <w:rsid w:val="00067843"/>
    <w:rsid w:val="00067879"/>
    <w:rsid w:val="000679D6"/>
    <w:rsid w:val="00067A82"/>
    <w:rsid w:val="00067DD3"/>
    <w:rsid w:val="00067E8C"/>
    <w:rsid w:val="00067E91"/>
    <w:rsid w:val="00067F82"/>
    <w:rsid w:val="00070371"/>
    <w:rsid w:val="0007038F"/>
    <w:rsid w:val="00070474"/>
    <w:rsid w:val="00070483"/>
    <w:rsid w:val="000705A7"/>
    <w:rsid w:val="000705EC"/>
    <w:rsid w:val="0007074F"/>
    <w:rsid w:val="00070B36"/>
    <w:rsid w:val="00070B4E"/>
    <w:rsid w:val="00070B97"/>
    <w:rsid w:val="00070CD9"/>
    <w:rsid w:val="00070CEB"/>
    <w:rsid w:val="00070F75"/>
    <w:rsid w:val="00070F96"/>
    <w:rsid w:val="0007134E"/>
    <w:rsid w:val="0007144A"/>
    <w:rsid w:val="000717E1"/>
    <w:rsid w:val="0007180E"/>
    <w:rsid w:val="00071852"/>
    <w:rsid w:val="00071911"/>
    <w:rsid w:val="00071B99"/>
    <w:rsid w:val="00071CD9"/>
    <w:rsid w:val="00071D55"/>
    <w:rsid w:val="00071E10"/>
    <w:rsid w:val="00071E12"/>
    <w:rsid w:val="00072041"/>
    <w:rsid w:val="000722B9"/>
    <w:rsid w:val="000722CB"/>
    <w:rsid w:val="000723D8"/>
    <w:rsid w:val="000723E9"/>
    <w:rsid w:val="00072473"/>
    <w:rsid w:val="000727BA"/>
    <w:rsid w:val="00072888"/>
    <w:rsid w:val="000728C7"/>
    <w:rsid w:val="000728F5"/>
    <w:rsid w:val="00072B04"/>
    <w:rsid w:val="00072B9C"/>
    <w:rsid w:val="00072DCB"/>
    <w:rsid w:val="00072DF7"/>
    <w:rsid w:val="00072F15"/>
    <w:rsid w:val="0007301B"/>
    <w:rsid w:val="00073147"/>
    <w:rsid w:val="0007319F"/>
    <w:rsid w:val="00073848"/>
    <w:rsid w:val="00073A0D"/>
    <w:rsid w:val="00073CC1"/>
    <w:rsid w:val="00073CEF"/>
    <w:rsid w:val="00073F60"/>
    <w:rsid w:val="00073FBC"/>
    <w:rsid w:val="000742F4"/>
    <w:rsid w:val="000743A4"/>
    <w:rsid w:val="00074577"/>
    <w:rsid w:val="00074631"/>
    <w:rsid w:val="000748EA"/>
    <w:rsid w:val="00074ACC"/>
    <w:rsid w:val="000752A8"/>
    <w:rsid w:val="000752DE"/>
    <w:rsid w:val="000755E4"/>
    <w:rsid w:val="00075655"/>
    <w:rsid w:val="000757DC"/>
    <w:rsid w:val="000758C6"/>
    <w:rsid w:val="000759D8"/>
    <w:rsid w:val="00075BE2"/>
    <w:rsid w:val="00075C11"/>
    <w:rsid w:val="00075FA1"/>
    <w:rsid w:val="000760D4"/>
    <w:rsid w:val="00076106"/>
    <w:rsid w:val="000763DB"/>
    <w:rsid w:val="00076437"/>
    <w:rsid w:val="0007644B"/>
    <w:rsid w:val="000764B5"/>
    <w:rsid w:val="000766F1"/>
    <w:rsid w:val="00076A41"/>
    <w:rsid w:val="00076E18"/>
    <w:rsid w:val="00076F90"/>
    <w:rsid w:val="00076FC7"/>
    <w:rsid w:val="00077043"/>
    <w:rsid w:val="00077110"/>
    <w:rsid w:val="000771A2"/>
    <w:rsid w:val="000772A0"/>
    <w:rsid w:val="0007733B"/>
    <w:rsid w:val="0007743C"/>
    <w:rsid w:val="0007752D"/>
    <w:rsid w:val="0007762A"/>
    <w:rsid w:val="00077B5B"/>
    <w:rsid w:val="00077C39"/>
    <w:rsid w:val="00077E2E"/>
    <w:rsid w:val="00077FBE"/>
    <w:rsid w:val="0008000E"/>
    <w:rsid w:val="00080031"/>
    <w:rsid w:val="0008005C"/>
    <w:rsid w:val="00080099"/>
    <w:rsid w:val="00080273"/>
    <w:rsid w:val="00080365"/>
    <w:rsid w:val="00080532"/>
    <w:rsid w:val="0008085D"/>
    <w:rsid w:val="00080E46"/>
    <w:rsid w:val="00080ED0"/>
    <w:rsid w:val="00080FBD"/>
    <w:rsid w:val="00081018"/>
    <w:rsid w:val="00081162"/>
    <w:rsid w:val="000811BB"/>
    <w:rsid w:val="000811C9"/>
    <w:rsid w:val="0008123B"/>
    <w:rsid w:val="00081267"/>
    <w:rsid w:val="0008132F"/>
    <w:rsid w:val="00081384"/>
    <w:rsid w:val="000813CD"/>
    <w:rsid w:val="000816AD"/>
    <w:rsid w:val="000817F0"/>
    <w:rsid w:val="000819DB"/>
    <w:rsid w:val="00081A04"/>
    <w:rsid w:val="00081B5A"/>
    <w:rsid w:val="00081C2A"/>
    <w:rsid w:val="00081DC4"/>
    <w:rsid w:val="00081F25"/>
    <w:rsid w:val="00081F6A"/>
    <w:rsid w:val="000820AB"/>
    <w:rsid w:val="0008217A"/>
    <w:rsid w:val="000821AA"/>
    <w:rsid w:val="0008241D"/>
    <w:rsid w:val="000824A0"/>
    <w:rsid w:val="00082501"/>
    <w:rsid w:val="0008251F"/>
    <w:rsid w:val="000825F7"/>
    <w:rsid w:val="00082716"/>
    <w:rsid w:val="000827BA"/>
    <w:rsid w:val="000827D6"/>
    <w:rsid w:val="00082A6C"/>
    <w:rsid w:val="00082B6E"/>
    <w:rsid w:val="00082C46"/>
    <w:rsid w:val="00082D48"/>
    <w:rsid w:val="00082E35"/>
    <w:rsid w:val="00083010"/>
    <w:rsid w:val="000830B7"/>
    <w:rsid w:val="0008326B"/>
    <w:rsid w:val="00083385"/>
    <w:rsid w:val="000834A1"/>
    <w:rsid w:val="0008370C"/>
    <w:rsid w:val="00083A21"/>
    <w:rsid w:val="00083B60"/>
    <w:rsid w:val="00083CEC"/>
    <w:rsid w:val="00083EBD"/>
    <w:rsid w:val="00083F2B"/>
    <w:rsid w:val="0008400C"/>
    <w:rsid w:val="000840EE"/>
    <w:rsid w:val="000841C1"/>
    <w:rsid w:val="0008426A"/>
    <w:rsid w:val="00084283"/>
    <w:rsid w:val="000845AC"/>
    <w:rsid w:val="00084648"/>
    <w:rsid w:val="00084A75"/>
    <w:rsid w:val="00084A84"/>
    <w:rsid w:val="0008516A"/>
    <w:rsid w:val="000851DF"/>
    <w:rsid w:val="00085294"/>
    <w:rsid w:val="00085307"/>
    <w:rsid w:val="000857AD"/>
    <w:rsid w:val="0008584E"/>
    <w:rsid w:val="00085921"/>
    <w:rsid w:val="00085960"/>
    <w:rsid w:val="00085CF4"/>
    <w:rsid w:val="00085ECF"/>
    <w:rsid w:val="0008604B"/>
    <w:rsid w:val="000864B9"/>
    <w:rsid w:val="0008656F"/>
    <w:rsid w:val="000865A3"/>
    <w:rsid w:val="000866F0"/>
    <w:rsid w:val="0008683C"/>
    <w:rsid w:val="00086892"/>
    <w:rsid w:val="00086A29"/>
    <w:rsid w:val="00086D6C"/>
    <w:rsid w:val="00086DA6"/>
    <w:rsid w:val="00087021"/>
    <w:rsid w:val="000875D4"/>
    <w:rsid w:val="00087692"/>
    <w:rsid w:val="000878BF"/>
    <w:rsid w:val="00087AA0"/>
    <w:rsid w:val="00087AAB"/>
    <w:rsid w:val="00087ADE"/>
    <w:rsid w:val="00087B7C"/>
    <w:rsid w:val="00087F9D"/>
    <w:rsid w:val="00090123"/>
    <w:rsid w:val="00090337"/>
    <w:rsid w:val="0009044A"/>
    <w:rsid w:val="0009056E"/>
    <w:rsid w:val="00090599"/>
    <w:rsid w:val="00090673"/>
    <w:rsid w:val="000906F3"/>
    <w:rsid w:val="000907E4"/>
    <w:rsid w:val="000907FD"/>
    <w:rsid w:val="00090890"/>
    <w:rsid w:val="00090A1E"/>
    <w:rsid w:val="00090A6F"/>
    <w:rsid w:val="00090BFF"/>
    <w:rsid w:val="00090CB6"/>
    <w:rsid w:val="00090F98"/>
    <w:rsid w:val="00090FEC"/>
    <w:rsid w:val="0009107C"/>
    <w:rsid w:val="000910C8"/>
    <w:rsid w:val="00091158"/>
    <w:rsid w:val="00091176"/>
    <w:rsid w:val="000911CE"/>
    <w:rsid w:val="000911E2"/>
    <w:rsid w:val="000912CB"/>
    <w:rsid w:val="000913A2"/>
    <w:rsid w:val="00091423"/>
    <w:rsid w:val="00091690"/>
    <w:rsid w:val="000917BD"/>
    <w:rsid w:val="0009187C"/>
    <w:rsid w:val="0009189D"/>
    <w:rsid w:val="00091C11"/>
    <w:rsid w:val="00091D64"/>
    <w:rsid w:val="00091E77"/>
    <w:rsid w:val="00091EE7"/>
    <w:rsid w:val="00092090"/>
    <w:rsid w:val="00092386"/>
    <w:rsid w:val="000924A2"/>
    <w:rsid w:val="00092529"/>
    <w:rsid w:val="0009271F"/>
    <w:rsid w:val="0009282C"/>
    <w:rsid w:val="00092925"/>
    <w:rsid w:val="00092A05"/>
    <w:rsid w:val="00092D51"/>
    <w:rsid w:val="00092E45"/>
    <w:rsid w:val="00092EBD"/>
    <w:rsid w:val="00092EDA"/>
    <w:rsid w:val="00093198"/>
    <w:rsid w:val="0009350A"/>
    <w:rsid w:val="00093AA3"/>
    <w:rsid w:val="00093AF3"/>
    <w:rsid w:val="00093B9F"/>
    <w:rsid w:val="00093C64"/>
    <w:rsid w:val="00093E63"/>
    <w:rsid w:val="00093EA0"/>
    <w:rsid w:val="00093EE9"/>
    <w:rsid w:val="000940D3"/>
    <w:rsid w:val="000942B2"/>
    <w:rsid w:val="00094533"/>
    <w:rsid w:val="0009455C"/>
    <w:rsid w:val="00094C4E"/>
    <w:rsid w:val="00094C53"/>
    <w:rsid w:val="00094D62"/>
    <w:rsid w:val="00094DDE"/>
    <w:rsid w:val="00094DEF"/>
    <w:rsid w:val="00094EDE"/>
    <w:rsid w:val="00094F09"/>
    <w:rsid w:val="00094FE3"/>
    <w:rsid w:val="00095177"/>
    <w:rsid w:val="00095275"/>
    <w:rsid w:val="00095282"/>
    <w:rsid w:val="000953BD"/>
    <w:rsid w:val="000954E5"/>
    <w:rsid w:val="0009553E"/>
    <w:rsid w:val="00095608"/>
    <w:rsid w:val="000956F6"/>
    <w:rsid w:val="0009575E"/>
    <w:rsid w:val="00095812"/>
    <w:rsid w:val="00095895"/>
    <w:rsid w:val="000958C8"/>
    <w:rsid w:val="0009593E"/>
    <w:rsid w:val="000959C6"/>
    <w:rsid w:val="00095DE4"/>
    <w:rsid w:val="00095EBC"/>
    <w:rsid w:val="000962BF"/>
    <w:rsid w:val="000962D4"/>
    <w:rsid w:val="00096330"/>
    <w:rsid w:val="00096441"/>
    <w:rsid w:val="000966FB"/>
    <w:rsid w:val="000967ED"/>
    <w:rsid w:val="000968A0"/>
    <w:rsid w:val="00096AB1"/>
    <w:rsid w:val="00096CD7"/>
    <w:rsid w:val="00096D31"/>
    <w:rsid w:val="0009700E"/>
    <w:rsid w:val="000972FE"/>
    <w:rsid w:val="0009732C"/>
    <w:rsid w:val="000973A1"/>
    <w:rsid w:val="000974C0"/>
    <w:rsid w:val="000974EC"/>
    <w:rsid w:val="00097C63"/>
    <w:rsid w:val="00097E70"/>
    <w:rsid w:val="00097EB5"/>
    <w:rsid w:val="00097EF2"/>
    <w:rsid w:val="00097EF8"/>
    <w:rsid w:val="00097FA4"/>
    <w:rsid w:val="000A005F"/>
    <w:rsid w:val="000A00E7"/>
    <w:rsid w:val="000A0126"/>
    <w:rsid w:val="000A013D"/>
    <w:rsid w:val="000A0291"/>
    <w:rsid w:val="000A0805"/>
    <w:rsid w:val="000A0B6B"/>
    <w:rsid w:val="000A0B6D"/>
    <w:rsid w:val="000A0C5D"/>
    <w:rsid w:val="000A12B5"/>
    <w:rsid w:val="000A1300"/>
    <w:rsid w:val="000A1308"/>
    <w:rsid w:val="000A13AF"/>
    <w:rsid w:val="000A1486"/>
    <w:rsid w:val="000A1667"/>
    <w:rsid w:val="000A16AB"/>
    <w:rsid w:val="000A17F0"/>
    <w:rsid w:val="000A1824"/>
    <w:rsid w:val="000A1BB7"/>
    <w:rsid w:val="000A1BBE"/>
    <w:rsid w:val="000A1E76"/>
    <w:rsid w:val="000A1F1E"/>
    <w:rsid w:val="000A2063"/>
    <w:rsid w:val="000A2080"/>
    <w:rsid w:val="000A2082"/>
    <w:rsid w:val="000A24ED"/>
    <w:rsid w:val="000A24F0"/>
    <w:rsid w:val="000A2502"/>
    <w:rsid w:val="000A275C"/>
    <w:rsid w:val="000A2A37"/>
    <w:rsid w:val="000A2B0E"/>
    <w:rsid w:val="000A2C08"/>
    <w:rsid w:val="000A314F"/>
    <w:rsid w:val="000A3408"/>
    <w:rsid w:val="000A3434"/>
    <w:rsid w:val="000A3480"/>
    <w:rsid w:val="000A36C8"/>
    <w:rsid w:val="000A38BF"/>
    <w:rsid w:val="000A3AAC"/>
    <w:rsid w:val="000A3C18"/>
    <w:rsid w:val="000A3C9C"/>
    <w:rsid w:val="000A3E71"/>
    <w:rsid w:val="000A3E8D"/>
    <w:rsid w:val="000A40E1"/>
    <w:rsid w:val="000A4354"/>
    <w:rsid w:val="000A4540"/>
    <w:rsid w:val="000A45D7"/>
    <w:rsid w:val="000A47F3"/>
    <w:rsid w:val="000A4885"/>
    <w:rsid w:val="000A488B"/>
    <w:rsid w:val="000A4918"/>
    <w:rsid w:val="000A4AF2"/>
    <w:rsid w:val="000A4B41"/>
    <w:rsid w:val="000A4C61"/>
    <w:rsid w:val="000A4D4A"/>
    <w:rsid w:val="000A4D62"/>
    <w:rsid w:val="000A4D67"/>
    <w:rsid w:val="000A4DB3"/>
    <w:rsid w:val="000A50CC"/>
    <w:rsid w:val="000A516C"/>
    <w:rsid w:val="000A5232"/>
    <w:rsid w:val="000A545C"/>
    <w:rsid w:val="000A54E0"/>
    <w:rsid w:val="000A555A"/>
    <w:rsid w:val="000A5703"/>
    <w:rsid w:val="000A576C"/>
    <w:rsid w:val="000A5A5B"/>
    <w:rsid w:val="000A5B22"/>
    <w:rsid w:val="000A5E9F"/>
    <w:rsid w:val="000A5EEE"/>
    <w:rsid w:val="000A60B2"/>
    <w:rsid w:val="000A61AE"/>
    <w:rsid w:val="000A6438"/>
    <w:rsid w:val="000A643E"/>
    <w:rsid w:val="000A67FE"/>
    <w:rsid w:val="000A69DF"/>
    <w:rsid w:val="000A6AB7"/>
    <w:rsid w:val="000A6EA7"/>
    <w:rsid w:val="000A6FBE"/>
    <w:rsid w:val="000A71B2"/>
    <w:rsid w:val="000A73C7"/>
    <w:rsid w:val="000A7638"/>
    <w:rsid w:val="000A76DC"/>
    <w:rsid w:val="000A77F3"/>
    <w:rsid w:val="000A79A0"/>
    <w:rsid w:val="000A79A8"/>
    <w:rsid w:val="000A79AF"/>
    <w:rsid w:val="000A7AAF"/>
    <w:rsid w:val="000A7C1F"/>
    <w:rsid w:val="000A7C6A"/>
    <w:rsid w:val="000A7DEB"/>
    <w:rsid w:val="000B0091"/>
    <w:rsid w:val="000B0151"/>
    <w:rsid w:val="000B0164"/>
    <w:rsid w:val="000B0298"/>
    <w:rsid w:val="000B061A"/>
    <w:rsid w:val="000B094B"/>
    <w:rsid w:val="000B09D4"/>
    <w:rsid w:val="000B0A78"/>
    <w:rsid w:val="000B0AFD"/>
    <w:rsid w:val="000B0C18"/>
    <w:rsid w:val="000B0D71"/>
    <w:rsid w:val="000B0DFF"/>
    <w:rsid w:val="000B0FA6"/>
    <w:rsid w:val="000B11B2"/>
    <w:rsid w:val="000B1259"/>
    <w:rsid w:val="000B1442"/>
    <w:rsid w:val="000B14D6"/>
    <w:rsid w:val="000B1507"/>
    <w:rsid w:val="000B1649"/>
    <w:rsid w:val="000B1825"/>
    <w:rsid w:val="000B183F"/>
    <w:rsid w:val="000B192D"/>
    <w:rsid w:val="000B1C13"/>
    <w:rsid w:val="000B1C6C"/>
    <w:rsid w:val="000B1E46"/>
    <w:rsid w:val="000B2528"/>
    <w:rsid w:val="000B2677"/>
    <w:rsid w:val="000B26AB"/>
    <w:rsid w:val="000B26BD"/>
    <w:rsid w:val="000B26E5"/>
    <w:rsid w:val="000B29DD"/>
    <w:rsid w:val="000B2AE1"/>
    <w:rsid w:val="000B2D54"/>
    <w:rsid w:val="000B2D87"/>
    <w:rsid w:val="000B2D97"/>
    <w:rsid w:val="000B2E0E"/>
    <w:rsid w:val="000B2E23"/>
    <w:rsid w:val="000B2E6F"/>
    <w:rsid w:val="000B2F13"/>
    <w:rsid w:val="000B33AC"/>
    <w:rsid w:val="000B373C"/>
    <w:rsid w:val="000B388D"/>
    <w:rsid w:val="000B3F22"/>
    <w:rsid w:val="000B4149"/>
    <w:rsid w:val="000B41C0"/>
    <w:rsid w:val="000B479D"/>
    <w:rsid w:val="000B484E"/>
    <w:rsid w:val="000B491B"/>
    <w:rsid w:val="000B4993"/>
    <w:rsid w:val="000B4AFB"/>
    <w:rsid w:val="000B4E60"/>
    <w:rsid w:val="000B4F08"/>
    <w:rsid w:val="000B4F6E"/>
    <w:rsid w:val="000B5167"/>
    <w:rsid w:val="000B521E"/>
    <w:rsid w:val="000B5796"/>
    <w:rsid w:val="000B58C5"/>
    <w:rsid w:val="000B59E1"/>
    <w:rsid w:val="000B5AF1"/>
    <w:rsid w:val="000B5B00"/>
    <w:rsid w:val="000B5D45"/>
    <w:rsid w:val="000B5D85"/>
    <w:rsid w:val="000B5E54"/>
    <w:rsid w:val="000B5F06"/>
    <w:rsid w:val="000B5F7A"/>
    <w:rsid w:val="000B5FBA"/>
    <w:rsid w:val="000B667C"/>
    <w:rsid w:val="000B67A9"/>
    <w:rsid w:val="000B68A3"/>
    <w:rsid w:val="000B6A7A"/>
    <w:rsid w:val="000B6C03"/>
    <w:rsid w:val="000B6F92"/>
    <w:rsid w:val="000B70E3"/>
    <w:rsid w:val="000B70E5"/>
    <w:rsid w:val="000B711D"/>
    <w:rsid w:val="000B7579"/>
    <w:rsid w:val="000B7A81"/>
    <w:rsid w:val="000B7B9C"/>
    <w:rsid w:val="000B7C54"/>
    <w:rsid w:val="000B7C7F"/>
    <w:rsid w:val="000B7DD0"/>
    <w:rsid w:val="000B7DDE"/>
    <w:rsid w:val="000B7F0E"/>
    <w:rsid w:val="000C0046"/>
    <w:rsid w:val="000C005A"/>
    <w:rsid w:val="000C01B8"/>
    <w:rsid w:val="000C0237"/>
    <w:rsid w:val="000C0342"/>
    <w:rsid w:val="000C05D8"/>
    <w:rsid w:val="000C087D"/>
    <w:rsid w:val="000C08DC"/>
    <w:rsid w:val="000C0A21"/>
    <w:rsid w:val="000C0AAD"/>
    <w:rsid w:val="000C11A8"/>
    <w:rsid w:val="000C1417"/>
    <w:rsid w:val="000C15E8"/>
    <w:rsid w:val="000C1699"/>
    <w:rsid w:val="000C1B97"/>
    <w:rsid w:val="000C1F0E"/>
    <w:rsid w:val="000C224A"/>
    <w:rsid w:val="000C2329"/>
    <w:rsid w:val="000C2330"/>
    <w:rsid w:val="000C2332"/>
    <w:rsid w:val="000C23A8"/>
    <w:rsid w:val="000C2586"/>
    <w:rsid w:val="000C29E5"/>
    <w:rsid w:val="000C2B0F"/>
    <w:rsid w:val="000C2B97"/>
    <w:rsid w:val="000C2E4E"/>
    <w:rsid w:val="000C2EEE"/>
    <w:rsid w:val="000C2F70"/>
    <w:rsid w:val="000C2FB2"/>
    <w:rsid w:val="000C331A"/>
    <w:rsid w:val="000C3364"/>
    <w:rsid w:val="000C342C"/>
    <w:rsid w:val="000C352C"/>
    <w:rsid w:val="000C3829"/>
    <w:rsid w:val="000C3837"/>
    <w:rsid w:val="000C3B23"/>
    <w:rsid w:val="000C3D3B"/>
    <w:rsid w:val="000C3E3B"/>
    <w:rsid w:val="000C3F5D"/>
    <w:rsid w:val="000C420B"/>
    <w:rsid w:val="000C468B"/>
    <w:rsid w:val="000C46A9"/>
    <w:rsid w:val="000C49C3"/>
    <w:rsid w:val="000C49C4"/>
    <w:rsid w:val="000C4A3A"/>
    <w:rsid w:val="000C4A8C"/>
    <w:rsid w:val="000C4BB0"/>
    <w:rsid w:val="000C4CC1"/>
    <w:rsid w:val="000C4E47"/>
    <w:rsid w:val="000C4E50"/>
    <w:rsid w:val="000C4FD2"/>
    <w:rsid w:val="000C4FDC"/>
    <w:rsid w:val="000C542A"/>
    <w:rsid w:val="000C54F5"/>
    <w:rsid w:val="000C5626"/>
    <w:rsid w:val="000C5A4C"/>
    <w:rsid w:val="000C5AC5"/>
    <w:rsid w:val="000C5C99"/>
    <w:rsid w:val="000C6296"/>
    <w:rsid w:val="000C65D0"/>
    <w:rsid w:val="000C6A1C"/>
    <w:rsid w:val="000C6DAD"/>
    <w:rsid w:val="000C6E19"/>
    <w:rsid w:val="000C6E29"/>
    <w:rsid w:val="000C6FF1"/>
    <w:rsid w:val="000C72BD"/>
    <w:rsid w:val="000C7331"/>
    <w:rsid w:val="000C7475"/>
    <w:rsid w:val="000C786D"/>
    <w:rsid w:val="000C792B"/>
    <w:rsid w:val="000C7BBA"/>
    <w:rsid w:val="000C7C84"/>
    <w:rsid w:val="000C7DE7"/>
    <w:rsid w:val="000C7E05"/>
    <w:rsid w:val="000C7E3F"/>
    <w:rsid w:val="000C7F00"/>
    <w:rsid w:val="000C7F42"/>
    <w:rsid w:val="000D0046"/>
    <w:rsid w:val="000D0095"/>
    <w:rsid w:val="000D00A5"/>
    <w:rsid w:val="000D030B"/>
    <w:rsid w:val="000D033F"/>
    <w:rsid w:val="000D0537"/>
    <w:rsid w:val="000D0541"/>
    <w:rsid w:val="000D0596"/>
    <w:rsid w:val="000D05BF"/>
    <w:rsid w:val="000D0836"/>
    <w:rsid w:val="000D0BC7"/>
    <w:rsid w:val="000D0C87"/>
    <w:rsid w:val="000D0F0A"/>
    <w:rsid w:val="000D1123"/>
    <w:rsid w:val="000D123E"/>
    <w:rsid w:val="000D15EC"/>
    <w:rsid w:val="000D168D"/>
    <w:rsid w:val="000D1ACB"/>
    <w:rsid w:val="000D1ACD"/>
    <w:rsid w:val="000D1C32"/>
    <w:rsid w:val="000D1D14"/>
    <w:rsid w:val="000D1D9D"/>
    <w:rsid w:val="000D1F06"/>
    <w:rsid w:val="000D2079"/>
    <w:rsid w:val="000D24AA"/>
    <w:rsid w:val="000D24DE"/>
    <w:rsid w:val="000D2711"/>
    <w:rsid w:val="000D2723"/>
    <w:rsid w:val="000D2734"/>
    <w:rsid w:val="000D29FB"/>
    <w:rsid w:val="000D2D91"/>
    <w:rsid w:val="000D2F73"/>
    <w:rsid w:val="000D31A4"/>
    <w:rsid w:val="000D328C"/>
    <w:rsid w:val="000D3491"/>
    <w:rsid w:val="000D35EC"/>
    <w:rsid w:val="000D3760"/>
    <w:rsid w:val="000D3B21"/>
    <w:rsid w:val="000D3C5C"/>
    <w:rsid w:val="000D3CAD"/>
    <w:rsid w:val="000D3DCA"/>
    <w:rsid w:val="000D3EF7"/>
    <w:rsid w:val="000D3FBD"/>
    <w:rsid w:val="000D4029"/>
    <w:rsid w:val="000D421B"/>
    <w:rsid w:val="000D4368"/>
    <w:rsid w:val="000D4496"/>
    <w:rsid w:val="000D457C"/>
    <w:rsid w:val="000D480A"/>
    <w:rsid w:val="000D4871"/>
    <w:rsid w:val="000D4886"/>
    <w:rsid w:val="000D4948"/>
    <w:rsid w:val="000D4D62"/>
    <w:rsid w:val="000D4E86"/>
    <w:rsid w:val="000D514B"/>
    <w:rsid w:val="000D5357"/>
    <w:rsid w:val="000D54EA"/>
    <w:rsid w:val="000D5585"/>
    <w:rsid w:val="000D5642"/>
    <w:rsid w:val="000D5B15"/>
    <w:rsid w:val="000D5C93"/>
    <w:rsid w:val="000D5D9E"/>
    <w:rsid w:val="000D5E69"/>
    <w:rsid w:val="000D5FFF"/>
    <w:rsid w:val="000D626C"/>
    <w:rsid w:val="000D6377"/>
    <w:rsid w:val="000D6A77"/>
    <w:rsid w:val="000D6CA2"/>
    <w:rsid w:val="000D6EB7"/>
    <w:rsid w:val="000D6EFF"/>
    <w:rsid w:val="000D6F72"/>
    <w:rsid w:val="000D6F88"/>
    <w:rsid w:val="000D7316"/>
    <w:rsid w:val="000D7618"/>
    <w:rsid w:val="000D762D"/>
    <w:rsid w:val="000D76A4"/>
    <w:rsid w:val="000D7811"/>
    <w:rsid w:val="000D78BC"/>
    <w:rsid w:val="000D7DC4"/>
    <w:rsid w:val="000D7ECF"/>
    <w:rsid w:val="000E004C"/>
    <w:rsid w:val="000E006C"/>
    <w:rsid w:val="000E0167"/>
    <w:rsid w:val="000E020C"/>
    <w:rsid w:val="000E038A"/>
    <w:rsid w:val="000E0588"/>
    <w:rsid w:val="000E0789"/>
    <w:rsid w:val="000E090C"/>
    <w:rsid w:val="000E09FF"/>
    <w:rsid w:val="000E0BB4"/>
    <w:rsid w:val="000E0E89"/>
    <w:rsid w:val="000E1095"/>
    <w:rsid w:val="000E124B"/>
    <w:rsid w:val="000E1667"/>
    <w:rsid w:val="000E1732"/>
    <w:rsid w:val="000E176F"/>
    <w:rsid w:val="000E1807"/>
    <w:rsid w:val="000E1F7A"/>
    <w:rsid w:val="000E203D"/>
    <w:rsid w:val="000E218E"/>
    <w:rsid w:val="000E22A3"/>
    <w:rsid w:val="000E23CE"/>
    <w:rsid w:val="000E24E7"/>
    <w:rsid w:val="000E26A1"/>
    <w:rsid w:val="000E2C23"/>
    <w:rsid w:val="000E2F06"/>
    <w:rsid w:val="000E3527"/>
    <w:rsid w:val="000E356A"/>
    <w:rsid w:val="000E39C7"/>
    <w:rsid w:val="000E3C80"/>
    <w:rsid w:val="000E3F0C"/>
    <w:rsid w:val="000E410A"/>
    <w:rsid w:val="000E4169"/>
    <w:rsid w:val="000E4257"/>
    <w:rsid w:val="000E4370"/>
    <w:rsid w:val="000E4453"/>
    <w:rsid w:val="000E4876"/>
    <w:rsid w:val="000E4902"/>
    <w:rsid w:val="000E4C6F"/>
    <w:rsid w:val="000E4D43"/>
    <w:rsid w:val="000E4DA9"/>
    <w:rsid w:val="000E50D6"/>
    <w:rsid w:val="000E5156"/>
    <w:rsid w:val="000E5259"/>
    <w:rsid w:val="000E5499"/>
    <w:rsid w:val="000E58F8"/>
    <w:rsid w:val="000E5907"/>
    <w:rsid w:val="000E5A4B"/>
    <w:rsid w:val="000E5B71"/>
    <w:rsid w:val="000E5C2F"/>
    <w:rsid w:val="000E5C6D"/>
    <w:rsid w:val="000E5ED6"/>
    <w:rsid w:val="000E5F0A"/>
    <w:rsid w:val="000E5F80"/>
    <w:rsid w:val="000E5FA1"/>
    <w:rsid w:val="000E5FFD"/>
    <w:rsid w:val="000E6041"/>
    <w:rsid w:val="000E60B3"/>
    <w:rsid w:val="000E60D9"/>
    <w:rsid w:val="000E6118"/>
    <w:rsid w:val="000E6180"/>
    <w:rsid w:val="000E622D"/>
    <w:rsid w:val="000E630E"/>
    <w:rsid w:val="000E6780"/>
    <w:rsid w:val="000E67F0"/>
    <w:rsid w:val="000E6934"/>
    <w:rsid w:val="000E6A61"/>
    <w:rsid w:val="000E6D62"/>
    <w:rsid w:val="000E6D63"/>
    <w:rsid w:val="000E6D88"/>
    <w:rsid w:val="000E7102"/>
    <w:rsid w:val="000E765F"/>
    <w:rsid w:val="000E770C"/>
    <w:rsid w:val="000E78EB"/>
    <w:rsid w:val="000E79B7"/>
    <w:rsid w:val="000E7CAE"/>
    <w:rsid w:val="000E7CEC"/>
    <w:rsid w:val="000E7E8F"/>
    <w:rsid w:val="000E7F88"/>
    <w:rsid w:val="000F0147"/>
    <w:rsid w:val="000F01A0"/>
    <w:rsid w:val="000F0203"/>
    <w:rsid w:val="000F0463"/>
    <w:rsid w:val="000F0560"/>
    <w:rsid w:val="000F05B4"/>
    <w:rsid w:val="000F0829"/>
    <w:rsid w:val="000F0A07"/>
    <w:rsid w:val="000F0A94"/>
    <w:rsid w:val="000F0BAD"/>
    <w:rsid w:val="000F0C09"/>
    <w:rsid w:val="000F0C75"/>
    <w:rsid w:val="000F0EBD"/>
    <w:rsid w:val="000F101D"/>
    <w:rsid w:val="000F10E8"/>
    <w:rsid w:val="000F11D5"/>
    <w:rsid w:val="000F123E"/>
    <w:rsid w:val="000F161B"/>
    <w:rsid w:val="000F17D3"/>
    <w:rsid w:val="000F17DD"/>
    <w:rsid w:val="000F1923"/>
    <w:rsid w:val="000F1C24"/>
    <w:rsid w:val="000F2246"/>
    <w:rsid w:val="000F22E0"/>
    <w:rsid w:val="000F243F"/>
    <w:rsid w:val="000F2563"/>
    <w:rsid w:val="000F275C"/>
    <w:rsid w:val="000F2A08"/>
    <w:rsid w:val="000F2B5B"/>
    <w:rsid w:val="000F2BCE"/>
    <w:rsid w:val="000F2DA7"/>
    <w:rsid w:val="000F3022"/>
    <w:rsid w:val="000F3182"/>
    <w:rsid w:val="000F3289"/>
    <w:rsid w:val="000F356A"/>
    <w:rsid w:val="000F3A2F"/>
    <w:rsid w:val="000F3B1A"/>
    <w:rsid w:val="000F3FC1"/>
    <w:rsid w:val="000F411C"/>
    <w:rsid w:val="000F42EB"/>
    <w:rsid w:val="000F43C0"/>
    <w:rsid w:val="000F44D4"/>
    <w:rsid w:val="000F4619"/>
    <w:rsid w:val="000F465A"/>
    <w:rsid w:val="000F46E3"/>
    <w:rsid w:val="000F4A19"/>
    <w:rsid w:val="000F4C80"/>
    <w:rsid w:val="000F4E41"/>
    <w:rsid w:val="000F4EDC"/>
    <w:rsid w:val="000F512F"/>
    <w:rsid w:val="000F52F1"/>
    <w:rsid w:val="000F5479"/>
    <w:rsid w:val="000F56FF"/>
    <w:rsid w:val="000F571B"/>
    <w:rsid w:val="000F5811"/>
    <w:rsid w:val="000F5AB2"/>
    <w:rsid w:val="000F5B52"/>
    <w:rsid w:val="000F60B2"/>
    <w:rsid w:val="000F6441"/>
    <w:rsid w:val="000F64A5"/>
    <w:rsid w:val="000F6652"/>
    <w:rsid w:val="000F6740"/>
    <w:rsid w:val="000F675C"/>
    <w:rsid w:val="000F682C"/>
    <w:rsid w:val="000F69ED"/>
    <w:rsid w:val="000F6A83"/>
    <w:rsid w:val="000F6C25"/>
    <w:rsid w:val="000F70E8"/>
    <w:rsid w:val="000F720F"/>
    <w:rsid w:val="000F74B0"/>
    <w:rsid w:val="000F75C4"/>
    <w:rsid w:val="000F76E7"/>
    <w:rsid w:val="000F7727"/>
    <w:rsid w:val="000F7883"/>
    <w:rsid w:val="000F7904"/>
    <w:rsid w:val="000F7A18"/>
    <w:rsid w:val="000F7C76"/>
    <w:rsid w:val="000F7DF4"/>
    <w:rsid w:val="000F7F13"/>
    <w:rsid w:val="000F7FA8"/>
    <w:rsid w:val="000F7FEA"/>
    <w:rsid w:val="0010012A"/>
    <w:rsid w:val="00100240"/>
    <w:rsid w:val="001002F9"/>
    <w:rsid w:val="00100411"/>
    <w:rsid w:val="001004DF"/>
    <w:rsid w:val="0010058C"/>
    <w:rsid w:val="00100698"/>
    <w:rsid w:val="001006FA"/>
    <w:rsid w:val="0010096E"/>
    <w:rsid w:val="00100CB2"/>
    <w:rsid w:val="00100E0D"/>
    <w:rsid w:val="00100EC7"/>
    <w:rsid w:val="00100F60"/>
    <w:rsid w:val="001010AC"/>
    <w:rsid w:val="001010E7"/>
    <w:rsid w:val="00101470"/>
    <w:rsid w:val="001015DC"/>
    <w:rsid w:val="00101658"/>
    <w:rsid w:val="001017BC"/>
    <w:rsid w:val="001019AF"/>
    <w:rsid w:val="00101B4B"/>
    <w:rsid w:val="00101C63"/>
    <w:rsid w:val="00101CF7"/>
    <w:rsid w:val="00101D82"/>
    <w:rsid w:val="00101F7F"/>
    <w:rsid w:val="0010224B"/>
    <w:rsid w:val="001024E7"/>
    <w:rsid w:val="00102596"/>
    <w:rsid w:val="0010264D"/>
    <w:rsid w:val="00102693"/>
    <w:rsid w:val="001029FF"/>
    <w:rsid w:val="00102AA3"/>
    <w:rsid w:val="00102B45"/>
    <w:rsid w:val="00102CE0"/>
    <w:rsid w:val="0010332B"/>
    <w:rsid w:val="00103391"/>
    <w:rsid w:val="00103467"/>
    <w:rsid w:val="00103596"/>
    <w:rsid w:val="001035A4"/>
    <w:rsid w:val="0010362D"/>
    <w:rsid w:val="0010395E"/>
    <w:rsid w:val="001039D8"/>
    <w:rsid w:val="00103CA4"/>
    <w:rsid w:val="00103E31"/>
    <w:rsid w:val="001041A9"/>
    <w:rsid w:val="00104240"/>
    <w:rsid w:val="00104357"/>
    <w:rsid w:val="00104615"/>
    <w:rsid w:val="001047DA"/>
    <w:rsid w:val="00104A8F"/>
    <w:rsid w:val="00104BF0"/>
    <w:rsid w:val="00104DE2"/>
    <w:rsid w:val="00105391"/>
    <w:rsid w:val="001053A4"/>
    <w:rsid w:val="001056A9"/>
    <w:rsid w:val="00105724"/>
    <w:rsid w:val="0010572C"/>
    <w:rsid w:val="00105921"/>
    <w:rsid w:val="00105959"/>
    <w:rsid w:val="00105B73"/>
    <w:rsid w:val="00105C77"/>
    <w:rsid w:val="00105DBC"/>
    <w:rsid w:val="00105EF5"/>
    <w:rsid w:val="00105F25"/>
    <w:rsid w:val="00105F7F"/>
    <w:rsid w:val="00105FE3"/>
    <w:rsid w:val="0010617A"/>
    <w:rsid w:val="001062D9"/>
    <w:rsid w:val="00106594"/>
    <w:rsid w:val="00106614"/>
    <w:rsid w:val="001067EE"/>
    <w:rsid w:val="00106982"/>
    <w:rsid w:val="00106C9F"/>
    <w:rsid w:val="00106DF2"/>
    <w:rsid w:val="0010708A"/>
    <w:rsid w:val="00107199"/>
    <w:rsid w:val="00107385"/>
    <w:rsid w:val="001074F4"/>
    <w:rsid w:val="001077F5"/>
    <w:rsid w:val="00107884"/>
    <w:rsid w:val="00107965"/>
    <w:rsid w:val="001079A9"/>
    <w:rsid w:val="00107D79"/>
    <w:rsid w:val="00107D93"/>
    <w:rsid w:val="00107E7B"/>
    <w:rsid w:val="00110074"/>
    <w:rsid w:val="001101C1"/>
    <w:rsid w:val="00110215"/>
    <w:rsid w:val="00110539"/>
    <w:rsid w:val="001108A3"/>
    <w:rsid w:val="0011096F"/>
    <w:rsid w:val="00110A71"/>
    <w:rsid w:val="00110C26"/>
    <w:rsid w:val="00110C84"/>
    <w:rsid w:val="00110D07"/>
    <w:rsid w:val="00111123"/>
    <w:rsid w:val="0011116D"/>
    <w:rsid w:val="001111BE"/>
    <w:rsid w:val="00111352"/>
    <w:rsid w:val="001116A6"/>
    <w:rsid w:val="001117A9"/>
    <w:rsid w:val="0011197B"/>
    <w:rsid w:val="00111999"/>
    <w:rsid w:val="00111E07"/>
    <w:rsid w:val="00111E1D"/>
    <w:rsid w:val="00111E9A"/>
    <w:rsid w:val="0011205A"/>
    <w:rsid w:val="001123D6"/>
    <w:rsid w:val="00112626"/>
    <w:rsid w:val="00112694"/>
    <w:rsid w:val="00112962"/>
    <w:rsid w:val="001129C8"/>
    <w:rsid w:val="00112A1E"/>
    <w:rsid w:val="00112B19"/>
    <w:rsid w:val="00112C2D"/>
    <w:rsid w:val="00112FD3"/>
    <w:rsid w:val="001130EF"/>
    <w:rsid w:val="00113144"/>
    <w:rsid w:val="0011315B"/>
    <w:rsid w:val="00113162"/>
    <w:rsid w:val="00113427"/>
    <w:rsid w:val="00113588"/>
    <w:rsid w:val="00113702"/>
    <w:rsid w:val="00113CDA"/>
    <w:rsid w:val="00113EF4"/>
    <w:rsid w:val="00113F4E"/>
    <w:rsid w:val="00113F5C"/>
    <w:rsid w:val="00114135"/>
    <w:rsid w:val="00114206"/>
    <w:rsid w:val="001146F6"/>
    <w:rsid w:val="0011474E"/>
    <w:rsid w:val="0011481C"/>
    <w:rsid w:val="001149A1"/>
    <w:rsid w:val="00114C34"/>
    <w:rsid w:val="00114C83"/>
    <w:rsid w:val="00114DB6"/>
    <w:rsid w:val="00114DCF"/>
    <w:rsid w:val="00114F07"/>
    <w:rsid w:val="00115010"/>
    <w:rsid w:val="00115388"/>
    <w:rsid w:val="00115402"/>
    <w:rsid w:val="001158AE"/>
    <w:rsid w:val="00115B93"/>
    <w:rsid w:val="00115BD5"/>
    <w:rsid w:val="00115BEB"/>
    <w:rsid w:val="00115DA5"/>
    <w:rsid w:val="00115DB9"/>
    <w:rsid w:val="00115DDA"/>
    <w:rsid w:val="0011623D"/>
    <w:rsid w:val="0011632C"/>
    <w:rsid w:val="001163CB"/>
    <w:rsid w:val="001163F1"/>
    <w:rsid w:val="00116520"/>
    <w:rsid w:val="0011654F"/>
    <w:rsid w:val="00116594"/>
    <w:rsid w:val="00116879"/>
    <w:rsid w:val="001169EE"/>
    <w:rsid w:val="00116EC7"/>
    <w:rsid w:val="00116F1D"/>
    <w:rsid w:val="00116F55"/>
    <w:rsid w:val="001172AF"/>
    <w:rsid w:val="00117883"/>
    <w:rsid w:val="00117925"/>
    <w:rsid w:val="00117A93"/>
    <w:rsid w:val="00117DC9"/>
    <w:rsid w:val="00120285"/>
    <w:rsid w:val="001207EE"/>
    <w:rsid w:val="00120A7E"/>
    <w:rsid w:val="00120C77"/>
    <w:rsid w:val="00120E9D"/>
    <w:rsid w:val="0012105D"/>
    <w:rsid w:val="00121160"/>
    <w:rsid w:val="001211A5"/>
    <w:rsid w:val="00121249"/>
    <w:rsid w:val="0012125E"/>
    <w:rsid w:val="001212B5"/>
    <w:rsid w:val="001213D9"/>
    <w:rsid w:val="00121438"/>
    <w:rsid w:val="001217B9"/>
    <w:rsid w:val="00121A30"/>
    <w:rsid w:val="00121AD9"/>
    <w:rsid w:val="00121B59"/>
    <w:rsid w:val="00121B70"/>
    <w:rsid w:val="00121DCD"/>
    <w:rsid w:val="00121E2C"/>
    <w:rsid w:val="00122032"/>
    <w:rsid w:val="00122047"/>
    <w:rsid w:val="001220B6"/>
    <w:rsid w:val="00122591"/>
    <w:rsid w:val="001226F2"/>
    <w:rsid w:val="001227FA"/>
    <w:rsid w:val="00122849"/>
    <w:rsid w:val="0012287D"/>
    <w:rsid w:val="001229D5"/>
    <w:rsid w:val="00122EFA"/>
    <w:rsid w:val="00122F60"/>
    <w:rsid w:val="001231E2"/>
    <w:rsid w:val="0012331D"/>
    <w:rsid w:val="00123375"/>
    <w:rsid w:val="001233AA"/>
    <w:rsid w:val="001235BA"/>
    <w:rsid w:val="001235EE"/>
    <w:rsid w:val="001235FB"/>
    <w:rsid w:val="001237B2"/>
    <w:rsid w:val="00123C0A"/>
    <w:rsid w:val="00123D3E"/>
    <w:rsid w:val="00123DB1"/>
    <w:rsid w:val="00123E0B"/>
    <w:rsid w:val="00123F52"/>
    <w:rsid w:val="001240ED"/>
    <w:rsid w:val="001240F7"/>
    <w:rsid w:val="001241E0"/>
    <w:rsid w:val="00124582"/>
    <w:rsid w:val="00124648"/>
    <w:rsid w:val="00124754"/>
    <w:rsid w:val="0012499C"/>
    <w:rsid w:val="00124AF4"/>
    <w:rsid w:val="00124BD3"/>
    <w:rsid w:val="001251A0"/>
    <w:rsid w:val="00125389"/>
    <w:rsid w:val="001253D8"/>
    <w:rsid w:val="00125492"/>
    <w:rsid w:val="001254C4"/>
    <w:rsid w:val="00125769"/>
    <w:rsid w:val="001258EA"/>
    <w:rsid w:val="001259FD"/>
    <w:rsid w:val="001259FE"/>
    <w:rsid w:val="00125A7F"/>
    <w:rsid w:val="00126041"/>
    <w:rsid w:val="0012648E"/>
    <w:rsid w:val="00126546"/>
    <w:rsid w:val="001265E1"/>
    <w:rsid w:val="00126767"/>
    <w:rsid w:val="00126864"/>
    <w:rsid w:val="001269F9"/>
    <w:rsid w:val="00126AD6"/>
    <w:rsid w:val="00126DAF"/>
    <w:rsid w:val="001277AD"/>
    <w:rsid w:val="001278D2"/>
    <w:rsid w:val="0012799E"/>
    <w:rsid w:val="00127AD4"/>
    <w:rsid w:val="00127B19"/>
    <w:rsid w:val="00127D2E"/>
    <w:rsid w:val="00127EB9"/>
    <w:rsid w:val="001302CE"/>
    <w:rsid w:val="001303CF"/>
    <w:rsid w:val="001303D1"/>
    <w:rsid w:val="00130679"/>
    <w:rsid w:val="0013082A"/>
    <w:rsid w:val="00130B53"/>
    <w:rsid w:val="00130D40"/>
    <w:rsid w:val="00130EA7"/>
    <w:rsid w:val="00130FD0"/>
    <w:rsid w:val="001311AB"/>
    <w:rsid w:val="001311EC"/>
    <w:rsid w:val="00131203"/>
    <w:rsid w:val="00131367"/>
    <w:rsid w:val="00131471"/>
    <w:rsid w:val="00131710"/>
    <w:rsid w:val="00131922"/>
    <w:rsid w:val="00131A2D"/>
    <w:rsid w:val="00131EBA"/>
    <w:rsid w:val="00132205"/>
    <w:rsid w:val="0013235F"/>
    <w:rsid w:val="00132368"/>
    <w:rsid w:val="001324AD"/>
    <w:rsid w:val="001325AA"/>
    <w:rsid w:val="00132709"/>
    <w:rsid w:val="0013285B"/>
    <w:rsid w:val="00132977"/>
    <w:rsid w:val="00132AD9"/>
    <w:rsid w:val="00132B33"/>
    <w:rsid w:val="00132D5C"/>
    <w:rsid w:val="00132E0B"/>
    <w:rsid w:val="00132E7D"/>
    <w:rsid w:val="00132E8E"/>
    <w:rsid w:val="001330C3"/>
    <w:rsid w:val="001333C2"/>
    <w:rsid w:val="0013349C"/>
    <w:rsid w:val="00133E04"/>
    <w:rsid w:val="00133ED4"/>
    <w:rsid w:val="00133F79"/>
    <w:rsid w:val="00134055"/>
    <w:rsid w:val="00134693"/>
    <w:rsid w:val="0013483E"/>
    <w:rsid w:val="00134882"/>
    <w:rsid w:val="00134BA9"/>
    <w:rsid w:val="00134D00"/>
    <w:rsid w:val="00134D0E"/>
    <w:rsid w:val="00134D6B"/>
    <w:rsid w:val="00134F31"/>
    <w:rsid w:val="00134FC9"/>
    <w:rsid w:val="0013513D"/>
    <w:rsid w:val="00135283"/>
    <w:rsid w:val="001355B2"/>
    <w:rsid w:val="001357F4"/>
    <w:rsid w:val="0013590F"/>
    <w:rsid w:val="001359DD"/>
    <w:rsid w:val="00135BCD"/>
    <w:rsid w:val="00135C1C"/>
    <w:rsid w:val="00135C91"/>
    <w:rsid w:val="00135CC1"/>
    <w:rsid w:val="00135D5E"/>
    <w:rsid w:val="00135F26"/>
    <w:rsid w:val="001361F5"/>
    <w:rsid w:val="00136224"/>
    <w:rsid w:val="00136379"/>
    <w:rsid w:val="00136518"/>
    <w:rsid w:val="001365CC"/>
    <w:rsid w:val="0013675B"/>
    <w:rsid w:val="0013691B"/>
    <w:rsid w:val="001369D5"/>
    <w:rsid w:val="00136A2A"/>
    <w:rsid w:val="00136EDD"/>
    <w:rsid w:val="0013711F"/>
    <w:rsid w:val="0013759E"/>
    <w:rsid w:val="001375B0"/>
    <w:rsid w:val="0013764C"/>
    <w:rsid w:val="001376D0"/>
    <w:rsid w:val="001377BB"/>
    <w:rsid w:val="00137969"/>
    <w:rsid w:val="00137A9C"/>
    <w:rsid w:val="00137C19"/>
    <w:rsid w:val="00140085"/>
    <w:rsid w:val="0014034E"/>
    <w:rsid w:val="00140BDA"/>
    <w:rsid w:val="00140EED"/>
    <w:rsid w:val="00140FC5"/>
    <w:rsid w:val="0014112D"/>
    <w:rsid w:val="00141228"/>
    <w:rsid w:val="001412EA"/>
    <w:rsid w:val="001413E1"/>
    <w:rsid w:val="0014150D"/>
    <w:rsid w:val="0014157B"/>
    <w:rsid w:val="001417B4"/>
    <w:rsid w:val="00141CB5"/>
    <w:rsid w:val="00141EDE"/>
    <w:rsid w:val="00141F98"/>
    <w:rsid w:val="00142332"/>
    <w:rsid w:val="001425CF"/>
    <w:rsid w:val="00142758"/>
    <w:rsid w:val="0014278F"/>
    <w:rsid w:val="00142E45"/>
    <w:rsid w:val="00142EF0"/>
    <w:rsid w:val="00142FAA"/>
    <w:rsid w:val="001430ED"/>
    <w:rsid w:val="00143244"/>
    <w:rsid w:val="00143269"/>
    <w:rsid w:val="0014328C"/>
    <w:rsid w:val="00143293"/>
    <w:rsid w:val="00143997"/>
    <w:rsid w:val="00143C67"/>
    <w:rsid w:val="00143D8D"/>
    <w:rsid w:val="00143E26"/>
    <w:rsid w:val="00143E6C"/>
    <w:rsid w:val="00143E6F"/>
    <w:rsid w:val="00143E95"/>
    <w:rsid w:val="00143F0E"/>
    <w:rsid w:val="00143F33"/>
    <w:rsid w:val="00144431"/>
    <w:rsid w:val="001444E1"/>
    <w:rsid w:val="00144562"/>
    <w:rsid w:val="00144583"/>
    <w:rsid w:val="00144608"/>
    <w:rsid w:val="0014465B"/>
    <w:rsid w:val="00144845"/>
    <w:rsid w:val="00144951"/>
    <w:rsid w:val="00144AAE"/>
    <w:rsid w:val="00144B22"/>
    <w:rsid w:val="00144D18"/>
    <w:rsid w:val="00144FF8"/>
    <w:rsid w:val="001450C1"/>
    <w:rsid w:val="001455A7"/>
    <w:rsid w:val="001455F1"/>
    <w:rsid w:val="00145615"/>
    <w:rsid w:val="00145663"/>
    <w:rsid w:val="00145754"/>
    <w:rsid w:val="00145756"/>
    <w:rsid w:val="00145984"/>
    <w:rsid w:val="00145D4C"/>
    <w:rsid w:val="00145EDB"/>
    <w:rsid w:val="00145F37"/>
    <w:rsid w:val="0014600A"/>
    <w:rsid w:val="00146135"/>
    <w:rsid w:val="00146338"/>
    <w:rsid w:val="00146494"/>
    <w:rsid w:val="0014654D"/>
    <w:rsid w:val="0014681F"/>
    <w:rsid w:val="00146A39"/>
    <w:rsid w:val="00146A83"/>
    <w:rsid w:val="00146AAE"/>
    <w:rsid w:val="00146AE6"/>
    <w:rsid w:val="00146CB3"/>
    <w:rsid w:val="0014703E"/>
    <w:rsid w:val="001471D4"/>
    <w:rsid w:val="001473F8"/>
    <w:rsid w:val="001475AC"/>
    <w:rsid w:val="0014788E"/>
    <w:rsid w:val="001479F1"/>
    <w:rsid w:val="00147A47"/>
    <w:rsid w:val="00147B3E"/>
    <w:rsid w:val="00147B40"/>
    <w:rsid w:val="00147BEA"/>
    <w:rsid w:val="00147D24"/>
    <w:rsid w:val="00147F36"/>
    <w:rsid w:val="00150053"/>
    <w:rsid w:val="001500DA"/>
    <w:rsid w:val="001501B7"/>
    <w:rsid w:val="0015041E"/>
    <w:rsid w:val="001504E9"/>
    <w:rsid w:val="001504FD"/>
    <w:rsid w:val="001506A5"/>
    <w:rsid w:val="0015097F"/>
    <w:rsid w:val="00150980"/>
    <w:rsid w:val="00150A54"/>
    <w:rsid w:val="00150DE2"/>
    <w:rsid w:val="00150E71"/>
    <w:rsid w:val="001510B0"/>
    <w:rsid w:val="00151148"/>
    <w:rsid w:val="001511A9"/>
    <w:rsid w:val="001511D7"/>
    <w:rsid w:val="00151756"/>
    <w:rsid w:val="00151926"/>
    <w:rsid w:val="00151A0F"/>
    <w:rsid w:val="00151A50"/>
    <w:rsid w:val="00151A5F"/>
    <w:rsid w:val="00151AE2"/>
    <w:rsid w:val="00151BDA"/>
    <w:rsid w:val="00151D89"/>
    <w:rsid w:val="00151E9F"/>
    <w:rsid w:val="00151EB5"/>
    <w:rsid w:val="00151EEC"/>
    <w:rsid w:val="00151FE7"/>
    <w:rsid w:val="00152009"/>
    <w:rsid w:val="0015235D"/>
    <w:rsid w:val="00152711"/>
    <w:rsid w:val="001527CD"/>
    <w:rsid w:val="00152942"/>
    <w:rsid w:val="00152A9F"/>
    <w:rsid w:val="00152B32"/>
    <w:rsid w:val="00152D98"/>
    <w:rsid w:val="00152E47"/>
    <w:rsid w:val="00152F3B"/>
    <w:rsid w:val="00152FD9"/>
    <w:rsid w:val="001530AE"/>
    <w:rsid w:val="0015319E"/>
    <w:rsid w:val="00153683"/>
    <w:rsid w:val="001536E5"/>
    <w:rsid w:val="00153744"/>
    <w:rsid w:val="00153A03"/>
    <w:rsid w:val="00153BE0"/>
    <w:rsid w:val="00153C55"/>
    <w:rsid w:val="00153D23"/>
    <w:rsid w:val="0015425E"/>
    <w:rsid w:val="00154660"/>
    <w:rsid w:val="0015475E"/>
    <w:rsid w:val="0015486E"/>
    <w:rsid w:val="00154EDE"/>
    <w:rsid w:val="00155221"/>
    <w:rsid w:val="0015538B"/>
    <w:rsid w:val="00155537"/>
    <w:rsid w:val="001555FF"/>
    <w:rsid w:val="001556E2"/>
    <w:rsid w:val="001556E3"/>
    <w:rsid w:val="00155A32"/>
    <w:rsid w:val="00155A64"/>
    <w:rsid w:val="00155BC0"/>
    <w:rsid w:val="00155CD9"/>
    <w:rsid w:val="00155DEE"/>
    <w:rsid w:val="00155E1C"/>
    <w:rsid w:val="00155F09"/>
    <w:rsid w:val="00156428"/>
    <w:rsid w:val="00156482"/>
    <w:rsid w:val="0015656D"/>
    <w:rsid w:val="00156788"/>
    <w:rsid w:val="00156839"/>
    <w:rsid w:val="00156945"/>
    <w:rsid w:val="00156A17"/>
    <w:rsid w:val="00156D2D"/>
    <w:rsid w:val="001570D4"/>
    <w:rsid w:val="00157143"/>
    <w:rsid w:val="001571C1"/>
    <w:rsid w:val="00157204"/>
    <w:rsid w:val="00157303"/>
    <w:rsid w:val="0015731D"/>
    <w:rsid w:val="001573A9"/>
    <w:rsid w:val="0015748A"/>
    <w:rsid w:val="001575A7"/>
    <w:rsid w:val="00157791"/>
    <w:rsid w:val="00157897"/>
    <w:rsid w:val="00157A53"/>
    <w:rsid w:val="00157B45"/>
    <w:rsid w:val="00157B50"/>
    <w:rsid w:val="00157CB4"/>
    <w:rsid w:val="00157CB6"/>
    <w:rsid w:val="00160133"/>
    <w:rsid w:val="00160730"/>
    <w:rsid w:val="0016074C"/>
    <w:rsid w:val="001609AE"/>
    <w:rsid w:val="00160CD6"/>
    <w:rsid w:val="00160E04"/>
    <w:rsid w:val="00160F52"/>
    <w:rsid w:val="0016101C"/>
    <w:rsid w:val="001610F9"/>
    <w:rsid w:val="00161AB7"/>
    <w:rsid w:val="00161B43"/>
    <w:rsid w:val="00162007"/>
    <w:rsid w:val="001622A4"/>
    <w:rsid w:val="00162315"/>
    <w:rsid w:val="001623AD"/>
    <w:rsid w:val="001623C2"/>
    <w:rsid w:val="00162577"/>
    <w:rsid w:val="001628EA"/>
    <w:rsid w:val="001629A1"/>
    <w:rsid w:val="00162B77"/>
    <w:rsid w:val="00162DEA"/>
    <w:rsid w:val="001631F7"/>
    <w:rsid w:val="001632C9"/>
    <w:rsid w:val="0016336E"/>
    <w:rsid w:val="001634E7"/>
    <w:rsid w:val="00163520"/>
    <w:rsid w:val="001638B0"/>
    <w:rsid w:val="00163916"/>
    <w:rsid w:val="00163B41"/>
    <w:rsid w:val="00163DCA"/>
    <w:rsid w:val="00163E27"/>
    <w:rsid w:val="00164088"/>
    <w:rsid w:val="00164181"/>
    <w:rsid w:val="00164258"/>
    <w:rsid w:val="001643DA"/>
    <w:rsid w:val="00164477"/>
    <w:rsid w:val="00164A23"/>
    <w:rsid w:val="00164ACB"/>
    <w:rsid w:val="00164D76"/>
    <w:rsid w:val="00164EF5"/>
    <w:rsid w:val="00165047"/>
    <w:rsid w:val="00165287"/>
    <w:rsid w:val="001653E2"/>
    <w:rsid w:val="0016553F"/>
    <w:rsid w:val="00165544"/>
    <w:rsid w:val="001655A2"/>
    <w:rsid w:val="001655C5"/>
    <w:rsid w:val="001656CE"/>
    <w:rsid w:val="0016574D"/>
    <w:rsid w:val="00165B5A"/>
    <w:rsid w:val="00165B75"/>
    <w:rsid w:val="00165BFB"/>
    <w:rsid w:val="00165D8A"/>
    <w:rsid w:val="00165F9C"/>
    <w:rsid w:val="001661FB"/>
    <w:rsid w:val="001663E9"/>
    <w:rsid w:val="001667B4"/>
    <w:rsid w:val="00166898"/>
    <w:rsid w:val="00166990"/>
    <w:rsid w:val="00166CFC"/>
    <w:rsid w:val="00166E6C"/>
    <w:rsid w:val="00166F74"/>
    <w:rsid w:val="00167061"/>
    <w:rsid w:val="0016741E"/>
    <w:rsid w:val="00167457"/>
    <w:rsid w:val="0016748F"/>
    <w:rsid w:val="00167568"/>
    <w:rsid w:val="001675F9"/>
    <w:rsid w:val="001677AE"/>
    <w:rsid w:val="00167884"/>
    <w:rsid w:val="00167A64"/>
    <w:rsid w:val="00167CD9"/>
    <w:rsid w:val="00167EFE"/>
    <w:rsid w:val="00170016"/>
    <w:rsid w:val="001709D7"/>
    <w:rsid w:val="00170C1B"/>
    <w:rsid w:val="00170C43"/>
    <w:rsid w:val="00170D5C"/>
    <w:rsid w:val="00170E45"/>
    <w:rsid w:val="00170F36"/>
    <w:rsid w:val="00170F43"/>
    <w:rsid w:val="00170FEF"/>
    <w:rsid w:val="00171135"/>
    <w:rsid w:val="001714CF"/>
    <w:rsid w:val="001716A0"/>
    <w:rsid w:val="001716A2"/>
    <w:rsid w:val="0017175C"/>
    <w:rsid w:val="00171822"/>
    <w:rsid w:val="0017189F"/>
    <w:rsid w:val="001719CB"/>
    <w:rsid w:val="00171A09"/>
    <w:rsid w:val="00171A3C"/>
    <w:rsid w:val="00171A78"/>
    <w:rsid w:val="00171BF0"/>
    <w:rsid w:val="00171FE1"/>
    <w:rsid w:val="00172086"/>
    <w:rsid w:val="001720B4"/>
    <w:rsid w:val="001720F1"/>
    <w:rsid w:val="0017230D"/>
    <w:rsid w:val="00172354"/>
    <w:rsid w:val="00172780"/>
    <w:rsid w:val="00172888"/>
    <w:rsid w:val="00172A57"/>
    <w:rsid w:val="00172EB0"/>
    <w:rsid w:val="00172F9F"/>
    <w:rsid w:val="001730C2"/>
    <w:rsid w:val="001733AA"/>
    <w:rsid w:val="00173646"/>
    <w:rsid w:val="00173679"/>
    <w:rsid w:val="00173A36"/>
    <w:rsid w:val="00173B2B"/>
    <w:rsid w:val="00173B92"/>
    <w:rsid w:val="00173E7D"/>
    <w:rsid w:val="00174382"/>
    <w:rsid w:val="001743B2"/>
    <w:rsid w:val="0017454E"/>
    <w:rsid w:val="001746E4"/>
    <w:rsid w:val="001746EF"/>
    <w:rsid w:val="0017473C"/>
    <w:rsid w:val="0017473E"/>
    <w:rsid w:val="00174875"/>
    <w:rsid w:val="001749D2"/>
    <w:rsid w:val="00174A04"/>
    <w:rsid w:val="00174BE0"/>
    <w:rsid w:val="00174DC7"/>
    <w:rsid w:val="001750D4"/>
    <w:rsid w:val="0017512B"/>
    <w:rsid w:val="00175134"/>
    <w:rsid w:val="00175260"/>
    <w:rsid w:val="0017529A"/>
    <w:rsid w:val="00175311"/>
    <w:rsid w:val="001753BC"/>
    <w:rsid w:val="001754DE"/>
    <w:rsid w:val="001755C4"/>
    <w:rsid w:val="00175687"/>
    <w:rsid w:val="00175765"/>
    <w:rsid w:val="00175A24"/>
    <w:rsid w:val="00175B39"/>
    <w:rsid w:val="00175C83"/>
    <w:rsid w:val="00175DB1"/>
    <w:rsid w:val="00175E11"/>
    <w:rsid w:val="0017612F"/>
    <w:rsid w:val="0017645F"/>
    <w:rsid w:val="00176477"/>
    <w:rsid w:val="00176567"/>
    <w:rsid w:val="001765A5"/>
    <w:rsid w:val="001769D2"/>
    <w:rsid w:val="00176AD1"/>
    <w:rsid w:val="00176C03"/>
    <w:rsid w:val="00176CFB"/>
    <w:rsid w:val="00176D58"/>
    <w:rsid w:val="00176DC0"/>
    <w:rsid w:val="00176DC2"/>
    <w:rsid w:val="00176FAF"/>
    <w:rsid w:val="00176FDE"/>
    <w:rsid w:val="001770E1"/>
    <w:rsid w:val="001772C5"/>
    <w:rsid w:val="001772D6"/>
    <w:rsid w:val="001772DE"/>
    <w:rsid w:val="00177399"/>
    <w:rsid w:val="00177844"/>
    <w:rsid w:val="001779A3"/>
    <w:rsid w:val="00177A9A"/>
    <w:rsid w:val="00177B9F"/>
    <w:rsid w:val="00177BF8"/>
    <w:rsid w:val="00177C0D"/>
    <w:rsid w:val="00177CE7"/>
    <w:rsid w:val="00177D66"/>
    <w:rsid w:val="00177D8F"/>
    <w:rsid w:val="00177E50"/>
    <w:rsid w:val="00177F41"/>
    <w:rsid w:val="00177FEE"/>
    <w:rsid w:val="00180258"/>
    <w:rsid w:val="001804D7"/>
    <w:rsid w:val="00180507"/>
    <w:rsid w:val="0018057A"/>
    <w:rsid w:val="00180622"/>
    <w:rsid w:val="00180666"/>
    <w:rsid w:val="00180761"/>
    <w:rsid w:val="00180845"/>
    <w:rsid w:val="0018092E"/>
    <w:rsid w:val="001809DA"/>
    <w:rsid w:val="00180B31"/>
    <w:rsid w:val="00180DB5"/>
    <w:rsid w:val="001812F6"/>
    <w:rsid w:val="00181537"/>
    <w:rsid w:val="001815B5"/>
    <w:rsid w:val="0018162B"/>
    <w:rsid w:val="0018175F"/>
    <w:rsid w:val="00181826"/>
    <w:rsid w:val="00181CC2"/>
    <w:rsid w:val="00181D51"/>
    <w:rsid w:val="00181E3B"/>
    <w:rsid w:val="00182176"/>
    <w:rsid w:val="0018223E"/>
    <w:rsid w:val="00182278"/>
    <w:rsid w:val="001822F8"/>
    <w:rsid w:val="00182353"/>
    <w:rsid w:val="001826CB"/>
    <w:rsid w:val="00182703"/>
    <w:rsid w:val="001827E5"/>
    <w:rsid w:val="001827F4"/>
    <w:rsid w:val="001828DB"/>
    <w:rsid w:val="001829D6"/>
    <w:rsid w:val="00182CD3"/>
    <w:rsid w:val="00182E14"/>
    <w:rsid w:val="00183020"/>
    <w:rsid w:val="001831A9"/>
    <w:rsid w:val="00183700"/>
    <w:rsid w:val="00183755"/>
    <w:rsid w:val="00183758"/>
    <w:rsid w:val="0018389D"/>
    <w:rsid w:val="00183CF5"/>
    <w:rsid w:val="00183E74"/>
    <w:rsid w:val="001840C6"/>
    <w:rsid w:val="0018412C"/>
    <w:rsid w:val="00184203"/>
    <w:rsid w:val="0018442A"/>
    <w:rsid w:val="0018452D"/>
    <w:rsid w:val="001845DF"/>
    <w:rsid w:val="001846A8"/>
    <w:rsid w:val="001847ED"/>
    <w:rsid w:val="001848A2"/>
    <w:rsid w:val="00184909"/>
    <w:rsid w:val="001849E8"/>
    <w:rsid w:val="00184A8D"/>
    <w:rsid w:val="001850A0"/>
    <w:rsid w:val="001850DE"/>
    <w:rsid w:val="00185148"/>
    <w:rsid w:val="00185282"/>
    <w:rsid w:val="0018528C"/>
    <w:rsid w:val="0018537E"/>
    <w:rsid w:val="00185500"/>
    <w:rsid w:val="00185629"/>
    <w:rsid w:val="0018563A"/>
    <w:rsid w:val="00185776"/>
    <w:rsid w:val="00185825"/>
    <w:rsid w:val="00185D56"/>
    <w:rsid w:val="00185D58"/>
    <w:rsid w:val="00185E09"/>
    <w:rsid w:val="00185E65"/>
    <w:rsid w:val="0018609D"/>
    <w:rsid w:val="0018619D"/>
    <w:rsid w:val="0018655E"/>
    <w:rsid w:val="001866DF"/>
    <w:rsid w:val="001867ED"/>
    <w:rsid w:val="00186A65"/>
    <w:rsid w:val="00186BCE"/>
    <w:rsid w:val="00186BDE"/>
    <w:rsid w:val="00186C13"/>
    <w:rsid w:val="00186CDF"/>
    <w:rsid w:val="00186EBB"/>
    <w:rsid w:val="00186FF7"/>
    <w:rsid w:val="001870B2"/>
    <w:rsid w:val="001871F6"/>
    <w:rsid w:val="00187483"/>
    <w:rsid w:val="00187590"/>
    <w:rsid w:val="00187906"/>
    <w:rsid w:val="001879D0"/>
    <w:rsid w:val="00187DB1"/>
    <w:rsid w:val="00187DED"/>
    <w:rsid w:val="00187E69"/>
    <w:rsid w:val="001900D8"/>
    <w:rsid w:val="00190605"/>
    <w:rsid w:val="00190614"/>
    <w:rsid w:val="00190629"/>
    <w:rsid w:val="00190694"/>
    <w:rsid w:val="001906A4"/>
    <w:rsid w:val="001906FB"/>
    <w:rsid w:val="0019092A"/>
    <w:rsid w:val="00190C4F"/>
    <w:rsid w:val="00190C5D"/>
    <w:rsid w:val="00190D98"/>
    <w:rsid w:val="00191053"/>
    <w:rsid w:val="0019105E"/>
    <w:rsid w:val="00191308"/>
    <w:rsid w:val="00191773"/>
    <w:rsid w:val="00191C2B"/>
    <w:rsid w:val="00191D28"/>
    <w:rsid w:val="00191F6D"/>
    <w:rsid w:val="00192095"/>
    <w:rsid w:val="00192277"/>
    <w:rsid w:val="001923C6"/>
    <w:rsid w:val="00192646"/>
    <w:rsid w:val="00192701"/>
    <w:rsid w:val="001928DB"/>
    <w:rsid w:val="0019291E"/>
    <w:rsid w:val="00192BB3"/>
    <w:rsid w:val="00192D10"/>
    <w:rsid w:val="00192DF0"/>
    <w:rsid w:val="00192F4A"/>
    <w:rsid w:val="00193060"/>
    <w:rsid w:val="00193187"/>
    <w:rsid w:val="00193251"/>
    <w:rsid w:val="00193296"/>
    <w:rsid w:val="001937F2"/>
    <w:rsid w:val="001938D3"/>
    <w:rsid w:val="00193BC3"/>
    <w:rsid w:val="00193EEA"/>
    <w:rsid w:val="00193EF7"/>
    <w:rsid w:val="00193F53"/>
    <w:rsid w:val="00194011"/>
    <w:rsid w:val="00194021"/>
    <w:rsid w:val="0019418E"/>
    <w:rsid w:val="001942D1"/>
    <w:rsid w:val="00194334"/>
    <w:rsid w:val="001944CA"/>
    <w:rsid w:val="00194509"/>
    <w:rsid w:val="0019459E"/>
    <w:rsid w:val="001946E7"/>
    <w:rsid w:val="001947DC"/>
    <w:rsid w:val="0019482D"/>
    <w:rsid w:val="00194A34"/>
    <w:rsid w:val="00194D82"/>
    <w:rsid w:val="00194E5A"/>
    <w:rsid w:val="00194F10"/>
    <w:rsid w:val="00195042"/>
    <w:rsid w:val="00195338"/>
    <w:rsid w:val="001953FB"/>
    <w:rsid w:val="001955F9"/>
    <w:rsid w:val="0019592B"/>
    <w:rsid w:val="00195930"/>
    <w:rsid w:val="0019595D"/>
    <w:rsid w:val="00195DAA"/>
    <w:rsid w:val="00195E61"/>
    <w:rsid w:val="001966D7"/>
    <w:rsid w:val="00196A5A"/>
    <w:rsid w:val="00196B00"/>
    <w:rsid w:val="00196B68"/>
    <w:rsid w:val="00196BB3"/>
    <w:rsid w:val="00196DC2"/>
    <w:rsid w:val="00196F98"/>
    <w:rsid w:val="0019700D"/>
    <w:rsid w:val="00197022"/>
    <w:rsid w:val="00197289"/>
    <w:rsid w:val="00197375"/>
    <w:rsid w:val="00197424"/>
    <w:rsid w:val="00197452"/>
    <w:rsid w:val="00197A9E"/>
    <w:rsid w:val="00197AE1"/>
    <w:rsid w:val="00197E4B"/>
    <w:rsid w:val="00197F4E"/>
    <w:rsid w:val="001A00C0"/>
    <w:rsid w:val="001A011E"/>
    <w:rsid w:val="001A019F"/>
    <w:rsid w:val="001A0236"/>
    <w:rsid w:val="001A0245"/>
    <w:rsid w:val="001A02FA"/>
    <w:rsid w:val="001A048A"/>
    <w:rsid w:val="001A0550"/>
    <w:rsid w:val="001A070C"/>
    <w:rsid w:val="001A095A"/>
    <w:rsid w:val="001A09A9"/>
    <w:rsid w:val="001A0A03"/>
    <w:rsid w:val="001A0A73"/>
    <w:rsid w:val="001A0E02"/>
    <w:rsid w:val="001A0F5A"/>
    <w:rsid w:val="001A1096"/>
    <w:rsid w:val="001A10BB"/>
    <w:rsid w:val="001A110C"/>
    <w:rsid w:val="001A14E9"/>
    <w:rsid w:val="001A158C"/>
    <w:rsid w:val="001A1726"/>
    <w:rsid w:val="001A1893"/>
    <w:rsid w:val="001A19CB"/>
    <w:rsid w:val="001A19EA"/>
    <w:rsid w:val="001A1A2E"/>
    <w:rsid w:val="001A1A60"/>
    <w:rsid w:val="001A1B0D"/>
    <w:rsid w:val="001A1F85"/>
    <w:rsid w:val="001A1FE1"/>
    <w:rsid w:val="001A279D"/>
    <w:rsid w:val="001A28E5"/>
    <w:rsid w:val="001A2A0E"/>
    <w:rsid w:val="001A2A59"/>
    <w:rsid w:val="001A2ADA"/>
    <w:rsid w:val="001A2DE7"/>
    <w:rsid w:val="001A2EF1"/>
    <w:rsid w:val="001A3009"/>
    <w:rsid w:val="001A374E"/>
    <w:rsid w:val="001A38EC"/>
    <w:rsid w:val="001A3D0F"/>
    <w:rsid w:val="001A423A"/>
    <w:rsid w:val="001A4774"/>
    <w:rsid w:val="001A4786"/>
    <w:rsid w:val="001A4B65"/>
    <w:rsid w:val="001A4D4B"/>
    <w:rsid w:val="001A5759"/>
    <w:rsid w:val="001A57E5"/>
    <w:rsid w:val="001A58FD"/>
    <w:rsid w:val="001A5927"/>
    <w:rsid w:val="001A5AFD"/>
    <w:rsid w:val="001A5CBA"/>
    <w:rsid w:val="001A5F2D"/>
    <w:rsid w:val="001A5F4C"/>
    <w:rsid w:val="001A5F8A"/>
    <w:rsid w:val="001A66EF"/>
    <w:rsid w:val="001A680F"/>
    <w:rsid w:val="001A681A"/>
    <w:rsid w:val="001A6AA4"/>
    <w:rsid w:val="001A6AF7"/>
    <w:rsid w:val="001A6E76"/>
    <w:rsid w:val="001A6F17"/>
    <w:rsid w:val="001A7265"/>
    <w:rsid w:val="001A77B6"/>
    <w:rsid w:val="001A7856"/>
    <w:rsid w:val="001A78EF"/>
    <w:rsid w:val="001A7B46"/>
    <w:rsid w:val="001A7CEC"/>
    <w:rsid w:val="001A7E66"/>
    <w:rsid w:val="001A7E6A"/>
    <w:rsid w:val="001A7EF0"/>
    <w:rsid w:val="001B00B7"/>
    <w:rsid w:val="001B0209"/>
    <w:rsid w:val="001B05FC"/>
    <w:rsid w:val="001B06C1"/>
    <w:rsid w:val="001B0734"/>
    <w:rsid w:val="001B0B54"/>
    <w:rsid w:val="001B0CE9"/>
    <w:rsid w:val="001B0D99"/>
    <w:rsid w:val="001B0DEA"/>
    <w:rsid w:val="001B111B"/>
    <w:rsid w:val="001B16D8"/>
    <w:rsid w:val="001B16DC"/>
    <w:rsid w:val="001B1C80"/>
    <w:rsid w:val="001B1C8F"/>
    <w:rsid w:val="001B1D46"/>
    <w:rsid w:val="001B1E57"/>
    <w:rsid w:val="001B1E9D"/>
    <w:rsid w:val="001B21D8"/>
    <w:rsid w:val="001B2208"/>
    <w:rsid w:val="001B2650"/>
    <w:rsid w:val="001B28C0"/>
    <w:rsid w:val="001B2B16"/>
    <w:rsid w:val="001B2B41"/>
    <w:rsid w:val="001B2BB7"/>
    <w:rsid w:val="001B2C29"/>
    <w:rsid w:val="001B2D3F"/>
    <w:rsid w:val="001B2D81"/>
    <w:rsid w:val="001B2E6F"/>
    <w:rsid w:val="001B2F5F"/>
    <w:rsid w:val="001B301D"/>
    <w:rsid w:val="001B355E"/>
    <w:rsid w:val="001B3799"/>
    <w:rsid w:val="001B37EF"/>
    <w:rsid w:val="001B382C"/>
    <w:rsid w:val="001B3831"/>
    <w:rsid w:val="001B3850"/>
    <w:rsid w:val="001B3954"/>
    <w:rsid w:val="001B396B"/>
    <w:rsid w:val="001B3BCD"/>
    <w:rsid w:val="001B3C3B"/>
    <w:rsid w:val="001B3E34"/>
    <w:rsid w:val="001B3E5D"/>
    <w:rsid w:val="001B3F2B"/>
    <w:rsid w:val="001B424D"/>
    <w:rsid w:val="001B4607"/>
    <w:rsid w:val="001B48A8"/>
    <w:rsid w:val="001B49F6"/>
    <w:rsid w:val="001B4A62"/>
    <w:rsid w:val="001B4B00"/>
    <w:rsid w:val="001B4B23"/>
    <w:rsid w:val="001B512E"/>
    <w:rsid w:val="001B5167"/>
    <w:rsid w:val="001B549D"/>
    <w:rsid w:val="001B54D7"/>
    <w:rsid w:val="001B555E"/>
    <w:rsid w:val="001B55E6"/>
    <w:rsid w:val="001B5636"/>
    <w:rsid w:val="001B5A98"/>
    <w:rsid w:val="001B5E9B"/>
    <w:rsid w:val="001B5F8D"/>
    <w:rsid w:val="001B626B"/>
    <w:rsid w:val="001B62A5"/>
    <w:rsid w:val="001B6654"/>
    <w:rsid w:val="001B697B"/>
    <w:rsid w:val="001B6B00"/>
    <w:rsid w:val="001B6B55"/>
    <w:rsid w:val="001B6D9B"/>
    <w:rsid w:val="001B6DBE"/>
    <w:rsid w:val="001B6DE2"/>
    <w:rsid w:val="001B6E4E"/>
    <w:rsid w:val="001B7074"/>
    <w:rsid w:val="001B7177"/>
    <w:rsid w:val="001B76DD"/>
    <w:rsid w:val="001B7C3A"/>
    <w:rsid w:val="001B7E1E"/>
    <w:rsid w:val="001B7E46"/>
    <w:rsid w:val="001C00F8"/>
    <w:rsid w:val="001C0250"/>
    <w:rsid w:val="001C064A"/>
    <w:rsid w:val="001C0963"/>
    <w:rsid w:val="001C0A2F"/>
    <w:rsid w:val="001C0BA5"/>
    <w:rsid w:val="001C0DF6"/>
    <w:rsid w:val="001C0E0F"/>
    <w:rsid w:val="001C0F3B"/>
    <w:rsid w:val="001C11B7"/>
    <w:rsid w:val="001C1517"/>
    <w:rsid w:val="001C1574"/>
    <w:rsid w:val="001C15BB"/>
    <w:rsid w:val="001C1750"/>
    <w:rsid w:val="001C1A14"/>
    <w:rsid w:val="001C1A67"/>
    <w:rsid w:val="001C1B41"/>
    <w:rsid w:val="001C1C58"/>
    <w:rsid w:val="001C1E6A"/>
    <w:rsid w:val="001C1F48"/>
    <w:rsid w:val="001C2459"/>
    <w:rsid w:val="001C24A5"/>
    <w:rsid w:val="001C24B2"/>
    <w:rsid w:val="001C266C"/>
    <w:rsid w:val="001C26B9"/>
    <w:rsid w:val="001C2CD5"/>
    <w:rsid w:val="001C2CEC"/>
    <w:rsid w:val="001C2DD1"/>
    <w:rsid w:val="001C2E89"/>
    <w:rsid w:val="001C2EEC"/>
    <w:rsid w:val="001C311B"/>
    <w:rsid w:val="001C334B"/>
    <w:rsid w:val="001C342E"/>
    <w:rsid w:val="001C3479"/>
    <w:rsid w:val="001C34E0"/>
    <w:rsid w:val="001C35D3"/>
    <w:rsid w:val="001C3603"/>
    <w:rsid w:val="001C3616"/>
    <w:rsid w:val="001C38CF"/>
    <w:rsid w:val="001C39B7"/>
    <w:rsid w:val="001C3B7A"/>
    <w:rsid w:val="001C3C7D"/>
    <w:rsid w:val="001C3CFB"/>
    <w:rsid w:val="001C3D1B"/>
    <w:rsid w:val="001C3D43"/>
    <w:rsid w:val="001C3D57"/>
    <w:rsid w:val="001C4050"/>
    <w:rsid w:val="001C40DE"/>
    <w:rsid w:val="001C422E"/>
    <w:rsid w:val="001C4372"/>
    <w:rsid w:val="001C44D8"/>
    <w:rsid w:val="001C4660"/>
    <w:rsid w:val="001C4662"/>
    <w:rsid w:val="001C468A"/>
    <w:rsid w:val="001C46FF"/>
    <w:rsid w:val="001C4829"/>
    <w:rsid w:val="001C49AC"/>
    <w:rsid w:val="001C4A7A"/>
    <w:rsid w:val="001C4C41"/>
    <w:rsid w:val="001C4D6C"/>
    <w:rsid w:val="001C4DCE"/>
    <w:rsid w:val="001C4DF9"/>
    <w:rsid w:val="001C4EE2"/>
    <w:rsid w:val="001C50A8"/>
    <w:rsid w:val="001C50E3"/>
    <w:rsid w:val="001C50F6"/>
    <w:rsid w:val="001C51D8"/>
    <w:rsid w:val="001C5294"/>
    <w:rsid w:val="001C538C"/>
    <w:rsid w:val="001C553D"/>
    <w:rsid w:val="001C5CC3"/>
    <w:rsid w:val="001C5D46"/>
    <w:rsid w:val="001C5D7C"/>
    <w:rsid w:val="001C5DA1"/>
    <w:rsid w:val="001C5DEF"/>
    <w:rsid w:val="001C5DF3"/>
    <w:rsid w:val="001C600A"/>
    <w:rsid w:val="001C6085"/>
    <w:rsid w:val="001C61A5"/>
    <w:rsid w:val="001C6513"/>
    <w:rsid w:val="001C6950"/>
    <w:rsid w:val="001C69CB"/>
    <w:rsid w:val="001C6D60"/>
    <w:rsid w:val="001C6E96"/>
    <w:rsid w:val="001C6E9B"/>
    <w:rsid w:val="001C7061"/>
    <w:rsid w:val="001C7178"/>
    <w:rsid w:val="001C7303"/>
    <w:rsid w:val="001C7446"/>
    <w:rsid w:val="001C7667"/>
    <w:rsid w:val="001C76A2"/>
    <w:rsid w:val="001C76EA"/>
    <w:rsid w:val="001C7ABF"/>
    <w:rsid w:val="001C7D85"/>
    <w:rsid w:val="001C7D93"/>
    <w:rsid w:val="001C7D96"/>
    <w:rsid w:val="001C7DF7"/>
    <w:rsid w:val="001C7ED4"/>
    <w:rsid w:val="001D025C"/>
    <w:rsid w:val="001D0386"/>
    <w:rsid w:val="001D06B5"/>
    <w:rsid w:val="001D0A1C"/>
    <w:rsid w:val="001D0C73"/>
    <w:rsid w:val="001D0CDE"/>
    <w:rsid w:val="001D0DD5"/>
    <w:rsid w:val="001D0E13"/>
    <w:rsid w:val="001D0F43"/>
    <w:rsid w:val="001D1116"/>
    <w:rsid w:val="001D1243"/>
    <w:rsid w:val="001D128A"/>
    <w:rsid w:val="001D14F8"/>
    <w:rsid w:val="001D1767"/>
    <w:rsid w:val="001D18ED"/>
    <w:rsid w:val="001D19D2"/>
    <w:rsid w:val="001D1B0A"/>
    <w:rsid w:val="001D1E26"/>
    <w:rsid w:val="001D1F3A"/>
    <w:rsid w:val="001D1F6C"/>
    <w:rsid w:val="001D1FBC"/>
    <w:rsid w:val="001D21C0"/>
    <w:rsid w:val="001D2518"/>
    <w:rsid w:val="001D253D"/>
    <w:rsid w:val="001D2573"/>
    <w:rsid w:val="001D26C4"/>
    <w:rsid w:val="001D273E"/>
    <w:rsid w:val="001D2941"/>
    <w:rsid w:val="001D2BAA"/>
    <w:rsid w:val="001D2BEB"/>
    <w:rsid w:val="001D2DE3"/>
    <w:rsid w:val="001D2F57"/>
    <w:rsid w:val="001D30B3"/>
    <w:rsid w:val="001D3128"/>
    <w:rsid w:val="001D33E9"/>
    <w:rsid w:val="001D37E2"/>
    <w:rsid w:val="001D38B1"/>
    <w:rsid w:val="001D3961"/>
    <w:rsid w:val="001D3970"/>
    <w:rsid w:val="001D3A39"/>
    <w:rsid w:val="001D3A63"/>
    <w:rsid w:val="001D3B00"/>
    <w:rsid w:val="001D3B40"/>
    <w:rsid w:val="001D3B6C"/>
    <w:rsid w:val="001D3CB6"/>
    <w:rsid w:val="001D40CA"/>
    <w:rsid w:val="001D414E"/>
    <w:rsid w:val="001D42AE"/>
    <w:rsid w:val="001D4321"/>
    <w:rsid w:val="001D432F"/>
    <w:rsid w:val="001D4401"/>
    <w:rsid w:val="001D4441"/>
    <w:rsid w:val="001D48E1"/>
    <w:rsid w:val="001D49D8"/>
    <w:rsid w:val="001D4A01"/>
    <w:rsid w:val="001D4C0A"/>
    <w:rsid w:val="001D4C6B"/>
    <w:rsid w:val="001D4D42"/>
    <w:rsid w:val="001D4D9B"/>
    <w:rsid w:val="001D4F9B"/>
    <w:rsid w:val="001D505D"/>
    <w:rsid w:val="001D55A7"/>
    <w:rsid w:val="001D5644"/>
    <w:rsid w:val="001D570B"/>
    <w:rsid w:val="001D579D"/>
    <w:rsid w:val="001D59BF"/>
    <w:rsid w:val="001D59DF"/>
    <w:rsid w:val="001D5BC7"/>
    <w:rsid w:val="001D5C0A"/>
    <w:rsid w:val="001D5C87"/>
    <w:rsid w:val="001D5CB2"/>
    <w:rsid w:val="001D5D68"/>
    <w:rsid w:val="001D5DA0"/>
    <w:rsid w:val="001D5DB8"/>
    <w:rsid w:val="001D6011"/>
    <w:rsid w:val="001D636E"/>
    <w:rsid w:val="001D6372"/>
    <w:rsid w:val="001D68CC"/>
    <w:rsid w:val="001D6A16"/>
    <w:rsid w:val="001D6AEC"/>
    <w:rsid w:val="001D6C15"/>
    <w:rsid w:val="001D6E4F"/>
    <w:rsid w:val="001D6E93"/>
    <w:rsid w:val="001D71D2"/>
    <w:rsid w:val="001D7304"/>
    <w:rsid w:val="001D73C1"/>
    <w:rsid w:val="001D7430"/>
    <w:rsid w:val="001D745A"/>
    <w:rsid w:val="001D74B1"/>
    <w:rsid w:val="001D75CE"/>
    <w:rsid w:val="001D7704"/>
    <w:rsid w:val="001D7788"/>
    <w:rsid w:val="001D7857"/>
    <w:rsid w:val="001D7D36"/>
    <w:rsid w:val="001D7E49"/>
    <w:rsid w:val="001E02DA"/>
    <w:rsid w:val="001E0409"/>
    <w:rsid w:val="001E04EF"/>
    <w:rsid w:val="001E04F6"/>
    <w:rsid w:val="001E089B"/>
    <w:rsid w:val="001E0903"/>
    <w:rsid w:val="001E0A9C"/>
    <w:rsid w:val="001E0AC9"/>
    <w:rsid w:val="001E0CDA"/>
    <w:rsid w:val="001E0E14"/>
    <w:rsid w:val="001E0E7D"/>
    <w:rsid w:val="001E0ED7"/>
    <w:rsid w:val="001E1217"/>
    <w:rsid w:val="001E169A"/>
    <w:rsid w:val="001E18EB"/>
    <w:rsid w:val="001E1C1B"/>
    <w:rsid w:val="001E1F6A"/>
    <w:rsid w:val="001E2271"/>
    <w:rsid w:val="001E2364"/>
    <w:rsid w:val="001E245C"/>
    <w:rsid w:val="001E2716"/>
    <w:rsid w:val="001E275A"/>
    <w:rsid w:val="001E276E"/>
    <w:rsid w:val="001E2905"/>
    <w:rsid w:val="001E2942"/>
    <w:rsid w:val="001E2A32"/>
    <w:rsid w:val="001E2BD9"/>
    <w:rsid w:val="001E2D0E"/>
    <w:rsid w:val="001E334B"/>
    <w:rsid w:val="001E34B2"/>
    <w:rsid w:val="001E3614"/>
    <w:rsid w:val="001E37B6"/>
    <w:rsid w:val="001E37CC"/>
    <w:rsid w:val="001E386E"/>
    <w:rsid w:val="001E3998"/>
    <w:rsid w:val="001E3A63"/>
    <w:rsid w:val="001E3AEE"/>
    <w:rsid w:val="001E3B3C"/>
    <w:rsid w:val="001E3CFF"/>
    <w:rsid w:val="001E40B1"/>
    <w:rsid w:val="001E43BB"/>
    <w:rsid w:val="001E478C"/>
    <w:rsid w:val="001E480F"/>
    <w:rsid w:val="001E4A7B"/>
    <w:rsid w:val="001E4AE9"/>
    <w:rsid w:val="001E4C7A"/>
    <w:rsid w:val="001E5208"/>
    <w:rsid w:val="001E529A"/>
    <w:rsid w:val="001E52F2"/>
    <w:rsid w:val="001E546A"/>
    <w:rsid w:val="001E55D9"/>
    <w:rsid w:val="001E566B"/>
    <w:rsid w:val="001E57F8"/>
    <w:rsid w:val="001E5802"/>
    <w:rsid w:val="001E5B03"/>
    <w:rsid w:val="001E5B6B"/>
    <w:rsid w:val="001E5B79"/>
    <w:rsid w:val="001E5DEA"/>
    <w:rsid w:val="001E5F3B"/>
    <w:rsid w:val="001E6004"/>
    <w:rsid w:val="001E62E3"/>
    <w:rsid w:val="001E6366"/>
    <w:rsid w:val="001E63E2"/>
    <w:rsid w:val="001E64E0"/>
    <w:rsid w:val="001E6950"/>
    <w:rsid w:val="001E6965"/>
    <w:rsid w:val="001E69ED"/>
    <w:rsid w:val="001E6D19"/>
    <w:rsid w:val="001E6D8E"/>
    <w:rsid w:val="001E704F"/>
    <w:rsid w:val="001E7481"/>
    <w:rsid w:val="001E74C7"/>
    <w:rsid w:val="001E753D"/>
    <w:rsid w:val="001E75E6"/>
    <w:rsid w:val="001E761E"/>
    <w:rsid w:val="001E787C"/>
    <w:rsid w:val="001E794A"/>
    <w:rsid w:val="001E79FD"/>
    <w:rsid w:val="001E7A73"/>
    <w:rsid w:val="001E7DF6"/>
    <w:rsid w:val="001E7F42"/>
    <w:rsid w:val="001F01A3"/>
    <w:rsid w:val="001F055A"/>
    <w:rsid w:val="001F05B0"/>
    <w:rsid w:val="001F0631"/>
    <w:rsid w:val="001F06A5"/>
    <w:rsid w:val="001F06ED"/>
    <w:rsid w:val="001F077B"/>
    <w:rsid w:val="001F0A97"/>
    <w:rsid w:val="001F0CFA"/>
    <w:rsid w:val="001F0D14"/>
    <w:rsid w:val="001F0DD0"/>
    <w:rsid w:val="001F0F75"/>
    <w:rsid w:val="001F0F99"/>
    <w:rsid w:val="001F1023"/>
    <w:rsid w:val="001F1238"/>
    <w:rsid w:val="001F1335"/>
    <w:rsid w:val="001F173F"/>
    <w:rsid w:val="001F1BBA"/>
    <w:rsid w:val="001F1E3E"/>
    <w:rsid w:val="001F1EB1"/>
    <w:rsid w:val="001F2068"/>
    <w:rsid w:val="001F2345"/>
    <w:rsid w:val="001F2437"/>
    <w:rsid w:val="001F26E6"/>
    <w:rsid w:val="001F27C6"/>
    <w:rsid w:val="001F29A4"/>
    <w:rsid w:val="001F2A7A"/>
    <w:rsid w:val="001F2AE2"/>
    <w:rsid w:val="001F2AF3"/>
    <w:rsid w:val="001F2BB5"/>
    <w:rsid w:val="001F2BCF"/>
    <w:rsid w:val="001F2C50"/>
    <w:rsid w:val="001F2C61"/>
    <w:rsid w:val="001F2D6E"/>
    <w:rsid w:val="001F2DFA"/>
    <w:rsid w:val="001F318A"/>
    <w:rsid w:val="001F362F"/>
    <w:rsid w:val="001F3912"/>
    <w:rsid w:val="001F3A8F"/>
    <w:rsid w:val="001F3B5B"/>
    <w:rsid w:val="001F3C2A"/>
    <w:rsid w:val="001F3CCE"/>
    <w:rsid w:val="001F3E6B"/>
    <w:rsid w:val="001F3FCA"/>
    <w:rsid w:val="001F3FD6"/>
    <w:rsid w:val="001F4128"/>
    <w:rsid w:val="001F4427"/>
    <w:rsid w:val="001F44F1"/>
    <w:rsid w:val="001F452B"/>
    <w:rsid w:val="001F4B31"/>
    <w:rsid w:val="001F4F3B"/>
    <w:rsid w:val="001F4F48"/>
    <w:rsid w:val="001F4FA2"/>
    <w:rsid w:val="001F50D5"/>
    <w:rsid w:val="001F52F7"/>
    <w:rsid w:val="001F530E"/>
    <w:rsid w:val="001F53AF"/>
    <w:rsid w:val="001F5414"/>
    <w:rsid w:val="001F5451"/>
    <w:rsid w:val="001F5630"/>
    <w:rsid w:val="001F5856"/>
    <w:rsid w:val="001F5A49"/>
    <w:rsid w:val="001F5A97"/>
    <w:rsid w:val="001F5BA4"/>
    <w:rsid w:val="001F5C99"/>
    <w:rsid w:val="001F5DBB"/>
    <w:rsid w:val="001F5E8D"/>
    <w:rsid w:val="001F5F22"/>
    <w:rsid w:val="001F606A"/>
    <w:rsid w:val="001F6273"/>
    <w:rsid w:val="001F6546"/>
    <w:rsid w:val="001F66CB"/>
    <w:rsid w:val="001F68BF"/>
    <w:rsid w:val="001F6932"/>
    <w:rsid w:val="001F6990"/>
    <w:rsid w:val="001F6A18"/>
    <w:rsid w:val="001F6A86"/>
    <w:rsid w:val="001F6B39"/>
    <w:rsid w:val="001F6B7F"/>
    <w:rsid w:val="001F6E31"/>
    <w:rsid w:val="001F71B4"/>
    <w:rsid w:val="001F7367"/>
    <w:rsid w:val="001F7444"/>
    <w:rsid w:val="001F74A9"/>
    <w:rsid w:val="001F7662"/>
    <w:rsid w:val="001F78E4"/>
    <w:rsid w:val="001F7A92"/>
    <w:rsid w:val="001F7ABC"/>
    <w:rsid w:val="001F7B4D"/>
    <w:rsid w:val="001F7C5E"/>
    <w:rsid w:val="002001F6"/>
    <w:rsid w:val="002002A5"/>
    <w:rsid w:val="002002E9"/>
    <w:rsid w:val="002003AC"/>
    <w:rsid w:val="002005A4"/>
    <w:rsid w:val="002005DF"/>
    <w:rsid w:val="00200638"/>
    <w:rsid w:val="002007D1"/>
    <w:rsid w:val="002007FE"/>
    <w:rsid w:val="002008B9"/>
    <w:rsid w:val="00200CBE"/>
    <w:rsid w:val="00200E35"/>
    <w:rsid w:val="002011A9"/>
    <w:rsid w:val="002011AC"/>
    <w:rsid w:val="002012CA"/>
    <w:rsid w:val="00201419"/>
    <w:rsid w:val="0020165C"/>
    <w:rsid w:val="00201704"/>
    <w:rsid w:val="0020170E"/>
    <w:rsid w:val="0020181B"/>
    <w:rsid w:val="00201838"/>
    <w:rsid w:val="00201956"/>
    <w:rsid w:val="00201973"/>
    <w:rsid w:val="00201A72"/>
    <w:rsid w:val="00201ADB"/>
    <w:rsid w:val="00201B37"/>
    <w:rsid w:val="00201B74"/>
    <w:rsid w:val="00201E16"/>
    <w:rsid w:val="00201EDE"/>
    <w:rsid w:val="00202151"/>
    <w:rsid w:val="0020238F"/>
    <w:rsid w:val="0020240D"/>
    <w:rsid w:val="00202454"/>
    <w:rsid w:val="0020263F"/>
    <w:rsid w:val="00202757"/>
    <w:rsid w:val="0020283C"/>
    <w:rsid w:val="0020299F"/>
    <w:rsid w:val="00202D55"/>
    <w:rsid w:val="00202DF6"/>
    <w:rsid w:val="0020357B"/>
    <w:rsid w:val="002035C4"/>
    <w:rsid w:val="002036FE"/>
    <w:rsid w:val="002038CC"/>
    <w:rsid w:val="00203981"/>
    <w:rsid w:val="00203A19"/>
    <w:rsid w:val="00203AD3"/>
    <w:rsid w:val="00203BF7"/>
    <w:rsid w:val="00203F93"/>
    <w:rsid w:val="00204053"/>
    <w:rsid w:val="002040A7"/>
    <w:rsid w:val="0020417B"/>
    <w:rsid w:val="00204367"/>
    <w:rsid w:val="002043CA"/>
    <w:rsid w:val="00204582"/>
    <w:rsid w:val="0020472A"/>
    <w:rsid w:val="0020488F"/>
    <w:rsid w:val="00204946"/>
    <w:rsid w:val="0020498B"/>
    <w:rsid w:val="00204C4A"/>
    <w:rsid w:val="00205103"/>
    <w:rsid w:val="00205134"/>
    <w:rsid w:val="00205161"/>
    <w:rsid w:val="002052AA"/>
    <w:rsid w:val="002056EB"/>
    <w:rsid w:val="00205725"/>
    <w:rsid w:val="00205758"/>
    <w:rsid w:val="002058F7"/>
    <w:rsid w:val="00205A68"/>
    <w:rsid w:val="00205E2C"/>
    <w:rsid w:val="00206287"/>
    <w:rsid w:val="002062DD"/>
    <w:rsid w:val="002065A7"/>
    <w:rsid w:val="00206904"/>
    <w:rsid w:val="00206978"/>
    <w:rsid w:val="002069CC"/>
    <w:rsid w:val="00206B07"/>
    <w:rsid w:val="00206CF7"/>
    <w:rsid w:val="00206D22"/>
    <w:rsid w:val="00206E97"/>
    <w:rsid w:val="00207094"/>
    <w:rsid w:val="00207299"/>
    <w:rsid w:val="002077E4"/>
    <w:rsid w:val="00207955"/>
    <w:rsid w:val="00207D23"/>
    <w:rsid w:val="00207DE0"/>
    <w:rsid w:val="0021021E"/>
    <w:rsid w:val="00210547"/>
    <w:rsid w:val="0021094E"/>
    <w:rsid w:val="00210968"/>
    <w:rsid w:val="00210BBD"/>
    <w:rsid w:val="00210BDA"/>
    <w:rsid w:val="00210C7B"/>
    <w:rsid w:val="00210C9D"/>
    <w:rsid w:val="00210CA7"/>
    <w:rsid w:val="00210DD1"/>
    <w:rsid w:val="0021105D"/>
    <w:rsid w:val="00211216"/>
    <w:rsid w:val="002112E2"/>
    <w:rsid w:val="002113FB"/>
    <w:rsid w:val="002115E1"/>
    <w:rsid w:val="0021162E"/>
    <w:rsid w:val="00211636"/>
    <w:rsid w:val="00211866"/>
    <w:rsid w:val="002119E7"/>
    <w:rsid w:val="00211AC7"/>
    <w:rsid w:val="00211DB1"/>
    <w:rsid w:val="00211DB2"/>
    <w:rsid w:val="00211DDD"/>
    <w:rsid w:val="00211EAD"/>
    <w:rsid w:val="002120AC"/>
    <w:rsid w:val="0021218F"/>
    <w:rsid w:val="002122B4"/>
    <w:rsid w:val="00212390"/>
    <w:rsid w:val="002124E6"/>
    <w:rsid w:val="00212516"/>
    <w:rsid w:val="00212782"/>
    <w:rsid w:val="002127A3"/>
    <w:rsid w:val="00212944"/>
    <w:rsid w:val="002129FA"/>
    <w:rsid w:val="00212DD8"/>
    <w:rsid w:val="0021345B"/>
    <w:rsid w:val="0021381E"/>
    <w:rsid w:val="00213889"/>
    <w:rsid w:val="00213A73"/>
    <w:rsid w:val="00213AAD"/>
    <w:rsid w:val="00213C03"/>
    <w:rsid w:val="00213C54"/>
    <w:rsid w:val="00213CE6"/>
    <w:rsid w:val="00213D61"/>
    <w:rsid w:val="00213D78"/>
    <w:rsid w:val="00213DD3"/>
    <w:rsid w:val="00214087"/>
    <w:rsid w:val="00214232"/>
    <w:rsid w:val="00214303"/>
    <w:rsid w:val="00214323"/>
    <w:rsid w:val="00214357"/>
    <w:rsid w:val="00214478"/>
    <w:rsid w:val="002145D6"/>
    <w:rsid w:val="0021470E"/>
    <w:rsid w:val="00214B44"/>
    <w:rsid w:val="00214C40"/>
    <w:rsid w:val="00214C8A"/>
    <w:rsid w:val="00214D1B"/>
    <w:rsid w:val="00214D96"/>
    <w:rsid w:val="00214F37"/>
    <w:rsid w:val="00214FBE"/>
    <w:rsid w:val="002152E8"/>
    <w:rsid w:val="002153B2"/>
    <w:rsid w:val="0021569A"/>
    <w:rsid w:val="002157D6"/>
    <w:rsid w:val="00215835"/>
    <w:rsid w:val="0021589B"/>
    <w:rsid w:val="0021591D"/>
    <w:rsid w:val="00215BB7"/>
    <w:rsid w:val="00215CDF"/>
    <w:rsid w:val="00215DF3"/>
    <w:rsid w:val="00215F1C"/>
    <w:rsid w:val="00215F82"/>
    <w:rsid w:val="00216046"/>
    <w:rsid w:val="002161FC"/>
    <w:rsid w:val="00216386"/>
    <w:rsid w:val="00216745"/>
    <w:rsid w:val="002167B7"/>
    <w:rsid w:val="0021682E"/>
    <w:rsid w:val="00216B19"/>
    <w:rsid w:val="00216B81"/>
    <w:rsid w:val="00216D00"/>
    <w:rsid w:val="00216FBA"/>
    <w:rsid w:val="00217287"/>
    <w:rsid w:val="002179C5"/>
    <w:rsid w:val="00217B1B"/>
    <w:rsid w:val="00217BD7"/>
    <w:rsid w:val="00217F13"/>
    <w:rsid w:val="0022017E"/>
    <w:rsid w:val="00220217"/>
    <w:rsid w:val="0022032B"/>
    <w:rsid w:val="0022049F"/>
    <w:rsid w:val="002207B1"/>
    <w:rsid w:val="002209F9"/>
    <w:rsid w:val="00220A26"/>
    <w:rsid w:val="00220CCA"/>
    <w:rsid w:val="00220E2A"/>
    <w:rsid w:val="00220FDA"/>
    <w:rsid w:val="0022102F"/>
    <w:rsid w:val="00221101"/>
    <w:rsid w:val="00221102"/>
    <w:rsid w:val="002214D0"/>
    <w:rsid w:val="00221579"/>
    <w:rsid w:val="00221592"/>
    <w:rsid w:val="002215D9"/>
    <w:rsid w:val="002216C5"/>
    <w:rsid w:val="002218D3"/>
    <w:rsid w:val="0022199B"/>
    <w:rsid w:val="00221C1E"/>
    <w:rsid w:val="00221D68"/>
    <w:rsid w:val="00221E6B"/>
    <w:rsid w:val="00222219"/>
    <w:rsid w:val="002223AB"/>
    <w:rsid w:val="002223FF"/>
    <w:rsid w:val="00222443"/>
    <w:rsid w:val="00222630"/>
    <w:rsid w:val="002226E7"/>
    <w:rsid w:val="0022279B"/>
    <w:rsid w:val="00222980"/>
    <w:rsid w:val="00222CA3"/>
    <w:rsid w:val="00222E99"/>
    <w:rsid w:val="0022340E"/>
    <w:rsid w:val="00223C84"/>
    <w:rsid w:val="00223D2F"/>
    <w:rsid w:val="00223DD0"/>
    <w:rsid w:val="00223E68"/>
    <w:rsid w:val="00223FED"/>
    <w:rsid w:val="002242BA"/>
    <w:rsid w:val="00224340"/>
    <w:rsid w:val="002243F5"/>
    <w:rsid w:val="0022441D"/>
    <w:rsid w:val="002244FE"/>
    <w:rsid w:val="002245F1"/>
    <w:rsid w:val="002246B2"/>
    <w:rsid w:val="00224832"/>
    <w:rsid w:val="00224A4E"/>
    <w:rsid w:val="00224BDA"/>
    <w:rsid w:val="00224BEA"/>
    <w:rsid w:val="00224CF7"/>
    <w:rsid w:val="00224DB6"/>
    <w:rsid w:val="00224E70"/>
    <w:rsid w:val="002250CE"/>
    <w:rsid w:val="0022519B"/>
    <w:rsid w:val="00225314"/>
    <w:rsid w:val="0022537E"/>
    <w:rsid w:val="002253B3"/>
    <w:rsid w:val="00225439"/>
    <w:rsid w:val="002259EA"/>
    <w:rsid w:val="00225D87"/>
    <w:rsid w:val="00225FD9"/>
    <w:rsid w:val="002260CE"/>
    <w:rsid w:val="00226145"/>
    <w:rsid w:val="002262CF"/>
    <w:rsid w:val="0022643F"/>
    <w:rsid w:val="00226606"/>
    <w:rsid w:val="00226675"/>
    <w:rsid w:val="00226699"/>
    <w:rsid w:val="002267D7"/>
    <w:rsid w:val="00226840"/>
    <w:rsid w:val="002268D7"/>
    <w:rsid w:val="00226B36"/>
    <w:rsid w:val="00226F7C"/>
    <w:rsid w:val="00227104"/>
    <w:rsid w:val="002271A9"/>
    <w:rsid w:val="0022720A"/>
    <w:rsid w:val="002272BF"/>
    <w:rsid w:val="0022740F"/>
    <w:rsid w:val="0022745B"/>
    <w:rsid w:val="0022747B"/>
    <w:rsid w:val="0022755D"/>
    <w:rsid w:val="0022773E"/>
    <w:rsid w:val="00227819"/>
    <w:rsid w:val="00227BF9"/>
    <w:rsid w:val="00227C84"/>
    <w:rsid w:val="00227D18"/>
    <w:rsid w:val="0023032B"/>
    <w:rsid w:val="002303DE"/>
    <w:rsid w:val="00230464"/>
    <w:rsid w:val="00230494"/>
    <w:rsid w:val="0023074A"/>
    <w:rsid w:val="002307AA"/>
    <w:rsid w:val="0023099F"/>
    <w:rsid w:val="002309CC"/>
    <w:rsid w:val="00230BC1"/>
    <w:rsid w:val="00230E79"/>
    <w:rsid w:val="00230FF1"/>
    <w:rsid w:val="0023112E"/>
    <w:rsid w:val="0023118F"/>
    <w:rsid w:val="002311D3"/>
    <w:rsid w:val="00231225"/>
    <w:rsid w:val="0023131F"/>
    <w:rsid w:val="00231384"/>
    <w:rsid w:val="0023141E"/>
    <w:rsid w:val="0023152A"/>
    <w:rsid w:val="00231BF2"/>
    <w:rsid w:val="00231D27"/>
    <w:rsid w:val="00231D31"/>
    <w:rsid w:val="00231F0A"/>
    <w:rsid w:val="00231FA1"/>
    <w:rsid w:val="002320C6"/>
    <w:rsid w:val="002321EF"/>
    <w:rsid w:val="002324AA"/>
    <w:rsid w:val="002324AF"/>
    <w:rsid w:val="002324D1"/>
    <w:rsid w:val="0023285E"/>
    <w:rsid w:val="0023288F"/>
    <w:rsid w:val="00232908"/>
    <w:rsid w:val="00232938"/>
    <w:rsid w:val="00232B13"/>
    <w:rsid w:val="00232D23"/>
    <w:rsid w:val="00232D5F"/>
    <w:rsid w:val="00232EB8"/>
    <w:rsid w:val="00232F1F"/>
    <w:rsid w:val="00232FAD"/>
    <w:rsid w:val="00232FF1"/>
    <w:rsid w:val="002331BC"/>
    <w:rsid w:val="002331F1"/>
    <w:rsid w:val="002335B1"/>
    <w:rsid w:val="002336CE"/>
    <w:rsid w:val="00233782"/>
    <w:rsid w:val="002337A8"/>
    <w:rsid w:val="00233A5D"/>
    <w:rsid w:val="00233EB2"/>
    <w:rsid w:val="00233EDC"/>
    <w:rsid w:val="00233F85"/>
    <w:rsid w:val="00233FDD"/>
    <w:rsid w:val="00234491"/>
    <w:rsid w:val="002345E2"/>
    <w:rsid w:val="00234753"/>
    <w:rsid w:val="002347B7"/>
    <w:rsid w:val="00234A0F"/>
    <w:rsid w:val="00234A54"/>
    <w:rsid w:val="00234B67"/>
    <w:rsid w:val="00234C43"/>
    <w:rsid w:val="00234E00"/>
    <w:rsid w:val="00235001"/>
    <w:rsid w:val="00235051"/>
    <w:rsid w:val="00235265"/>
    <w:rsid w:val="002353A9"/>
    <w:rsid w:val="00235547"/>
    <w:rsid w:val="002355D7"/>
    <w:rsid w:val="00235645"/>
    <w:rsid w:val="00235735"/>
    <w:rsid w:val="00235997"/>
    <w:rsid w:val="002359DB"/>
    <w:rsid w:val="00235ECC"/>
    <w:rsid w:val="00236173"/>
    <w:rsid w:val="00236625"/>
    <w:rsid w:val="002366E5"/>
    <w:rsid w:val="002366E7"/>
    <w:rsid w:val="002367B4"/>
    <w:rsid w:val="0023685F"/>
    <w:rsid w:val="002368B5"/>
    <w:rsid w:val="00236D25"/>
    <w:rsid w:val="00236D2F"/>
    <w:rsid w:val="00236D85"/>
    <w:rsid w:val="002374AD"/>
    <w:rsid w:val="0023751D"/>
    <w:rsid w:val="0023773B"/>
    <w:rsid w:val="00237884"/>
    <w:rsid w:val="00237B75"/>
    <w:rsid w:val="00237BCF"/>
    <w:rsid w:val="00237C62"/>
    <w:rsid w:val="00237D01"/>
    <w:rsid w:val="00237D5D"/>
    <w:rsid w:val="002400F2"/>
    <w:rsid w:val="0024022F"/>
    <w:rsid w:val="002402AD"/>
    <w:rsid w:val="002403B7"/>
    <w:rsid w:val="00240756"/>
    <w:rsid w:val="00240A9C"/>
    <w:rsid w:val="00240AB6"/>
    <w:rsid w:val="00240CC7"/>
    <w:rsid w:val="00241170"/>
    <w:rsid w:val="0024146A"/>
    <w:rsid w:val="00241765"/>
    <w:rsid w:val="002417E6"/>
    <w:rsid w:val="002418B6"/>
    <w:rsid w:val="00241DFC"/>
    <w:rsid w:val="002420A5"/>
    <w:rsid w:val="002420AD"/>
    <w:rsid w:val="00242116"/>
    <w:rsid w:val="00242569"/>
    <w:rsid w:val="002425AF"/>
    <w:rsid w:val="00242615"/>
    <w:rsid w:val="00242653"/>
    <w:rsid w:val="00242D2C"/>
    <w:rsid w:val="0024305A"/>
    <w:rsid w:val="00243087"/>
    <w:rsid w:val="00243172"/>
    <w:rsid w:val="00243447"/>
    <w:rsid w:val="0024381C"/>
    <w:rsid w:val="00243AB4"/>
    <w:rsid w:val="00243B2D"/>
    <w:rsid w:val="00243BA3"/>
    <w:rsid w:val="00243BF2"/>
    <w:rsid w:val="00243C4A"/>
    <w:rsid w:val="00243E30"/>
    <w:rsid w:val="00243E65"/>
    <w:rsid w:val="00243F75"/>
    <w:rsid w:val="00243FA8"/>
    <w:rsid w:val="002442C0"/>
    <w:rsid w:val="002442FB"/>
    <w:rsid w:val="002443C1"/>
    <w:rsid w:val="002444B5"/>
    <w:rsid w:val="00244B3A"/>
    <w:rsid w:val="00244BF7"/>
    <w:rsid w:val="00244CAC"/>
    <w:rsid w:val="0024528C"/>
    <w:rsid w:val="00245414"/>
    <w:rsid w:val="0024547E"/>
    <w:rsid w:val="002454F8"/>
    <w:rsid w:val="00245581"/>
    <w:rsid w:val="00245849"/>
    <w:rsid w:val="0024616D"/>
    <w:rsid w:val="002461B8"/>
    <w:rsid w:val="002461F1"/>
    <w:rsid w:val="00246281"/>
    <w:rsid w:val="002462D3"/>
    <w:rsid w:val="002463DB"/>
    <w:rsid w:val="0024647C"/>
    <w:rsid w:val="0024652B"/>
    <w:rsid w:val="002465EB"/>
    <w:rsid w:val="0024670C"/>
    <w:rsid w:val="00246E79"/>
    <w:rsid w:val="0024747F"/>
    <w:rsid w:val="0024757C"/>
    <w:rsid w:val="00247699"/>
    <w:rsid w:val="00247738"/>
    <w:rsid w:val="00247887"/>
    <w:rsid w:val="00247935"/>
    <w:rsid w:val="0024795F"/>
    <w:rsid w:val="002479B2"/>
    <w:rsid w:val="00247D5B"/>
    <w:rsid w:val="002500B8"/>
    <w:rsid w:val="002507BC"/>
    <w:rsid w:val="00250983"/>
    <w:rsid w:val="00250AF8"/>
    <w:rsid w:val="00250BA5"/>
    <w:rsid w:val="00250CD3"/>
    <w:rsid w:val="00250E08"/>
    <w:rsid w:val="00250E5C"/>
    <w:rsid w:val="00251179"/>
    <w:rsid w:val="002511A7"/>
    <w:rsid w:val="0025149C"/>
    <w:rsid w:val="00251569"/>
    <w:rsid w:val="0025159D"/>
    <w:rsid w:val="002515DA"/>
    <w:rsid w:val="00251725"/>
    <w:rsid w:val="0025180A"/>
    <w:rsid w:val="0025183A"/>
    <w:rsid w:val="00251898"/>
    <w:rsid w:val="002519C4"/>
    <w:rsid w:val="002521EE"/>
    <w:rsid w:val="002521F7"/>
    <w:rsid w:val="00252331"/>
    <w:rsid w:val="00252375"/>
    <w:rsid w:val="002524D1"/>
    <w:rsid w:val="00252521"/>
    <w:rsid w:val="00252887"/>
    <w:rsid w:val="002528DD"/>
    <w:rsid w:val="002529BC"/>
    <w:rsid w:val="00252B1C"/>
    <w:rsid w:val="00252D00"/>
    <w:rsid w:val="00252D2E"/>
    <w:rsid w:val="00252E8E"/>
    <w:rsid w:val="00252EE4"/>
    <w:rsid w:val="002531C9"/>
    <w:rsid w:val="00253232"/>
    <w:rsid w:val="002533E3"/>
    <w:rsid w:val="0025347D"/>
    <w:rsid w:val="00253720"/>
    <w:rsid w:val="0025384C"/>
    <w:rsid w:val="00253A4F"/>
    <w:rsid w:val="00253F51"/>
    <w:rsid w:val="00253FD6"/>
    <w:rsid w:val="002541D6"/>
    <w:rsid w:val="002542C4"/>
    <w:rsid w:val="002545DF"/>
    <w:rsid w:val="002545E1"/>
    <w:rsid w:val="00254906"/>
    <w:rsid w:val="00254AB8"/>
    <w:rsid w:val="00254DF2"/>
    <w:rsid w:val="00254E9C"/>
    <w:rsid w:val="00254EAF"/>
    <w:rsid w:val="00254F39"/>
    <w:rsid w:val="00254FF7"/>
    <w:rsid w:val="0025533C"/>
    <w:rsid w:val="0025541F"/>
    <w:rsid w:val="002554CF"/>
    <w:rsid w:val="00255837"/>
    <w:rsid w:val="002559DF"/>
    <w:rsid w:val="00255AA2"/>
    <w:rsid w:val="00255B22"/>
    <w:rsid w:val="00255DCE"/>
    <w:rsid w:val="00255F9E"/>
    <w:rsid w:val="0025615A"/>
    <w:rsid w:val="002561CE"/>
    <w:rsid w:val="00256228"/>
    <w:rsid w:val="00256869"/>
    <w:rsid w:val="002568B3"/>
    <w:rsid w:val="00256AC5"/>
    <w:rsid w:val="00256DBD"/>
    <w:rsid w:val="00256E6F"/>
    <w:rsid w:val="00256EE2"/>
    <w:rsid w:val="00256FF9"/>
    <w:rsid w:val="002571DB"/>
    <w:rsid w:val="00257363"/>
    <w:rsid w:val="002574BC"/>
    <w:rsid w:val="00257603"/>
    <w:rsid w:val="00257795"/>
    <w:rsid w:val="00257B1D"/>
    <w:rsid w:val="00257BB8"/>
    <w:rsid w:val="00257CD3"/>
    <w:rsid w:val="00257ED6"/>
    <w:rsid w:val="00257F8D"/>
    <w:rsid w:val="002601C4"/>
    <w:rsid w:val="002601F9"/>
    <w:rsid w:val="002606E0"/>
    <w:rsid w:val="00260892"/>
    <w:rsid w:val="00260912"/>
    <w:rsid w:val="00260A06"/>
    <w:rsid w:val="00260AC4"/>
    <w:rsid w:val="00260ADB"/>
    <w:rsid w:val="00260B9A"/>
    <w:rsid w:val="00260D04"/>
    <w:rsid w:val="00260E9E"/>
    <w:rsid w:val="00261076"/>
    <w:rsid w:val="00261086"/>
    <w:rsid w:val="002611FC"/>
    <w:rsid w:val="002614CD"/>
    <w:rsid w:val="002614D9"/>
    <w:rsid w:val="00261890"/>
    <w:rsid w:val="00261963"/>
    <w:rsid w:val="00261B9E"/>
    <w:rsid w:val="00261D5E"/>
    <w:rsid w:val="00261D72"/>
    <w:rsid w:val="00261EDC"/>
    <w:rsid w:val="0026247F"/>
    <w:rsid w:val="002626DC"/>
    <w:rsid w:val="0026278E"/>
    <w:rsid w:val="002629F4"/>
    <w:rsid w:val="00262B3F"/>
    <w:rsid w:val="00262B4F"/>
    <w:rsid w:val="00262F06"/>
    <w:rsid w:val="00263284"/>
    <w:rsid w:val="0026335E"/>
    <w:rsid w:val="0026349D"/>
    <w:rsid w:val="002636E3"/>
    <w:rsid w:val="002637F2"/>
    <w:rsid w:val="00263A8F"/>
    <w:rsid w:val="00263F51"/>
    <w:rsid w:val="002640F9"/>
    <w:rsid w:val="0026420D"/>
    <w:rsid w:val="00264214"/>
    <w:rsid w:val="002644E8"/>
    <w:rsid w:val="002645C0"/>
    <w:rsid w:val="0026475E"/>
    <w:rsid w:val="00264AED"/>
    <w:rsid w:val="00264B2C"/>
    <w:rsid w:val="0026522D"/>
    <w:rsid w:val="002653B0"/>
    <w:rsid w:val="0026583B"/>
    <w:rsid w:val="00265841"/>
    <w:rsid w:val="00265883"/>
    <w:rsid w:val="00266035"/>
    <w:rsid w:val="00266194"/>
    <w:rsid w:val="002661F9"/>
    <w:rsid w:val="0026631F"/>
    <w:rsid w:val="002663AA"/>
    <w:rsid w:val="002664ED"/>
    <w:rsid w:val="00266607"/>
    <w:rsid w:val="002666B5"/>
    <w:rsid w:val="0026677F"/>
    <w:rsid w:val="002667C0"/>
    <w:rsid w:val="002668BF"/>
    <w:rsid w:val="00266903"/>
    <w:rsid w:val="00266D35"/>
    <w:rsid w:val="00266DFB"/>
    <w:rsid w:val="00266F91"/>
    <w:rsid w:val="0026714B"/>
    <w:rsid w:val="002675A5"/>
    <w:rsid w:val="002677D6"/>
    <w:rsid w:val="00267808"/>
    <w:rsid w:val="0026780D"/>
    <w:rsid w:val="00267973"/>
    <w:rsid w:val="00267B4E"/>
    <w:rsid w:val="0027031C"/>
    <w:rsid w:val="00270366"/>
    <w:rsid w:val="00270455"/>
    <w:rsid w:val="00270472"/>
    <w:rsid w:val="002706F3"/>
    <w:rsid w:val="002706F8"/>
    <w:rsid w:val="002707CD"/>
    <w:rsid w:val="00270979"/>
    <w:rsid w:val="002709A2"/>
    <w:rsid w:val="00270A6F"/>
    <w:rsid w:val="00270C51"/>
    <w:rsid w:val="00270FE2"/>
    <w:rsid w:val="0027116A"/>
    <w:rsid w:val="002712C9"/>
    <w:rsid w:val="0027133C"/>
    <w:rsid w:val="0027171A"/>
    <w:rsid w:val="0027174E"/>
    <w:rsid w:val="002717DC"/>
    <w:rsid w:val="00271CB9"/>
    <w:rsid w:val="002720A8"/>
    <w:rsid w:val="00272223"/>
    <w:rsid w:val="002723A1"/>
    <w:rsid w:val="0027270B"/>
    <w:rsid w:val="002728D3"/>
    <w:rsid w:val="00272BD3"/>
    <w:rsid w:val="00272C1A"/>
    <w:rsid w:val="00272D65"/>
    <w:rsid w:val="00272EC9"/>
    <w:rsid w:val="002733AD"/>
    <w:rsid w:val="0027371D"/>
    <w:rsid w:val="00273D7E"/>
    <w:rsid w:val="00274015"/>
    <w:rsid w:val="00274046"/>
    <w:rsid w:val="002740AA"/>
    <w:rsid w:val="0027417D"/>
    <w:rsid w:val="002741A8"/>
    <w:rsid w:val="0027428B"/>
    <w:rsid w:val="00274411"/>
    <w:rsid w:val="0027444D"/>
    <w:rsid w:val="0027477C"/>
    <w:rsid w:val="00274798"/>
    <w:rsid w:val="00274966"/>
    <w:rsid w:val="00274A18"/>
    <w:rsid w:val="00274AB5"/>
    <w:rsid w:val="00274B65"/>
    <w:rsid w:val="00274C58"/>
    <w:rsid w:val="00274D10"/>
    <w:rsid w:val="0027509A"/>
    <w:rsid w:val="0027510B"/>
    <w:rsid w:val="0027527E"/>
    <w:rsid w:val="00275435"/>
    <w:rsid w:val="00275551"/>
    <w:rsid w:val="00275595"/>
    <w:rsid w:val="002758B5"/>
    <w:rsid w:val="002759D4"/>
    <w:rsid w:val="00275B24"/>
    <w:rsid w:val="00275B37"/>
    <w:rsid w:val="00275B96"/>
    <w:rsid w:val="00275B9F"/>
    <w:rsid w:val="00276198"/>
    <w:rsid w:val="0027668F"/>
    <w:rsid w:val="002766F7"/>
    <w:rsid w:val="00276A37"/>
    <w:rsid w:val="00276E97"/>
    <w:rsid w:val="00276FD7"/>
    <w:rsid w:val="00277191"/>
    <w:rsid w:val="00277342"/>
    <w:rsid w:val="002774A6"/>
    <w:rsid w:val="00277688"/>
    <w:rsid w:val="0027770A"/>
    <w:rsid w:val="00277786"/>
    <w:rsid w:val="00277899"/>
    <w:rsid w:val="00277A10"/>
    <w:rsid w:val="00277B98"/>
    <w:rsid w:val="00277BF8"/>
    <w:rsid w:val="00277BFD"/>
    <w:rsid w:val="00277CD2"/>
    <w:rsid w:val="00277E1D"/>
    <w:rsid w:val="00277EFF"/>
    <w:rsid w:val="00277FA9"/>
    <w:rsid w:val="00280063"/>
    <w:rsid w:val="0028006A"/>
    <w:rsid w:val="00280183"/>
    <w:rsid w:val="002801E6"/>
    <w:rsid w:val="002802B9"/>
    <w:rsid w:val="002802F0"/>
    <w:rsid w:val="00280673"/>
    <w:rsid w:val="002807B8"/>
    <w:rsid w:val="00280809"/>
    <w:rsid w:val="002808DF"/>
    <w:rsid w:val="00280C32"/>
    <w:rsid w:val="00280CA6"/>
    <w:rsid w:val="00280E13"/>
    <w:rsid w:val="00280EC6"/>
    <w:rsid w:val="0028162E"/>
    <w:rsid w:val="0028179F"/>
    <w:rsid w:val="00281914"/>
    <w:rsid w:val="00281A1B"/>
    <w:rsid w:val="00281C6A"/>
    <w:rsid w:val="00281CD2"/>
    <w:rsid w:val="00281CD7"/>
    <w:rsid w:val="00281CDD"/>
    <w:rsid w:val="00281D07"/>
    <w:rsid w:val="00281D62"/>
    <w:rsid w:val="00281DAC"/>
    <w:rsid w:val="00281DF0"/>
    <w:rsid w:val="00281E0F"/>
    <w:rsid w:val="00282209"/>
    <w:rsid w:val="0028229C"/>
    <w:rsid w:val="002824D7"/>
    <w:rsid w:val="0028250E"/>
    <w:rsid w:val="002826DF"/>
    <w:rsid w:val="00282774"/>
    <w:rsid w:val="0028278D"/>
    <w:rsid w:val="00282CB4"/>
    <w:rsid w:val="00282CFA"/>
    <w:rsid w:val="00282E32"/>
    <w:rsid w:val="00283174"/>
    <w:rsid w:val="002831F1"/>
    <w:rsid w:val="00283253"/>
    <w:rsid w:val="002832B6"/>
    <w:rsid w:val="00283950"/>
    <w:rsid w:val="00283DC8"/>
    <w:rsid w:val="00283E05"/>
    <w:rsid w:val="00283ECE"/>
    <w:rsid w:val="00283FB4"/>
    <w:rsid w:val="002841A2"/>
    <w:rsid w:val="0028423B"/>
    <w:rsid w:val="002847F0"/>
    <w:rsid w:val="00284834"/>
    <w:rsid w:val="00284852"/>
    <w:rsid w:val="002848DA"/>
    <w:rsid w:val="00284A61"/>
    <w:rsid w:val="00284AB2"/>
    <w:rsid w:val="00284B63"/>
    <w:rsid w:val="00284D54"/>
    <w:rsid w:val="00284DEC"/>
    <w:rsid w:val="00285298"/>
    <w:rsid w:val="00285543"/>
    <w:rsid w:val="00285596"/>
    <w:rsid w:val="0028564A"/>
    <w:rsid w:val="0028581F"/>
    <w:rsid w:val="00285881"/>
    <w:rsid w:val="00285B61"/>
    <w:rsid w:val="00285C06"/>
    <w:rsid w:val="00286166"/>
    <w:rsid w:val="002863C7"/>
    <w:rsid w:val="002863D1"/>
    <w:rsid w:val="0028672B"/>
    <w:rsid w:val="00286821"/>
    <w:rsid w:val="00286B74"/>
    <w:rsid w:val="00286CAD"/>
    <w:rsid w:val="00286D0C"/>
    <w:rsid w:val="00286E2B"/>
    <w:rsid w:val="00286E3A"/>
    <w:rsid w:val="00286FD4"/>
    <w:rsid w:val="002870A1"/>
    <w:rsid w:val="00287295"/>
    <w:rsid w:val="00287387"/>
    <w:rsid w:val="0028743C"/>
    <w:rsid w:val="002874D7"/>
    <w:rsid w:val="00287590"/>
    <w:rsid w:val="002875BA"/>
    <w:rsid w:val="00287644"/>
    <w:rsid w:val="002876FE"/>
    <w:rsid w:val="0028771E"/>
    <w:rsid w:val="002877C4"/>
    <w:rsid w:val="0028794D"/>
    <w:rsid w:val="00287D7D"/>
    <w:rsid w:val="002903F8"/>
    <w:rsid w:val="0029049C"/>
    <w:rsid w:val="00290616"/>
    <w:rsid w:val="0029062B"/>
    <w:rsid w:val="0029093B"/>
    <w:rsid w:val="00290A32"/>
    <w:rsid w:val="00290AB7"/>
    <w:rsid w:val="00290B5C"/>
    <w:rsid w:val="00290BD8"/>
    <w:rsid w:val="00290CB0"/>
    <w:rsid w:val="00290E2B"/>
    <w:rsid w:val="002913E6"/>
    <w:rsid w:val="00291423"/>
    <w:rsid w:val="00291445"/>
    <w:rsid w:val="00291555"/>
    <w:rsid w:val="002915C9"/>
    <w:rsid w:val="002915DB"/>
    <w:rsid w:val="00291828"/>
    <w:rsid w:val="00291A5C"/>
    <w:rsid w:val="00291ABF"/>
    <w:rsid w:val="00291B51"/>
    <w:rsid w:val="00291B8B"/>
    <w:rsid w:val="00291C56"/>
    <w:rsid w:val="00291FBD"/>
    <w:rsid w:val="00292003"/>
    <w:rsid w:val="00292092"/>
    <w:rsid w:val="00292149"/>
    <w:rsid w:val="0029219D"/>
    <w:rsid w:val="002922E4"/>
    <w:rsid w:val="0029275D"/>
    <w:rsid w:val="00292905"/>
    <w:rsid w:val="00292A3F"/>
    <w:rsid w:val="00292A88"/>
    <w:rsid w:val="00292BEE"/>
    <w:rsid w:val="00292BF2"/>
    <w:rsid w:val="00292CB6"/>
    <w:rsid w:val="00292CC4"/>
    <w:rsid w:val="00292FCA"/>
    <w:rsid w:val="00293464"/>
    <w:rsid w:val="002934AE"/>
    <w:rsid w:val="0029378E"/>
    <w:rsid w:val="00293A16"/>
    <w:rsid w:val="00293B73"/>
    <w:rsid w:val="00293C1B"/>
    <w:rsid w:val="00293DD5"/>
    <w:rsid w:val="00293E75"/>
    <w:rsid w:val="00293EF4"/>
    <w:rsid w:val="00294064"/>
    <w:rsid w:val="00294182"/>
    <w:rsid w:val="002941B8"/>
    <w:rsid w:val="00294317"/>
    <w:rsid w:val="00294499"/>
    <w:rsid w:val="00294679"/>
    <w:rsid w:val="002946A8"/>
    <w:rsid w:val="0029474F"/>
    <w:rsid w:val="0029477E"/>
    <w:rsid w:val="002947F3"/>
    <w:rsid w:val="00294F19"/>
    <w:rsid w:val="00294F5E"/>
    <w:rsid w:val="00294F74"/>
    <w:rsid w:val="00295248"/>
    <w:rsid w:val="002954FD"/>
    <w:rsid w:val="0029551D"/>
    <w:rsid w:val="00295589"/>
    <w:rsid w:val="00295613"/>
    <w:rsid w:val="0029597E"/>
    <w:rsid w:val="002959F8"/>
    <w:rsid w:val="00295A10"/>
    <w:rsid w:val="00295B96"/>
    <w:rsid w:val="0029621B"/>
    <w:rsid w:val="002962DD"/>
    <w:rsid w:val="002963A0"/>
    <w:rsid w:val="00296A60"/>
    <w:rsid w:val="00296AAF"/>
    <w:rsid w:val="00296E07"/>
    <w:rsid w:val="00296E16"/>
    <w:rsid w:val="00296FF2"/>
    <w:rsid w:val="00297107"/>
    <w:rsid w:val="0029738A"/>
    <w:rsid w:val="002976ED"/>
    <w:rsid w:val="00297769"/>
    <w:rsid w:val="00297839"/>
    <w:rsid w:val="0029787B"/>
    <w:rsid w:val="00297D83"/>
    <w:rsid w:val="00297DE6"/>
    <w:rsid w:val="00297DF8"/>
    <w:rsid w:val="00297FF6"/>
    <w:rsid w:val="002A02B2"/>
    <w:rsid w:val="002A02E1"/>
    <w:rsid w:val="002A034D"/>
    <w:rsid w:val="002A0519"/>
    <w:rsid w:val="002A063E"/>
    <w:rsid w:val="002A086D"/>
    <w:rsid w:val="002A091A"/>
    <w:rsid w:val="002A0A18"/>
    <w:rsid w:val="002A0A67"/>
    <w:rsid w:val="002A0DF7"/>
    <w:rsid w:val="002A0E2E"/>
    <w:rsid w:val="002A0E9F"/>
    <w:rsid w:val="002A0F48"/>
    <w:rsid w:val="002A1140"/>
    <w:rsid w:val="002A1325"/>
    <w:rsid w:val="002A13BA"/>
    <w:rsid w:val="002A13D2"/>
    <w:rsid w:val="002A140C"/>
    <w:rsid w:val="002A1823"/>
    <w:rsid w:val="002A18DD"/>
    <w:rsid w:val="002A19C9"/>
    <w:rsid w:val="002A19D3"/>
    <w:rsid w:val="002A2054"/>
    <w:rsid w:val="002A2144"/>
    <w:rsid w:val="002A2404"/>
    <w:rsid w:val="002A26EA"/>
    <w:rsid w:val="002A2B5E"/>
    <w:rsid w:val="002A2B67"/>
    <w:rsid w:val="002A2BA5"/>
    <w:rsid w:val="002A2CE9"/>
    <w:rsid w:val="002A2E65"/>
    <w:rsid w:val="002A3270"/>
    <w:rsid w:val="002A338A"/>
    <w:rsid w:val="002A33E4"/>
    <w:rsid w:val="002A35E3"/>
    <w:rsid w:val="002A3823"/>
    <w:rsid w:val="002A3C75"/>
    <w:rsid w:val="002A3F7F"/>
    <w:rsid w:val="002A3FA3"/>
    <w:rsid w:val="002A40D4"/>
    <w:rsid w:val="002A44A2"/>
    <w:rsid w:val="002A46E5"/>
    <w:rsid w:val="002A4737"/>
    <w:rsid w:val="002A4A6A"/>
    <w:rsid w:val="002A4A87"/>
    <w:rsid w:val="002A4C61"/>
    <w:rsid w:val="002A4DF1"/>
    <w:rsid w:val="002A4EB8"/>
    <w:rsid w:val="002A4EBC"/>
    <w:rsid w:val="002A503E"/>
    <w:rsid w:val="002A518C"/>
    <w:rsid w:val="002A537E"/>
    <w:rsid w:val="002A5397"/>
    <w:rsid w:val="002A5424"/>
    <w:rsid w:val="002A5430"/>
    <w:rsid w:val="002A559B"/>
    <w:rsid w:val="002A56A4"/>
    <w:rsid w:val="002A56C6"/>
    <w:rsid w:val="002A5907"/>
    <w:rsid w:val="002A5AC9"/>
    <w:rsid w:val="002A5BA2"/>
    <w:rsid w:val="002A5C98"/>
    <w:rsid w:val="002A5DEA"/>
    <w:rsid w:val="002A5DEB"/>
    <w:rsid w:val="002A5F02"/>
    <w:rsid w:val="002A5F88"/>
    <w:rsid w:val="002A5FCA"/>
    <w:rsid w:val="002A6093"/>
    <w:rsid w:val="002A61B0"/>
    <w:rsid w:val="002A6258"/>
    <w:rsid w:val="002A6399"/>
    <w:rsid w:val="002A6528"/>
    <w:rsid w:val="002A6534"/>
    <w:rsid w:val="002A6581"/>
    <w:rsid w:val="002A6585"/>
    <w:rsid w:val="002A6A12"/>
    <w:rsid w:val="002A6B98"/>
    <w:rsid w:val="002A6D9E"/>
    <w:rsid w:val="002A6FD3"/>
    <w:rsid w:val="002A75B4"/>
    <w:rsid w:val="002A77F2"/>
    <w:rsid w:val="002A78D8"/>
    <w:rsid w:val="002A7AAC"/>
    <w:rsid w:val="002A7CCA"/>
    <w:rsid w:val="002A7CF6"/>
    <w:rsid w:val="002A7ECB"/>
    <w:rsid w:val="002A7FBA"/>
    <w:rsid w:val="002B012B"/>
    <w:rsid w:val="002B0363"/>
    <w:rsid w:val="002B060B"/>
    <w:rsid w:val="002B063E"/>
    <w:rsid w:val="002B092D"/>
    <w:rsid w:val="002B0933"/>
    <w:rsid w:val="002B099E"/>
    <w:rsid w:val="002B0BCE"/>
    <w:rsid w:val="002B0CC0"/>
    <w:rsid w:val="002B0D45"/>
    <w:rsid w:val="002B0DE6"/>
    <w:rsid w:val="002B0FD7"/>
    <w:rsid w:val="002B10EC"/>
    <w:rsid w:val="002B115F"/>
    <w:rsid w:val="002B122D"/>
    <w:rsid w:val="002B15AF"/>
    <w:rsid w:val="002B17C2"/>
    <w:rsid w:val="002B1C06"/>
    <w:rsid w:val="002B1C27"/>
    <w:rsid w:val="002B1CA0"/>
    <w:rsid w:val="002B1D7E"/>
    <w:rsid w:val="002B2071"/>
    <w:rsid w:val="002B2072"/>
    <w:rsid w:val="002B2293"/>
    <w:rsid w:val="002B269A"/>
    <w:rsid w:val="002B2A08"/>
    <w:rsid w:val="002B3063"/>
    <w:rsid w:val="002B30F1"/>
    <w:rsid w:val="002B3141"/>
    <w:rsid w:val="002B31D3"/>
    <w:rsid w:val="002B356F"/>
    <w:rsid w:val="002B3707"/>
    <w:rsid w:val="002B3950"/>
    <w:rsid w:val="002B433C"/>
    <w:rsid w:val="002B4488"/>
    <w:rsid w:val="002B4795"/>
    <w:rsid w:val="002B4A9F"/>
    <w:rsid w:val="002B4E13"/>
    <w:rsid w:val="002B4F80"/>
    <w:rsid w:val="002B4FB2"/>
    <w:rsid w:val="002B50F8"/>
    <w:rsid w:val="002B53C4"/>
    <w:rsid w:val="002B5474"/>
    <w:rsid w:val="002B5490"/>
    <w:rsid w:val="002B5B7B"/>
    <w:rsid w:val="002B5C96"/>
    <w:rsid w:val="002B5D4A"/>
    <w:rsid w:val="002B5F60"/>
    <w:rsid w:val="002B5FCD"/>
    <w:rsid w:val="002B62C6"/>
    <w:rsid w:val="002B6462"/>
    <w:rsid w:val="002B64CD"/>
    <w:rsid w:val="002B67AE"/>
    <w:rsid w:val="002B6837"/>
    <w:rsid w:val="002B6ADA"/>
    <w:rsid w:val="002B6E9B"/>
    <w:rsid w:val="002B6F62"/>
    <w:rsid w:val="002B7048"/>
    <w:rsid w:val="002B7697"/>
    <w:rsid w:val="002B773C"/>
    <w:rsid w:val="002B7887"/>
    <w:rsid w:val="002B7B66"/>
    <w:rsid w:val="002B7BB2"/>
    <w:rsid w:val="002B7C20"/>
    <w:rsid w:val="002B7E78"/>
    <w:rsid w:val="002B7FFE"/>
    <w:rsid w:val="002C01B5"/>
    <w:rsid w:val="002C03AC"/>
    <w:rsid w:val="002C05AF"/>
    <w:rsid w:val="002C06B9"/>
    <w:rsid w:val="002C0A75"/>
    <w:rsid w:val="002C0BA4"/>
    <w:rsid w:val="002C0BCE"/>
    <w:rsid w:val="002C0DEC"/>
    <w:rsid w:val="002C0F92"/>
    <w:rsid w:val="002C1185"/>
    <w:rsid w:val="002C11D1"/>
    <w:rsid w:val="002C1486"/>
    <w:rsid w:val="002C14A1"/>
    <w:rsid w:val="002C15EF"/>
    <w:rsid w:val="002C16A3"/>
    <w:rsid w:val="002C1CBF"/>
    <w:rsid w:val="002C1E37"/>
    <w:rsid w:val="002C2241"/>
    <w:rsid w:val="002C2501"/>
    <w:rsid w:val="002C2541"/>
    <w:rsid w:val="002C2615"/>
    <w:rsid w:val="002C2684"/>
    <w:rsid w:val="002C26D3"/>
    <w:rsid w:val="002C2A26"/>
    <w:rsid w:val="002C2CDA"/>
    <w:rsid w:val="002C2DF9"/>
    <w:rsid w:val="002C2F2A"/>
    <w:rsid w:val="002C303F"/>
    <w:rsid w:val="002C306C"/>
    <w:rsid w:val="002C308C"/>
    <w:rsid w:val="002C3268"/>
    <w:rsid w:val="002C3295"/>
    <w:rsid w:val="002C32F9"/>
    <w:rsid w:val="002C3389"/>
    <w:rsid w:val="002C3809"/>
    <w:rsid w:val="002C3957"/>
    <w:rsid w:val="002C39B7"/>
    <w:rsid w:val="002C3B6C"/>
    <w:rsid w:val="002C3B87"/>
    <w:rsid w:val="002C3DED"/>
    <w:rsid w:val="002C3E18"/>
    <w:rsid w:val="002C3E2B"/>
    <w:rsid w:val="002C402B"/>
    <w:rsid w:val="002C4256"/>
    <w:rsid w:val="002C4303"/>
    <w:rsid w:val="002C4311"/>
    <w:rsid w:val="002C4374"/>
    <w:rsid w:val="002C4561"/>
    <w:rsid w:val="002C47D9"/>
    <w:rsid w:val="002C4894"/>
    <w:rsid w:val="002C4942"/>
    <w:rsid w:val="002C498B"/>
    <w:rsid w:val="002C4AF2"/>
    <w:rsid w:val="002C4B09"/>
    <w:rsid w:val="002C4D40"/>
    <w:rsid w:val="002C4E0C"/>
    <w:rsid w:val="002C5260"/>
    <w:rsid w:val="002C52C6"/>
    <w:rsid w:val="002C5463"/>
    <w:rsid w:val="002C55FC"/>
    <w:rsid w:val="002C58D0"/>
    <w:rsid w:val="002C5AEC"/>
    <w:rsid w:val="002C5CB6"/>
    <w:rsid w:val="002C5EA0"/>
    <w:rsid w:val="002C5EE9"/>
    <w:rsid w:val="002C5FBF"/>
    <w:rsid w:val="002C640D"/>
    <w:rsid w:val="002C6603"/>
    <w:rsid w:val="002C66C8"/>
    <w:rsid w:val="002C6700"/>
    <w:rsid w:val="002C6736"/>
    <w:rsid w:val="002C6838"/>
    <w:rsid w:val="002C6865"/>
    <w:rsid w:val="002C6A27"/>
    <w:rsid w:val="002C6C0E"/>
    <w:rsid w:val="002C6E70"/>
    <w:rsid w:val="002C6E81"/>
    <w:rsid w:val="002C6EF7"/>
    <w:rsid w:val="002C7034"/>
    <w:rsid w:val="002C70E2"/>
    <w:rsid w:val="002C7179"/>
    <w:rsid w:val="002C7426"/>
    <w:rsid w:val="002C7508"/>
    <w:rsid w:val="002C7615"/>
    <w:rsid w:val="002C7883"/>
    <w:rsid w:val="002C7A81"/>
    <w:rsid w:val="002C7ADD"/>
    <w:rsid w:val="002C7B0D"/>
    <w:rsid w:val="002C7B7D"/>
    <w:rsid w:val="002C7B89"/>
    <w:rsid w:val="002C7C89"/>
    <w:rsid w:val="002C7D84"/>
    <w:rsid w:val="002C7F6C"/>
    <w:rsid w:val="002C7F6E"/>
    <w:rsid w:val="002C7FA5"/>
    <w:rsid w:val="002C7FF4"/>
    <w:rsid w:val="002D00D0"/>
    <w:rsid w:val="002D032C"/>
    <w:rsid w:val="002D03FE"/>
    <w:rsid w:val="002D070E"/>
    <w:rsid w:val="002D0AB4"/>
    <w:rsid w:val="002D0BCA"/>
    <w:rsid w:val="002D0C08"/>
    <w:rsid w:val="002D0D27"/>
    <w:rsid w:val="002D0EF8"/>
    <w:rsid w:val="002D0FA4"/>
    <w:rsid w:val="002D12AC"/>
    <w:rsid w:val="002D1373"/>
    <w:rsid w:val="002D13AC"/>
    <w:rsid w:val="002D1583"/>
    <w:rsid w:val="002D158D"/>
    <w:rsid w:val="002D1621"/>
    <w:rsid w:val="002D179C"/>
    <w:rsid w:val="002D17BC"/>
    <w:rsid w:val="002D1B99"/>
    <w:rsid w:val="002D221A"/>
    <w:rsid w:val="002D226C"/>
    <w:rsid w:val="002D299E"/>
    <w:rsid w:val="002D29B6"/>
    <w:rsid w:val="002D2CC7"/>
    <w:rsid w:val="002D2DEA"/>
    <w:rsid w:val="002D2ED7"/>
    <w:rsid w:val="002D32B9"/>
    <w:rsid w:val="002D3314"/>
    <w:rsid w:val="002D3479"/>
    <w:rsid w:val="002D3522"/>
    <w:rsid w:val="002D37DB"/>
    <w:rsid w:val="002D3877"/>
    <w:rsid w:val="002D388E"/>
    <w:rsid w:val="002D39FF"/>
    <w:rsid w:val="002D3B37"/>
    <w:rsid w:val="002D3B4F"/>
    <w:rsid w:val="002D3CF6"/>
    <w:rsid w:val="002D406F"/>
    <w:rsid w:val="002D4153"/>
    <w:rsid w:val="002D418A"/>
    <w:rsid w:val="002D42B4"/>
    <w:rsid w:val="002D46F5"/>
    <w:rsid w:val="002D48AE"/>
    <w:rsid w:val="002D4995"/>
    <w:rsid w:val="002D49B1"/>
    <w:rsid w:val="002D4A32"/>
    <w:rsid w:val="002D4BA7"/>
    <w:rsid w:val="002D4DBE"/>
    <w:rsid w:val="002D4F19"/>
    <w:rsid w:val="002D4F1D"/>
    <w:rsid w:val="002D4F54"/>
    <w:rsid w:val="002D50C3"/>
    <w:rsid w:val="002D5132"/>
    <w:rsid w:val="002D5237"/>
    <w:rsid w:val="002D5392"/>
    <w:rsid w:val="002D55FD"/>
    <w:rsid w:val="002D5604"/>
    <w:rsid w:val="002D560C"/>
    <w:rsid w:val="002D573A"/>
    <w:rsid w:val="002D5741"/>
    <w:rsid w:val="002D579A"/>
    <w:rsid w:val="002D57F0"/>
    <w:rsid w:val="002D5AC2"/>
    <w:rsid w:val="002D5B04"/>
    <w:rsid w:val="002D5DE4"/>
    <w:rsid w:val="002D5ECA"/>
    <w:rsid w:val="002D63C5"/>
    <w:rsid w:val="002D658E"/>
    <w:rsid w:val="002D65B7"/>
    <w:rsid w:val="002D6B6A"/>
    <w:rsid w:val="002D6BD9"/>
    <w:rsid w:val="002D6C8F"/>
    <w:rsid w:val="002D6F34"/>
    <w:rsid w:val="002D71E6"/>
    <w:rsid w:val="002D726A"/>
    <w:rsid w:val="002D7363"/>
    <w:rsid w:val="002D7388"/>
    <w:rsid w:val="002D73BC"/>
    <w:rsid w:val="002D73D9"/>
    <w:rsid w:val="002D74D2"/>
    <w:rsid w:val="002D754A"/>
    <w:rsid w:val="002D7558"/>
    <w:rsid w:val="002D7643"/>
    <w:rsid w:val="002D78D8"/>
    <w:rsid w:val="002D78DE"/>
    <w:rsid w:val="002D7B24"/>
    <w:rsid w:val="002D7C36"/>
    <w:rsid w:val="002D7E25"/>
    <w:rsid w:val="002D7E62"/>
    <w:rsid w:val="002E0167"/>
    <w:rsid w:val="002E0300"/>
    <w:rsid w:val="002E03F3"/>
    <w:rsid w:val="002E080C"/>
    <w:rsid w:val="002E0830"/>
    <w:rsid w:val="002E09FB"/>
    <w:rsid w:val="002E0A01"/>
    <w:rsid w:val="002E0A84"/>
    <w:rsid w:val="002E0AFE"/>
    <w:rsid w:val="002E0D86"/>
    <w:rsid w:val="002E1214"/>
    <w:rsid w:val="002E1273"/>
    <w:rsid w:val="002E12E7"/>
    <w:rsid w:val="002E134B"/>
    <w:rsid w:val="002E13F0"/>
    <w:rsid w:val="002E171B"/>
    <w:rsid w:val="002E184B"/>
    <w:rsid w:val="002E1D14"/>
    <w:rsid w:val="002E20F5"/>
    <w:rsid w:val="002E2162"/>
    <w:rsid w:val="002E2405"/>
    <w:rsid w:val="002E246E"/>
    <w:rsid w:val="002E25C9"/>
    <w:rsid w:val="002E277F"/>
    <w:rsid w:val="002E2960"/>
    <w:rsid w:val="002E2C97"/>
    <w:rsid w:val="002E3045"/>
    <w:rsid w:val="002E315D"/>
    <w:rsid w:val="002E31D7"/>
    <w:rsid w:val="002E32D9"/>
    <w:rsid w:val="002E3333"/>
    <w:rsid w:val="002E3586"/>
    <w:rsid w:val="002E35C9"/>
    <w:rsid w:val="002E3645"/>
    <w:rsid w:val="002E3CBF"/>
    <w:rsid w:val="002E3D27"/>
    <w:rsid w:val="002E3D9E"/>
    <w:rsid w:val="002E3E62"/>
    <w:rsid w:val="002E3FB3"/>
    <w:rsid w:val="002E411A"/>
    <w:rsid w:val="002E417F"/>
    <w:rsid w:val="002E4311"/>
    <w:rsid w:val="002E467B"/>
    <w:rsid w:val="002E481B"/>
    <w:rsid w:val="002E48BA"/>
    <w:rsid w:val="002E4918"/>
    <w:rsid w:val="002E49D1"/>
    <w:rsid w:val="002E4A2E"/>
    <w:rsid w:val="002E4AB9"/>
    <w:rsid w:val="002E4BCA"/>
    <w:rsid w:val="002E4C2B"/>
    <w:rsid w:val="002E4EC7"/>
    <w:rsid w:val="002E4ECC"/>
    <w:rsid w:val="002E50DA"/>
    <w:rsid w:val="002E5185"/>
    <w:rsid w:val="002E531C"/>
    <w:rsid w:val="002E57F8"/>
    <w:rsid w:val="002E58CE"/>
    <w:rsid w:val="002E5900"/>
    <w:rsid w:val="002E5A47"/>
    <w:rsid w:val="002E5F14"/>
    <w:rsid w:val="002E5F31"/>
    <w:rsid w:val="002E60A1"/>
    <w:rsid w:val="002E61D2"/>
    <w:rsid w:val="002E6223"/>
    <w:rsid w:val="002E6467"/>
    <w:rsid w:val="002E660F"/>
    <w:rsid w:val="002E6BEF"/>
    <w:rsid w:val="002E6D08"/>
    <w:rsid w:val="002E6DD5"/>
    <w:rsid w:val="002E6EAE"/>
    <w:rsid w:val="002E6F31"/>
    <w:rsid w:val="002E7080"/>
    <w:rsid w:val="002E70A0"/>
    <w:rsid w:val="002E74DD"/>
    <w:rsid w:val="002E772C"/>
    <w:rsid w:val="002E79B8"/>
    <w:rsid w:val="002E7B09"/>
    <w:rsid w:val="002E7B10"/>
    <w:rsid w:val="002E7B2B"/>
    <w:rsid w:val="002E7C15"/>
    <w:rsid w:val="002E7D07"/>
    <w:rsid w:val="002E7DCA"/>
    <w:rsid w:val="002E7FBA"/>
    <w:rsid w:val="002F005D"/>
    <w:rsid w:val="002F0116"/>
    <w:rsid w:val="002F01C5"/>
    <w:rsid w:val="002F0326"/>
    <w:rsid w:val="002F0381"/>
    <w:rsid w:val="002F069A"/>
    <w:rsid w:val="002F0758"/>
    <w:rsid w:val="002F0C99"/>
    <w:rsid w:val="002F0F20"/>
    <w:rsid w:val="002F10E3"/>
    <w:rsid w:val="002F12BD"/>
    <w:rsid w:val="002F1302"/>
    <w:rsid w:val="002F1407"/>
    <w:rsid w:val="002F1463"/>
    <w:rsid w:val="002F1536"/>
    <w:rsid w:val="002F15C0"/>
    <w:rsid w:val="002F1AEA"/>
    <w:rsid w:val="002F2125"/>
    <w:rsid w:val="002F2359"/>
    <w:rsid w:val="002F2437"/>
    <w:rsid w:val="002F2528"/>
    <w:rsid w:val="002F257D"/>
    <w:rsid w:val="002F27AA"/>
    <w:rsid w:val="002F27B0"/>
    <w:rsid w:val="002F2829"/>
    <w:rsid w:val="002F2950"/>
    <w:rsid w:val="002F2D8C"/>
    <w:rsid w:val="002F2E70"/>
    <w:rsid w:val="002F3109"/>
    <w:rsid w:val="002F32AF"/>
    <w:rsid w:val="002F32B8"/>
    <w:rsid w:val="002F3392"/>
    <w:rsid w:val="002F34AC"/>
    <w:rsid w:val="002F3601"/>
    <w:rsid w:val="002F3AA1"/>
    <w:rsid w:val="002F3B7D"/>
    <w:rsid w:val="002F3EE3"/>
    <w:rsid w:val="002F409B"/>
    <w:rsid w:val="002F4282"/>
    <w:rsid w:val="002F4373"/>
    <w:rsid w:val="002F4435"/>
    <w:rsid w:val="002F4678"/>
    <w:rsid w:val="002F4B4B"/>
    <w:rsid w:val="002F4C6F"/>
    <w:rsid w:val="002F4E75"/>
    <w:rsid w:val="002F4EA7"/>
    <w:rsid w:val="002F4F27"/>
    <w:rsid w:val="002F4FC9"/>
    <w:rsid w:val="002F4FCD"/>
    <w:rsid w:val="002F500A"/>
    <w:rsid w:val="002F507C"/>
    <w:rsid w:val="002F5338"/>
    <w:rsid w:val="002F5416"/>
    <w:rsid w:val="002F565B"/>
    <w:rsid w:val="002F5702"/>
    <w:rsid w:val="002F5B1B"/>
    <w:rsid w:val="002F5E33"/>
    <w:rsid w:val="002F5ED5"/>
    <w:rsid w:val="002F603A"/>
    <w:rsid w:val="002F632B"/>
    <w:rsid w:val="002F6421"/>
    <w:rsid w:val="002F64C0"/>
    <w:rsid w:val="002F6649"/>
    <w:rsid w:val="002F686E"/>
    <w:rsid w:val="002F691B"/>
    <w:rsid w:val="002F6CFD"/>
    <w:rsid w:val="002F6DA8"/>
    <w:rsid w:val="002F6EE6"/>
    <w:rsid w:val="002F6F63"/>
    <w:rsid w:val="002F6F83"/>
    <w:rsid w:val="002F6FB4"/>
    <w:rsid w:val="002F707B"/>
    <w:rsid w:val="002F70FF"/>
    <w:rsid w:val="002F7ACC"/>
    <w:rsid w:val="002F7B4C"/>
    <w:rsid w:val="002F7BA5"/>
    <w:rsid w:val="002F7C89"/>
    <w:rsid w:val="002F7F4F"/>
    <w:rsid w:val="002F7FEA"/>
    <w:rsid w:val="003000C4"/>
    <w:rsid w:val="003001CC"/>
    <w:rsid w:val="0030033F"/>
    <w:rsid w:val="00300434"/>
    <w:rsid w:val="0030046C"/>
    <w:rsid w:val="0030048F"/>
    <w:rsid w:val="00300994"/>
    <w:rsid w:val="003009E1"/>
    <w:rsid w:val="00300B6D"/>
    <w:rsid w:val="00300B98"/>
    <w:rsid w:val="00300C82"/>
    <w:rsid w:val="00300CD8"/>
    <w:rsid w:val="00300D05"/>
    <w:rsid w:val="00300D98"/>
    <w:rsid w:val="00300E4D"/>
    <w:rsid w:val="00300E6B"/>
    <w:rsid w:val="0030164B"/>
    <w:rsid w:val="00301850"/>
    <w:rsid w:val="0030188D"/>
    <w:rsid w:val="00301A40"/>
    <w:rsid w:val="00301B44"/>
    <w:rsid w:val="00301C10"/>
    <w:rsid w:val="00301C4B"/>
    <w:rsid w:val="00302185"/>
    <w:rsid w:val="0030219A"/>
    <w:rsid w:val="00302204"/>
    <w:rsid w:val="0030223C"/>
    <w:rsid w:val="003024A8"/>
    <w:rsid w:val="00302504"/>
    <w:rsid w:val="0030286D"/>
    <w:rsid w:val="003029A6"/>
    <w:rsid w:val="003029B0"/>
    <w:rsid w:val="003029D5"/>
    <w:rsid w:val="00302A97"/>
    <w:rsid w:val="00302CA8"/>
    <w:rsid w:val="00302CCE"/>
    <w:rsid w:val="00302EBF"/>
    <w:rsid w:val="003032AA"/>
    <w:rsid w:val="0030350B"/>
    <w:rsid w:val="00303775"/>
    <w:rsid w:val="003038A6"/>
    <w:rsid w:val="003038E5"/>
    <w:rsid w:val="00303BB2"/>
    <w:rsid w:val="00303DE5"/>
    <w:rsid w:val="0030403F"/>
    <w:rsid w:val="00304074"/>
    <w:rsid w:val="003042C7"/>
    <w:rsid w:val="003043A1"/>
    <w:rsid w:val="003043D1"/>
    <w:rsid w:val="00304525"/>
    <w:rsid w:val="00304770"/>
    <w:rsid w:val="003047A3"/>
    <w:rsid w:val="003049A5"/>
    <w:rsid w:val="00304D01"/>
    <w:rsid w:val="003050BF"/>
    <w:rsid w:val="003050E9"/>
    <w:rsid w:val="0030518F"/>
    <w:rsid w:val="0030524F"/>
    <w:rsid w:val="0030537F"/>
    <w:rsid w:val="0030589A"/>
    <w:rsid w:val="00305A5D"/>
    <w:rsid w:val="00305BC5"/>
    <w:rsid w:val="00305EB2"/>
    <w:rsid w:val="00305F18"/>
    <w:rsid w:val="003064C6"/>
    <w:rsid w:val="003065C3"/>
    <w:rsid w:val="0030690C"/>
    <w:rsid w:val="0030697E"/>
    <w:rsid w:val="003069FF"/>
    <w:rsid w:val="00306B64"/>
    <w:rsid w:val="00306E89"/>
    <w:rsid w:val="00306EE5"/>
    <w:rsid w:val="00306F0B"/>
    <w:rsid w:val="0030709B"/>
    <w:rsid w:val="00307118"/>
    <w:rsid w:val="003071B3"/>
    <w:rsid w:val="003075BD"/>
    <w:rsid w:val="003075C1"/>
    <w:rsid w:val="00307886"/>
    <w:rsid w:val="00307C2B"/>
    <w:rsid w:val="00307C4E"/>
    <w:rsid w:val="00307DB7"/>
    <w:rsid w:val="00307E04"/>
    <w:rsid w:val="00307E3A"/>
    <w:rsid w:val="00310226"/>
    <w:rsid w:val="003103D9"/>
    <w:rsid w:val="003104BA"/>
    <w:rsid w:val="00310709"/>
    <w:rsid w:val="003107C6"/>
    <w:rsid w:val="00310814"/>
    <w:rsid w:val="003108E4"/>
    <w:rsid w:val="00310907"/>
    <w:rsid w:val="00310924"/>
    <w:rsid w:val="00310C59"/>
    <w:rsid w:val="003113B2"/>
    <w:rsid w:val="00311474"/>
    <w:rsid w:val="00311842"/>
    <w:rsid w:val="00311B58"/>
    <w:rsid w:val="00311B76"/>
    <w:rsid w:val="00311C77"/>
    <w:rsid w:val="00312037"/>
    <w:rsid w:val="0031205F"/>
    <w:rsid w:val="003121CA"/>
    <w:rsid w:val="0031225C"/>
    <w:rsid w:val="003122E9"/>
    <w:rsid w:val="0031245B"/>
    <w:rsid w:val="0031247E"/>
    <w:rsid w:val="003124F3"/>
    <w:rsid w:val="00312563"/>
    <w:rsid w:val="00312625"/>
    <w:rsid w:val="00312687"/>
    <w:rsid w:val="00312758"/>
    <w:rsid w:val="003128CF"/>
    <w:rsid w:val="00312CD2"/>
    <w:rsid w:val="00312CF9"/>
    <w:rsid w:val="00312D58"/>
    <w:rsid w:val="00312F4E"/>
    <w:rsid w:val="00312FA1"/>
    <w:rsid w:val="003132C9"/>
    <w:rsid w:val="00313596"/>
    <w:rsid w:val="003137DB"/>
    <w:rsid w:val="00313885"/>
    <w:rsid w:val="00313891"/>
    <w:rsid w:val="00313F8F"/>
    <w:rsid w:val="00313FAC"/>
    <w:rsid w:val="0031419F"/>
    <w:rsid w:val="003143AF"/>
    <w:rsid w:val="0031461F"/>
    <w:rsid w:val="00314A01"/>
    <w:rsid w:val="00314A03"/>
    <w:rsid w:val="00314BAA"/>
    <w:rsid w:val="00314BE7"/>
    <w:rsid w:val="00314D2A"/>
    <w:rsid w:val="00314D55"/>
    <w:rsid w:val="00314E8C"/>
    <w:rsid w:val="00314F7F"/>
    <w:rsid w:val="00314FFA"/>
    <w:rsid w:val="003150E9"/>
    <w:rsid w:val="0031528D"/>
    <w:rsid w:val="0031541F"/>
    <w:rsid w:val="0031571F"/>
    <w:rsid w:val="003158BB"/>
    <w:rsid w:val="00315901"/>
    <w:rsid w:val="00315999"/>
    <w:rsid w:val="00315E0B"/>
    <w:rsid w:val="00315E45"/>
    <w:rsid w:val="00315F5B"/>
    <w:rsid w:val="00316044"/>
    <w:rsid w:val="0031616E"/>
    <w:rsid w:val="00316213"/>
    <w:rsid w:val="00316532"/>
    <w:rsid w:val="00316562"/>
    <w:rsid w:val="003165C0"/>
    <w:rsid w:val="00316624"/>
    <w:rsid w:val="00316685"/>
    <w:rsid w:val="00316A08"/>
    <w:rsid w:val="00316AD8"/>
    <w:rsid w:val="00316BAF"/>
    <w:rsid w:val="00316BF4"/>
    <w:rsid w:val="00316F4E"/>
    <w:rsid w:val="003172ED"/>
    <w:rsid w:val="00317397"/>
    <w:rsid w:val="00317583"/>
    <w:rsid w:val="003175AD"/>
    <w:rsid w:val="003178FF"/>
    <w:rsid w:val="003179AB"/>
    <w:rsid w:val="00317C83"/>
    <w:rsid w:val="00317CF9"/>
    <w:rsid w:val="00317DC9"/>
    <w:rsid w:val="00317EA2"/>
    <w:rsid w:val="00317EF4"/>
    <w:rsid w:val="00317EFB"/>
    <w:rsid w:val="00317F3C"/>
    <w:rsid w:val="00317FB2"/>
    <w:rsid w:val="00320082"/>
    <w:rsid w:val="00320232"/>
    <w:rsid w:val="00320254"/>
    <w:rsid w:val="003203D2"/>
    <w:rsid w:val="003203D3"/>
    <w:rsid w:val="003203EB"/>
    <w:rsid w:val="0032053D"/>
    <w:rsid w:val="003205FE"/>
    <w:rsid w:val="003209F6"/>
    <w:rsid w:val="00320B07"/>
    <w:rsid w:val="00320C16"/>
    <w:rsid w:val="00321192"/>
    <w:rsid w:val="00321257"/>
    <w:rsid w:val="00321499"/>
    <w:rsid w:val="00321A75"/>
    <w:rsid w:val="00321BA8"/>
    <w:rsid w:val="00321D12"/>
    <w:rsid w:val="00321DDA"/>
    <w:rsid w:val="00321E4C"/>
    <w:rsid w:val="00321E98"/>
    <w:rsid w:val="00321FBD"/>
    <w:rsid w:val="003222EC"/>
    <w:rsid w:val="00322436"/>
    <w:rsid w:val="0032249C"/>
    <w:rsid w:val="00322808"/>
    <w:rsid w:val="00322979"/>
    <w:rsid w:val="003229F8"/>
    <w:rsid w:val="00322A01"/>
    <w:rsid w:val="00322A9E"/>
    <w:rsid w:val="00322AF2"/>
    <w:rsid w:val="00322B2A"/>
    <w:rsid w:val="00322E16"/>
    <w:rsid w:val="00322F0C"/>
    <w:rsid w:val="0032301D"/>
    <w:rsid w:val="00323159"/>
    <w:rsid w:val="003231F6"/>
    <w:rsid w:val="003234DA"/>
    <w:rsid w:val="00323556"/>
    <w:rsid w:val="0032367B"/>
    <w:rsid w:val="00323867"/>
    <w:rsid w:val="00323AE1"/>
    <w:rsid w:val="00323B80"/>
    <w:rsid w:val="00323B98"/>
    <w:rsid w:val="00323BBC"/>
    <w:rsid w:val="00323C18"/>
    <w:rsid w:val="00323DF9"/>
    <w:rsid w:val="00323E69"/>
    <w:rsid w:val="00323F0C"/>
    <w:rsid w:val="00323FBD"/>
    <w:rsid w:val="00324203"/>
    <w:rsid w:val="0032421C"/>
    <w:rsid w:val="0032435B"/>
    <w:rsid w:val="003243FF"/>
    <w:rsid w:val="0032444F"/>
    <w:rsid w:val="00324520"/>
    <w:rsid w:val="00324596"/>
    <w:rsid w:val="0032491E"/>
    <w:rsid w:val="00324992"/>
    <w:rsid w:val="00324AE5"/>
    <w:rsid w:val="00324CC6"/>
    <w:rsid w:val="00324E0C"/>
    <w:rsid w:val="00324FE9"/>
    <w:rsid w:val="0032507C"/>
    <w:rsid w:val="0032510F"/>
    <w:rsid w:val="003251DC"/>
    <w:rsid w:val="00325245"/>
    <w:rsid w:val="0032529C"/>
    <w:rsid w:val="0032545E"/>
    <w:rsid w:val="003256B8"/>
    <w:rsid w:val="00325732"/>
    <w:rsid w:val="003257B6"/>
    <w:rsid w:val="00325896"/>
    <w:rsid w:val="00325B4C"/>
    <w:rsid w:val="00325BB5"/>
    <w:rsid w:val="00325CA8"/>
    <w:rsid w:val="00325CE9"/>
    <w:rsid w:val="00325CEA"/>
    <w:rsid w:val="00325DC8"/>
    <w:rsid w:val="0032606E"/>
    <w:rsid w:val="0032624E"/>
    <w:rsid w:val="0032636F"/>
    <w:rsid w:val="003263E0"/>
    <w:rsid w:val="003266AF"/>
    <w:rsid w:val="00326784"/>
    <w:rsid w:val="00326901"/>
    <w:rsid w:val="00326923"/>
    <w:rsid w:val="00326A36"/>
    <w:rsid w:val="00326B69"/>
    <w:rsid w:val="00326C19"/>
    <w:rsid w:val="00326C85"/>
    <w:rsid w:val="00326E29"/>
    <w:rsid w:val="003271C9"/>
    <w:rsid w:val="00327225"/>
    <w:rsid w:val="0032724B"/>
    <w:rsid w:val="003272E4"/>
    <w:rsid w:val="003276FD"/>
    <w:rsid w:val="0032785D"/>
    <w:rsid w:val="0032786F"/>
    <w:rsid w:val="003278FF"/>
    <w:rsid w:val="0032799D"/>
    <w:rsid w:val="00327A53"/>
    <w:rsid w:val="00327A69"/>
    <w:rsid w:val="00327AB5"/>
    <w:rsid w:val="00327D12"/>
    <w:rsid w:val="00327E58"/>
    <w:rsid w:val="00327FC7"/>
    <w:rsid w:val="0033018B"/>
    <w:rsid w:val="00330227"/>
    <w:rsid w:val="003303B7"/>
    <w:rsid w:val="003304BC"/>
    <w:rsid w:val="00330565"/>
    <w:rsid w:val="00330727"/>
    <w:rsid w:val="003309AE"/>
    <w:rsid w:val="00330BCC"/>
    <w:rsid w:val="00330CC4"/>
    <w:rsid w:val="00330FC4"/>
    <w:rsid w:val="003310F9"/>
    <w:rsid w:val="003311B3"/>
    <w:rsid w:val="0033147F"/>
    <w:rsid w:val="00331A87"/>
    <w:rsid w:val="00331AF6"/>
    <w:rsid w:val="00331BDF"/>
    <w:rsid w:val="00332504"/>
    <w:rsid w:val="0033271C"/>
    <w:rsid w:val="0033283D"/>
    <w:rsid w:val="00332DE3"/>
    <w:rsid w:val="00332FBE"/>
    <w:rsid w:val="0033301E"/>
    <w:rsid w:val="00333120"/>
    <w:rsid w:val="00333186"/>
    <w:rsid w:val="003331BE"/>
    <w:rsid w:val="00333545"/>
    <w:rsid w:val="00333552"/>
    <w:rsid w:val="0033364E"/>
    <w:rsid w:val="003337C4"/>
    <w:rsid w:val="00333848"/>
    <w:rsid w:val="00333B32"/>
    <w:rsid w:val="00333CC9"/>
    <w:rsid w:val="00334294"/>
    <w:rsid w:val="003342C1"/>
    <w:rsid w:val="00334304"/>
    <w:rsid w:val="003345E9"/>
    <w:rsid w:val="0033464B"/>
    <w:rsid w:val="00334BF5"/>
    <w:rsid w:val="00334C26"/>
    <w:rsid w:val="00334E33"/>
    <w:rsid w:val="00334EE9"/>
    <w:rsid w:val="00334F0F"/>
    <w:rsid w:val="00334FA5"/>
    <w:rsid w:val="00335049"/>
    <w:rsid w:val="00335129"/>
    <w:rsid w:val="003351AA"/>
    <w:rsid w:val="0033535A"/>
    <w:rsid w:val="00335545"/>
    <w:rsid w:val="00335597"/>
    <w:rsid w:val="00335652"/>
    <w:rsid w:val="00335719"/>
    <w:rsid w:val="00335768"/>
    <w:rsid w:val="003357F1"/>
    <w:rsid w:val="003358FA"/>
    <w:rsid w:val="00335988"/>
    <w:rsid w:val="00335A88"/>
    <w:rsid w:val="00335B0E"/>
    <w:rsid w:val="00335C1D"/>
    <w:rsid w:val="00335DEE"/>
    <w:rsid w:val="003361B3"/>
    <w:rsid w:val="003363B8"/>
    <w:rsid w:val="00336616"/>
    <w:rsid w:val="00336674"/>
    <w:rsid w:val="003366C0"/>
    <w:rsid w:val="003366E5"/>
    <w:rsid w:val="00336826"/>
    <w:rsid w:val="00336A9F"/>
    <w:rsid w:val="00336C46"/>
    <w:rsid w:val="003372ED"/>
    <w:rsid w:val="00337344"/>
    <w:rsid w:val="003374D5"/>
    <w:rsid w:val="00337764"/>
    <w:rsid w:val="003378A1"/>
    <w:rsid w:val="0033794D"/>
    <w:rsid w:val="00337CD8"/>
    <w:rsid w:val="00337D7C"/>
    <w:rsid w:val="00337E4C"/>
    <w:rsid w:val="00337E9F"/>
    <w:rsid w:val="00340371"/>
    <w:rsid w:val="0034038D"/>
    <w:rsid w:val="003403AC"/>
    <w:rsid w:val="00340497"/>
    <w:rsid w:val="00340607"/>
    <w:rsid w:val="00340C88"/>
    <w:rsid w:val="00340CCC"/>
    <w:rsid w:val="00340CFD"/>
    <w:rsid w:val="00340EFD"/>
    <w:rsid w:val="00341160"/>
    <w:rsid w:val="003413C7"/>
    <w:rsid w:val="00341637"/>
    <w:rsid w:val="003417CE"/>
    <w:rsid w:val="00341A29"/>
    <w:rsid w:val="00341BBE"/>
    <w:rsid w:val="00341C5E"/>
    <w:rsid w:val="00341FDB"/>
    <w:rsid w:val="00342415"/>
    <w:rsid w:val="00342554"/>
    <w:rsid w:val="00342584"/>
    <w:rsid w:val="003428BE"/>
    <w:rsid w:val="00342B84"/>
    <w:rsid w:val="00342BCC"/>
    <w:rsid w:val="00342D56"/>
    <w:rsid w:val="00342D75"/>
    <w:rsid w:val="00342DD1"/>
    <w:rsid w:val="00342EA6"/>
    <w:rsid w:val="00343089"/>
    <w:rsid w:val="003431E3"/>
    <w:rsid w:val="00343270"/>
    <w:rsid w:val="00343401"/>
    <w:rsid w:val="0034350A"/>
    <w:rsid w:val="00343685"/>
    <w:rsid w:val="003436B9"/>
    <w:rsid w:val="00343722"/>
    <w:rsid w:val="0034372C"/>
    <w:rsid w:val="00343898"/>
    <w:rsid w:val="00343B61"/>
    <w:rsid w:val="00343F96"/>
    <w:rsid w:val="00343FCF"/>
    <w:rsid w:val="0034401B"/>
    <w:rsid w:val="00344176"/>
    <w:rsid w:val="003441A3"/>
    <w:rsid w:val="003442EA"/>
    <w:rsid w:val="0034433A"/>
    <w:rsid w:val="00344603"/>
    <w:rsid w:val="00344882"/>
    <w:rsid w:val="00344C85"/>
    <w:rsid w:val="00344DDB"/>
    <w:rsid w:val="003450D9"/>
    <w:rsid w:val="003452BE"/>
    <w:rsid w:val="003453A9"/>
    <w:rsid w:val="003454BB"/>
    <w:rsid w:val="00345505"/>
    <w:rsid w:val="0034578E"/>
    <w:rsid w:val="003457DB"/>
    <w:rsid w:val="00345980"/>
    <w:rsid w:val="00345D4A"/>
    <w:rsid w:val="00345E03"/>
    <w:rsid w:val="00345F93"/>
    <w:rsid w:val="00346220"/>
    <w:rsid w:val="0034628E"/>
    <w:rsid w:val="0034629D"/>
    <w:rsid w:val="00346656"/>
    <w:rsid w:val="003467F3"/>
    <w:rsid w:val="00346855"/>
    <w:rsid w:val="003468B9"/>
    <w:rsid w:val="00346CB6"/>
    <w:rsid w:val="00346F51"/>
    <w:rsid w:val="003472BE"/>
    <w:rsid w:val="00347330"/>
    <w:rsid w:val="003473B0"/>
    <w:rsid w:val="003475C7"/>
    <w:rsid w:val="003477A1"/>
    <w:rsid w:val="003477DD"/>
    <w:rsid w:val="003477FB"/>
    <w:rsid w:val="00347925"/>
    <w:rsid w:val="00347A5E"/>
    <w:rsid w:val="00347ADB"/>
    <w:rsid w:val="00347C16"/>
    <w:rsid w:val="00347C43"/>
    <w:rsid w:val="00350175"/>
    <w:rsid w:val="003501E7"/>
    <w:rsid w:val="003503BE"/>
    <w:rsid w:val="00350401"/>
    <w:rsid w:val="00350499"/>
    <w:rsid w:val="00350762"/>
    <w:rsid w:val="0035093C"/>
    <w:rsid w:val="0035098C"/>
    <w:rsid w:val="00350D7F"/>
    <w:rsid w:val="00350D8B"/>
    <w:rsid w:val="00350DCD"/>
    <w:rsid w:val="00350F3F"/>
    <w:rsid w:val="003510A4"/>
    <w:rsid w:val="00351494"/>
    <w:rsid w:val="00351551"/>
    <w:rsid w:val="0035167E"/>
    <w:rsid w:val="003517B1"/>
    <w:rsid w:val="003517C7"/>
    <w:rsid w:val="003518D7"/>
    <w:rsid w:val="00351D92"/>
    <w:rsid w:val="00351FAE"/>
    <w:rsid w:val="0035205E"/>
    <w:rsid w:val="00352223"/>
    <w:rsid w:val="00352333"/>
    <w:rsid w:val="00352596"/>
    <w:rsid w:val="0035261D"/>
    <w:rsid w:val="003526A4"/>
    <w:rsid w:val="00352A0C"/>
    <w:rsid w:val="00352A63"/>
    <w:rsid w:val="00352BE7"/>
    <w:rsid w:val="00352BF9"/>
    <w:rsid w:val="00352C8B"/>
    <w:rsid w:val="00352DD0"/>
    <w:rsid w:val="00352E16"/>
    <w:rsid w:val="00352FB3"/>
    <w:rsid w:val="00353152"/>
    <w:rsid w:val="003531B2"/>
    <w:rsid w:val="003531D6"/>
    <w:rsid w:val="00353286"/>
    <w:rsid w:val="0035339F"/>
    <w:rsid w:val="003535AA"/>
    <w:rsid w:val="00353771"/>
    <w:rsid w:val="00353902"/>
    <w:rsid w:val="00353AAB"/>
    <w:rsid w:val="00353DEA"/>
    <w:rsid w:val="00353E80"/>
    <w:rsid w:val="00353ECB"/>
    <w:rsid w:val="00353FF1"/>
    <w:rsid w:val="00354367"/>
    <w:rsid w:val="00354686"/>
    <w:rsid w:val="003549C2"/>
    <w:rsid w:val="00354A68"/>
    <w:rsid w:val="00354C9B"/>
    <w:rsid w:val="00354CAB"/>
    <w:rsid w:val="00354D4E"/>
    <w:rsid w:val="00354E82"/>
    <w:rsid w:val="00354F36"/>
    <w:rsid w:val="00354FE4"/>
    <w:rsid w:val="0035515A"/>
    <w:rsid w:val="00355369"/>
    <w:rsid w:val="003553F3"/>
    <w:rsid w:val="00355521"/>
    <w:rsid w:val="00355637"/>
    <w:rsid w:val="003558AE"/>
    <w:rsid w:val="00355C25"/>
    <w:rsid w:val="00355E9B"/>
    <w:rsid w:val="00356123"/>
    <w:rsid w:val="00356195"/>
    <w:rsid w:val="00356561"/>
    <w:rsid w:val="00356768"/>
    <w:rsid w:val="003567E1"/>
    <w:rsid w:val="00356C36"/>
    <w:rsid w:val="00356C65"/>
    <w:rsid w:val="00356DCD"/>
    <w:rsid w:val="00356E50"/>
    <w:rsid w:val="00356F7C"/>
    <w:rsid w:val="0035736C"/>
    <w:rsid w:val="00357396"/>
    <w:rsid w:val="003573D9"/>
    <w:rsid w:val="0035793B"/>
    <w:rsid w:val="00357DC4"/>
    <w:rsid w:val="00357E1B"/>
    <w:rsid w:val="00357E7D"/>
    <w:rsid w:val="00357FAF"/>
    <w:rsid w:val="00360055"/>
    <w:rsid w:val="003601AE"/>
    <w:rsid w:val="00360899"/>
    <w:rsid w:val="00360A57"/>
    <w:rsid w:val="00360ABA"/>
    <w:rsid w:val="00360B1E"/>
    <w:rsid w:val="00360B3B"/>
    <w:rsid w:val="00360CF6"/>
    <w:rsid w:val="00360E35"/>
    <w:rsid w:val="0036101C"/>
    <w:rsid w:val="003612EF"/>
    <w:rsid w:val="0036144C"/>
    <w:rsid w:val="003615FE"/>
    <w:rsid w:val="003618AA"/>
    <w:rsid w:val="00361985"/>
    <w:rsid w:val="00361AC3"/>
    <w:rsid w:val="00361AD9"/>
    <w:rsid w:val="00361B2F"/>
    <w:rsid w:val="00361B51"/>
    <w:rsid w:val="00361C2C"/>
    <w:rsid w:val="00361EE6"/>
    <w:rsid w:val="00361F70"/>
    <w:rsid w:val="003620C8"/>
    <w:rsid w:val="003620D6"/>
    <w:rsid w:val="003621F5"/>
    <w:rsid w:val="00362381"/>
    <w:rsid w:val="00362450"/>
    <w:rsid w:val="0036250F"/>
    <w:rsid w:val="00362584"/>
    <w:rsid w:val="00362852"/>
    <w:rsid w:val="00362D71"/>
    <w:rsid w:val="0036306B"/>
    <w:rsid w:val="0036325D"/>
    <w:rsid w:val="00363273"/>
    <w:rsid w:val="0036358E"/>
    <w:rsid w:val="00363AC9"/>
    <w:rsid w:val="0036401B"/>
    <w:rsid w:val="00364439"/>
    <w:rsid w:val="003645F3"/>
    <w:rsid w:val="00364620"/>
    <w:rsid w:val="0036483B"/>
    <w:rsid w:val="0036485B"/>
    <w:rsid w:val="003648B2"/>
    <w:rsid w:val="00364981"/>
    <w:rsid w:val="00364AFA"/>
    <w:rsid w:val="00364BDD"/>
    <w:rsid w:val="00364CA0"/>
    <w:rsid w:val="00364DDA"/>
    <w:rsid w:val="00364DEF"/>
    <w:rsid w:val="00364E29"/>
    <w:rsid w:val="00364E4E"/>
    <w:rsid w:val="00364FA7"/>
    <w:rsid w:val="00364FD3"/>
    <w:rsid w:val="003651F9"/>
    <w:rsid w:val="0036529A"/>
    <w:rsid w:val="00365745"/>
    <w:rsid w:val="003657CB"/>
    <w:rsid w:val="003658CC"/>
    <w:rsid w:val="00365DEC"/>
    <w:rsid w:val="00365E5F"/>
    <w:rsid w:val="00365EAD"/>
    <w:rsid w:val="00365F17"/>
    <w:rsid w:val="00365FEE"/>
    <w:rsid w:val="00366077"/>
    <w:rsid w:val="00366239"/>
    <w:rsid w:val="0036641A"/>
    <w:rsid w:val="00366434"/>
    <w:rsid w:val="003665DD"/>
    <w:rsid w:val="003666D1"/>
    <w:rsid w:val="00366862"/>
    <w:rsid w:val="00366A1D"/>
    <w:rsid w:val="00366FC1"/>
    <w:rsid w:val="00367121"/>
    <w:rsid w:val="00367188"/>
    <w:rsid w:val="00367274"/>
    <w:rsid w:val="0036750C"/>
    <w:rsid w:val="0036795A"/>
    <w:rsid w:val="00367BD3"/>
    <w:rsid w:val="00367D42"/>
    <w:rsid w:val="00367DD6"/>
    <w:rsid w:val="0037062A"/>
    <w:rsid w:val="00370659"/>
    <w:rsid w:val="003706CF"/>
    <w:rsid w:val="003706FD"/>
    <w:rsid w:val="0037075A"/>
    <w:rsid w:val="0037082A"/>
    <w:rsid w:val="00370953"/>
    <w:rsid w:val="00370B79"/>
    <w:rsid w:val="00370CAB"/>
    <w:rsid w:val="00371256"/>
    <w:rsid w:val="003712FC"/>
    <w:rsid w:val="00371460"/>
    <w:rsid w:val="00371608"/>
    <w:rsid w:val="003716D9"/>
    <w:rsid w:val="00371840"/>
    <w:rsid w:val="003718AA"/>
    <w:rsid w:val="00371918"/>
    <w:rsid w:val="003719E1"/>
    <w:rsid w:val="00371A57"/>
    <w:rsid w:val="00371B57"/>
    <w:rsid w:val="00371B9B"/>
    <w:rsid w:val="00371FC8"/>
    <w:rsid w:val="00372047"/>
    <w:rsid w:val="00372328"/>
    <w:rsid w:val="003724D1"/>
    <w:rsid w:val="00372547"/>
    <w:rsid w:val="00372632"/>
    <w:rsid w:val="00372651"/>
    <w:rsid w:val="00372A85"/>
    <w:rsid w:val="00372B8D"/>
    <w:rsid w:val="00372C34"/>
    <w:rsid w:val="00373091"/>
    <w:rsid w:val="003731EC"/>
    <w:rsid w:val="0037332C"/>
    <w:rsid w:val="00373437"/>
    <w:rsid w:val="00373454"/>
    <w:rsid w:val="00373788"/>
    <w:rsid w:val="003737A6"/>
    <w:rsid w:val="0037386A"/>
    <w:rsid w:val="00373972"/>
    <w:rsid w:val="00373B60"/>
    <w:rsid w:val="00373C71"/>
    <w:rsid w:val="00373CFB"/>
    <w:rsid w:val="00373D38"/>
    <w:rsid w:val="00374055"/>
    <w:rsid w:val="00374057"/>
    <w:rsid w:val="00374066"/>
    <w:rsid w:val="003740C0"/>
    <w:rsid w:val="00374208"/>
    <w:rsid w:val="00374437"/>
    <w:rsid w:val="003745CE"/>
    <w:rsid w:val="003749E0"/>
    <w:rsid w:val="00374C01"/>
    <w:rsid w:val="0037502A"/>
    <w:rsid w:val="00375117"/>
    <w:rsid w:val="0037547B"/>
    <w:rsid w:val="0037549A"/>
    <w:rsid w:val="00375808"/>
    <w:rsid w:val="003759D8"/>
    <w:rsid w:val="00375A1D"/>
    <w:rsid w:val="00375A5E"/>
    <w:rsid w:val="00375CF9"/>
    <w:rsid w:val="00375D36"/>
    <w:rsid w:val="00375E95"/>
    <w:rsid w:val="00375F2C"/>
    <w:rsid w:val="00375F5A"/>
    <w:rsid w:val="00376618"/>
    <w:rsid w:val="003768B2"/>
    <w:rsid w:val="00376938"/>
    <w:rsid w:val="00376A1F"/>
    <w:rsid w:val="00376C06"/>
    <w:rsid w:val="00377057"/>
    <w:rsid w:val="003771C3"/>
    <w:rsid w:val="0037725E"/>
    <w:rsid w:val="00377415"/>
    <w:rsid w:val="00377D06"/>
    <w:rsid w:val="00377E8D"/>
    <w:rsid w:val="00377FBC"/>
    <w:rsid w:val="0038000F"/>
    <w:rsid w:val="0038014D"/>
    <w:rsid w:val="0038020C"/>
    <w:rsid w:val="0038031C"/>
    <w:rsid w:val="003803D3"/>
    <w:rsid w:val="0038045A"/>
    <w:rsid w:val="00380614"/>
    <w:rsid w:val="003807A1"/>
    <w:rsid w:val="00380C97"/>
    <w:rsid w:val="00380DDD"/>
    <w:rsid w:val="00380EA8"/>
    <w:rsid w:val="00380FE9"/>
    <w:rsid w:val="00381057"/>
    <w:rsid w:val="00381711"/>
    <w:rsid w:val="0038176E"/>
    <w:rsid w:val="00381770"/>
    <w:rsid w:val="00381C5A"/>
    <w:rsid w:val="00381DD6"/>
    <w:rsid w:val="00381EEE"/>
    <w:rsid w:val="00382070"/>
    <w:rsid w:val="00382142"/>
    <w:rsid w:val="00382237"/>
    <w:rsid w:val="00382254"/>
    <w:rsid w:val="00382519"/>
    <w:rsid w:val="00382547"/>
    <w:rsid w:val="003826D4"/>
    <w:rsid w:val="003826D6"/>
    <w:rsid w:val="00382A5B"/>
    <w:rsid w:val="00382A6E"/>
    <w:rsid w:val="00382AD9"/>
    <w:rsid w:val="00382B08"/>
    <w:rsid w:val="00382DE8"/>
    <w:rsid w:val="00382ECC"/>
    <w:rsid w:val="00383017"/>
    <w:rsid w:val="0038314A"/>
    <w:rsid w:val="0038322A"/>
    <w:rsid w:val="00383250"/>
    <w:rsid w:val="0038342F"/>
    <w:rsid w:val="00383506"/>
    <w:rsid w:val="00383599"/>
    <w:rsid w:val="0038363A"/>
    <w:rsid w:val="00383D67"/>
    <w:rsid w:val="00383DE4"/>
    <w:rsid w:val="003840F1"/>
    <w:rsid w:val="0038423C"/>
    <w:rsid w:val="0038430F"/>
    <w:rsid w:val="003847B1"/>
    <w:rsid w:val="0038484F"/>
    <w:rsid w:val="00384BD7"/>
    <w:rsid w:val="00384C1C"/>
    <w:rsid w:val="00384E6C"/>
    <w:rsid w:val="0038508B"/>
    <w:rsid w:val="003850B7"/>
    <w:rsid w:val="00385262"/>
    <w:rsid w:val="00385303"/>
    <w:rsid w:val="00385350"/>
    <w:rsid w:val="00385787"/>
    <w:rsid w:val="003857D3"/>
    <w:rsid w:val="003858FB"/>
    <w:rsid w:val="00385A4D"/>
    <w:rsid w:val="00385CFB"/>
    <w:rsid w:val="00385F57"/>
    <w:rsid w:val="00386111"/>
    <w:rsid w:val="00386365"/>
    <w:rsid w:val="00386383"/>
    <w:rsid w:val="003863D8"/>
    <w:rsid w:val="0038664F"/>
    <w:rsid w:val="0038669F"/>
    <w:rsid w:val="00386777"/>
    <w:rsid w:val="00386851"/>
    <w:rsid w:val="0038689D"/>
    <w:rsid w:val="003868DE"/>
    <w:rsid w:val="00386923"/>
    <w:rsid w:val="00386946"/>
    <w:rsid w:val="00386A77"/>
    <w:rsid w:val="00386AB0"/>
    <w:rsid w:val="00386C2D"/>
    <w:rsid w:val="00386C87"/>
    <w:rsid w:val="00386D36"/>
    <w:rsid w:val="00386DEA"/>
    <w:rsid w:val="0038753C"/>
    <w:rsid w:val="003875B1"/>
    <w:rsid w:val="00387657"/>
    <w:rsid w:val="00387920"/>
    <w:rsid w:val="00387C21"/>
    <w:rsid w:val="00387CB7"/>
    <w:rsid w:val="00387D0C"/>
    <w:rsid w:val="00387D58"/>
    <w:rsid w:val="00387DF7"/>
    <w:rsid w:val="00387F27"/>
    <w:rsid w:val="00390141"/>
    <w:rsid w:val="003903DD"/>
    <w:rsid w:val="0039067D"/>
    <w:rsid w:val="003907C9"/>
    <w:rsid w:val="0039096E"/>
    <w:rsid w:val="003909A0"/>
    <w:rsid w:val="00390A19"/>
    <w:rsid w:val="00390A22"/>
    <w:rsid w:val="00390AF7"/>
    <w:rsid w:val="00390B25"/>
    <w:rsid w:val="00390BEF"/>
    <w:rsid w:val="00390CC9"/>
    <w:rsid w:val="00390E9D"/>
    <w:rsid w:val="00390F13"/>
    <w:rsid w:val="0039130B"/>
    <w:rsid w:val="00391377"/>
    <w:rsid w:val="0039152B"/>
    <w:rsid w:val="003918DF"/>
    <w:rsid w:val="0039194F"/>
    <w:rsid w:val="00391B0F"/>
    <w:rsid w:val="00391B25"/>
    <w:rsid w:val="00391B42"/>
    <w:rsid w:val="00391B48"/>
    <w:rsid w:val="00391C7F"/>
    <w:rsid w:val="00391F20"/>
    <w:rsid w:val="00391F7F"/>
    <w:rsid w:val="0039212B"/>
    <w:rsid w:val="003925FE"/>
    <w:rsid w:val="00392729"/>
    <w:rsid w:val="003927B0"/>
    <w:rsid w:val="00392B01"/>
    <w:rsid w:val="00392C34"/>
    <w:rsid w:val="00392F76"/>
    <w:rsid w:val="0039304D"/>
    <w:rsid w:val="00393091"/>
    <w:rsid w:val="003931F8"/>
    <w:rsid w:val="003933A9"/>
    <w:rsid w:val="00393643"/>
    <w:rsid w:val="00393940"/>
    <w:rsid w:val="00393C1B"/>
    <w:rsid w:val="00393CC8"/>
    <w:rsid w:val="00393CE2"/>
    <w:rsid w:val="00393E32"/>
    <w:rsid w:val="00393EE6"/>
    <w:rsid w:val="00393F35"/>
    <w:rsid w:val="00393F95"/>
    <w:rsid w:val="003940FD"/>
    <w:rsid w:val="00394627"/>
    <w:rsid w:val="0039481D"/>
    <w:rsid w:val="00394988"/>
    <w:rsid w:val="003949AA"/>
    <w:rsid w:val="00394A5D"/>
    <w:rsid w:val="00394A69"/>
    <w:rsid w:val="00394B19"/>
    <w:rsid w:val="00394BDE"/>
    <w:rsid w:val="00394C3D"/>
    <w:rsid w:val="00394D5F"/>
    <w:rsid w:val="00394D7E"/>
    <w:rsid w:val="00394FE1"/>
    <w:rsid w:val="003951EC"/>
    <w:rsid w:val="00395220"/>
    <w:rsid w:val="0039551D"/>
    <w:rsid w:val="003956A9"/>
    <w:rsid w:val="00395A04"/>
    <w:rsid w:val="00395A64"/>
    <w:rsid w:val="00395AE9"/>
    <w:rsid w:val="00395BA4"/>
    <w:rsid w:val="00395EB3"/>
    <w:rsid w:val="00396149"/>
    <w:rsid w:val="003961A1"/>
    <w:rsid w:val="003961C1"/>
    <w:rsid w:val="00396403"/>
    <w:rsid w:val="00396544"/>
    <w:rsid w:val="003966D2"/>
    <w:rsid w:val="003967BA"/>
    <w:rsid w:val="00396AB6"/>
    <w:rsid w:val="00396FD7"/>
    <w:rsid w:val="00397122"/>
    <w:rsid w:val="003971B2"/>
    <w:rsid w:val="003977D0"/>
    <w:rsid w:val="003978E5"/>
    <w:rsid w:val="003A0181"/>
    <w:rsid w:val="003A0242"/>
    <w:rsid w:val="003A025B"/>
    <w:rsid w:val="003A0344"/>
    <w:rsid w:val="003A03A6"/>
    <w:rsid w:val="003A04D7"/>
    <w:rsid w:val="003A0546"/>
    <w:rsid w:val="003A061E"/>
    <w:rsid w:val="003A0698"/>
    <w:rsid w:val="003A080B"/>
    <w:rsid w:val="003A0857"/>
    <w:rsid w:val="003A09B4"/>
    <w:rsid w:val="003A0A77"/>
    <w:rsid w:val="003A0B9A"/>
    <w:rsid w:val="003A0C3F"/>
    <w:rsid w:val="003A1027"/>
    <w:rsid w:val="003A107F"/>
    <w:rsid w:val="003A108B"/>
    <w:rsid w:val="003A121A"/>
    <w:rsid w:val="003A127E"/>
    <w:rsid w:val="003A12A0"/>
    <w:rsid w:val="003A12CD"/>
    <w:rsid w:val="003A1790"/>
    <w:rsid w:val="003A1B02"/>
    <w:rsid w:val="003A1E1E"/>
    <w:rsid w:val="003A1F0E"/>
    <w:rsid w:val="003A2044"/>
    <w:rsid w:val="003A217E"/>
    <w:rsid w:val="003A21D5"/>
    <w:rsid w:val="003A24E9"/>
    <w:rsid w:val="003A2690"/>
    <w:rsid w:val="003A26BE"/>
    <w:rsid w:val="003A2815"/>
    <w:rsid w:val="003A2AAD"/>
    <w:rsid w:val="003A2EE6"/>
    <w:rsid w:val="003A2F58"/>
    <w:rsid w:val="003A3072"/>
    <w:rsid w:val="003A3279"/>
    <w:rsid w:val="003A3597"/>
    <w:rsid w:val="003A364E"/>
    <w:rsid w:val="003A3A94"/>
    <w:rsid w:val="003A3C7C"/>
    <w:rsid w:val="003A3F62"/>
    <w:rsid w:val="003A40A5"/>
    <w:rsid w:val="003A40D0"/>
    <w:rsid w:val="003A41CC"/>
    <w:rsid w:val="003A42BF"/>
    <w:rsid w:val="003A45AD"/>
    <w:rsid w:val="003A46D7"/>
    <w:rsid w:val="003A49E7"/>
    <w:rsid w:val="003A4B98"/>
    <w:rsid w:val="003A4C38"/>
    <w:rsid w:val="003A4D22"/>
    <w:rsid w:val="003A4FEB"/>
    <w:rsid w:val="003A507D"/>
    <w:rsid w:val="003A50CF"/>
    <w:rsid w:val="003A50DD"/>
    <w:rsid w:val="003A5101"/>
    <w:rsid w:val="003A528B"/>
    <w:rsid w:val="003A540A"/>
    <w:rsid w:val="003A5506"/>
    <w:rsid w:val="003A5657"/>
    <w:rsid w:val="003A5B66"/>
    <w:rsid w:val="003A5BBE"/>
    <w:rsid w:val="003A5D34"/>
    <w:rsid w:val="003A5D4E"/>
    <w:rsid w:val="003A5DA0"/>
    <w:rsid w:val="003A5E38"/>
    <w:rsid w:val="003A60F0"/>
    <w:rsid w:val="003A6506"/>
    <w:rsid w:val="003A6626"/>
    <w:rsid w:val="003A6676"/>
    <w:rsid w:val="003A6850"/>
    <w:rsid w:val="003A695B"/>
    <w:rsid w:val="003A6967"/>
    <w:rsid w:val="003A6E36"/>
    <w:rsid w:val="003A728B"/>
    <w:rsid w:val="003A7554"/>
    <w:rsid w:val="003A7717"/>
    <w:rsid w:val="003A7815"/>
    <w:rsid w:val="003A79F7"/>
    <w:rsid w:val="003A7CB7"/>
    <w:rsid w:val="003A7D2D"/>
    <w:rsid w:val="003A7DC0"/>
    <w:rsid w:val="003A7E24"/>
    <w:rsid w:val="003A7E5C"/>
    <w:rsid w:val="003B00FE"/>
    <w:rsid w:val="003B0110"/>
    <w:rsid w:val="003B0158"/>
    <w:rsid w:val="003B02EB"/>
    <w:rsid w:val="003B05D2"/>
    <w:rsid w:val="003B07AE"/>
    <w:rsid w:val="003B088B"/>
    <w:rsid w:val="003B08C4"/>
    <w:rsid w:val="003B0A1A"/>
    <w:rsid w:val="003B0A66"/>
    <w:rsid w:val="003B0C2A"/>
    <w:rsid w:val="003B0FAB"/>
    <w:rsid w:val="003B13D4"/>
    <w:rsid w:val="003B14C9"/>
    <w:rsid w:val="003B16F1"/>
    <w:rsid w:val="003B1B64"/>
    <w:rsid w:val="003B1B93"/>
    <w:rsid w:val="003B1C04"/>
    <w:rsid w:val="003B1C82"/>
    <w:rsid w:val="003B1D23"/>
    <w:rsid w:val="003B1D8C"/>
    <w:rsid w:val="003B1DCE"/>
    <w:rsid w:val="003B2120"/>
    <w:rsid w:val="003B2393"/>
    <w:rsid w:val="003B2708"/>
    <w:rsid w:val="003B277F"/>
    <w:rsid w:val="003B2B99"/>
    <w:rsid w:val="003B2C8E"/>
    <w:rsid w:val="003B2D49"/>
    <w:rsid w:val="003B2DD0"/>
    <w:rsid w:val="003B2F40"/>
    <w:rsid w:val="003B2F52"/>
    <w:rsid w:val="003B3244"/>
    <w:rsid w:val="003B33BB"/>
    <w:rsid w:val="003B36BD"/>
    <w:rsid w:val="003B36F3"/>
    <w:rsid w:val="003B3849"/>
    <w:rsid w:val="003B3D0C"/>
    <w:rsid w:val="003B3D2C"/>
    <w:rsid w:val="003B3D98"/>
    <w:rsid w:val="003B3ED9"/>
    <w:rsid w:val="003B402A"/>
    <w:rsid w:val="003B450B"/>
    <w:rsid w:val="003B4545"/>
    <w:rsid w:val="003B492A"/>
    <w:rsid w:val="003B51CF"/>
    <w:rsid w:val="003B537A"/>
    <w:rsid w:val="003B556E"/>
    <w:rsid w:val="003B57AC"/>
    <w:rsid w:val="003B5A1B"/>
    <w:rsid w:val="003B5CA9"/>
    <w:rsid w:val="003B5D0F"/>
    <w:rsid w:val="003B5D24"/>
    <w:rsid w:val="003B6144"/>
    <w:rsid w:val="003B6547"/>
    <w:rsid w:val="003B6563"/>
    <w:rsid w:val="003B65A3"/>
    <w:rsid w:val="003B689D"/>
    <w:rsid w:val="003B6CAC"/>
    <w:rsid w:val="003B6CC8"/>
    <w:rsid w:val="003B6D4E"/>
    <w:rsid w:val="003B7262"/>
    <w:rsid w:val="003B7299"/>
    <w:rsid w:val="003B7344"/>
    <w:rsid w:val="003B74FE"/>
    <w:rsid w:val="003B7679"/>
    <w:rsid w:val="003B79AF"/>
    <w:rsid w:val="003B7A28"/>
    <w:rsid w:val="003B7BA7"/>
    <w:rsid w:val="003B7C27"/>
    <w:rsid w:val="003B7D8C"/>
    <w:rsid w:val="003B7DB3"/>
    <w:rsid w:val="003B7E67"/>
    <w:rsid w:val="003C006E"/>
    <w:rsid w:val="003C028E"/>
    <w:rsid w:val="003C02BB"/>
    <w:rsid w:val="003C036B"/>
    <w:rsid w:val="003C0481"/>
    <w:rsid w:val="003C0616"/>
    <w:rsid w:val="003C0845"/>
    <w:rsid w:val="003C09CA"/>
    <w:rsid w:val="003C0E7A"/>
    <w:rsid w:val="003C1020"/>
    <w:rsid w:val="003C1217"/>
    <w:rsid w:val="003C1234"/>
    <w:rsid w:val="003C14B3"/>
    <w:rsid w:val="003C18D3"/>
    <w:rsid w:val="003C1B10"/>
    <w:rsid w:val="003C211E"/>
    <w:rsid w:val="003C217A"/>
    <w:rsid w:val="003C2336"/>
    <w:rsid w:val="003C2585"/>
    <w:rsid w:val="003C2A19"/>
    <w:rsid w:val="003C2BA4"/>
    <w:rsid w:val="003C2D5E"/>
    <w:rsid w:val="003C2D65"/>
    <w:rsid w:val="003C307B"/>
    <w:rsid w:val="003C30B0"/>
    <w:rsid w:val="003C31C1"/>
    <w:rsid w:val="003C3209"/>
    <w:rsid w:val="003C3218"/>
    <w:rsid w:val="003C3266"/>
    <w:rsid w:val="003C3365"/>
    <w:rsid w:val="003C34A8"/>
    <w:rsid w:val="003C3536"/>
    <w:rsid w:val="003C35DC"/>
    <w:rsid w:val="003C3E35"/>
    <w:rsid w:val="003C3E3D"/>
    <w:rsid w:val="003C4041"/>
    <w:rsid w:val="003C40DD"/>
    <w:rsid w:val="003C4252"/>
    <w:rsid w:val="003C4614"/>
    <w:rsid w:val="003C479A"/>
    <w:rsid w:val="003C4C50"/>
    <w:rsid w:val="003C4CA4"/>
    <w:rsid w:val="003C4DD0"/>
    <w:rsid w:val="003C4DD2"/>
    <w:rsid w:val="003C4DF4"/>
    <w:rsid w:val="003C4E96"/>
    <w:rsid w:val="003C5034"/>
    <w:rsid w:val="003C5048"/>
    <w:rsid w:val="003C5055"/>
    <w:rsid w:val="003C51D6"/>
    <w:rsid w:val="003C52D8"/>
    <w:rsid w:val="003C5370"/>
    <w:rsid w:val="003C53CE"/>
    <w:rsid w:val="003C53D5"/>
    <w:rsid w:val="003C55B9"/>
    <w:rsid w:val="003C565E"/>
    <w:rsid w:val="003C5757"/>
    <w:rsid w:val="003C59BF"/>
    <w:rsid w:val="003C59CD"/>
    <w:rsid w:val="003C5A29"/>
    <w:rsid w:val="003C5DB9"/>
    <w:rsid w:val="003C5E21"/>
    <w:rsid w:val="003C6254"/>
    <w:rsid w:val="003C6408"/>
    <w:rsid w:val="003C68DA"/>
    <w:rsid w:val="003C6E97"/>
    <w:rsid w:val="003C7167"/>
    <w:rsid w:val="003C72F1"/>
    <w:rsid w:val="003C765F"/>
    <w:rsid w:val="003C76A1"/>
    <w:rsid w:val="003C77AE"/>
    <w:rsid w:val="003C79C8"/>
    <w:rsid w:val="003C7A85"/>
    <w:rsid w:val="003C7B1C"/>
    <w:rsid w:val="003C7C61"/>
    <w:rsid w:val="003C7C92"/>
    <w:rsid w:val="003C7ECE"/>
    <w:rsid w:val="003D0063"/>
    <w:rsid w:val="003D018A"/>
    <w:rsid w:val="003D01A6"/>
    <w:rsid w:val="003D022E"/>
    <w:rsid w:val="003D03F7"/>
    <w:rsid w:val="003D057B"/>
    <w:rsid w:val="003D06B3"/>
    <w:rsid w:val="003D06B7"/>
    <w:rsid w:val="003D0B17"/>
    <w:rsid w:val="003D0CFD"/>
    <w:rsid w:val="003D10FC"/>
    <w:rsid w:val="003D12B6"/>
    <w:rsid w:val="003D133C"/>
    <w:rsid w:val="003D142D"/>
    <w:rsid w:val="003D17F3"/>
    <w:rsid w:val="003D1835"/>
    <w:rsid w:val="003D1AB8"/>
    <w:rsid w:val="003D1B99"/>
    <w:rsid w:val="003D1BC9"/>
    <w:rsid w:val="003D1CD9"/>
    <w:rsid w:val="003D1D15"/>
    <w:rsid w:val="003D1DC9"/>
    <w:rsid w:val="003D1E85"/>
    <w:rsid w:val="003D1FC6"/>
    <w:rsid w:val="003D2179"/>
    <w:rsid w:val="003D21C8"/>
    <w:rsid w:val="003D2489"/>
    <w:rsid w:val="003D24C5"/>
    <w:rsid w:val="003D298B"/>
    <w:rsid w:val="003D2C90"/>
    <w:rsid w:val="003D304A"/>
    <w:rsid w:val="003D3187"/>
    <w:rsid w:val="003D31D9"/>
    <w:rsid w:val="003D32FA"/>
    <w:rsid w:val="003D339E"/>
    <w:rsid w:val="003D34D1"/>
    <w:rsid w:val="003D34ED"/>
    <w:rsid w:val="003D3519"/>
    <w:rsid w:val="003D35D7"/>
    <w:rsid w:val="003D3856"/>
    <w:rsid w:val="003D3896"/>
    <w:rsid w:val="003D3E1E"/>
    <w:rsid w:val="003D4304"/>
    <w:rsid w:val="003D44B1"/>
    <w:rsid w:val="003D47C4"/>
    <w:rsid w:val="003D4803"/>
    <w:rsid w:val="003D4B25"/>
    <w:rsid w:val="003D4B89"/>
    <w:rsid w:val="003D4E36"/>
    <w:rsid w:val="003D5169"/>
    <w:rsid w:val="003D521F"/>
    <w:rsid w:val="003D5354"/>
    <w:rsid w:val="003D5496"/>
    <w:rsid w:val="003D5BDF"/>
    <w:rsid w:val="003D5C0A"/>
    <w:rsid w:val="003D5C4E"/>
    <w:rsid w:val="003D5E81"/>
    <w:rsid w:val="003D5F09"/>
    <w:rsid w:val="003D6186"/>
    <w:rsid w:val="003D6263"/>
    <w:rsid w:val="003D6361"/>
    <w:rsid w:val="003D68BC"/>
    <w:rsid w:val="003D6C14"/>
    <w:rsid w:val="003D6C7E"/>
    <w:rsid w:val="003D7515"/>
    <w:rsid w:val="003D7576"/>
    <w:rsid w:val="003D78EB"/>
    <w:rsid w:val="003D7A52"/>
    <w:rsid w:val="003D7BC4"/>
    <w:rsid w:val="003D7DB4"/>
    <w:rsid w:val="003E010B"/>
    <w:rsid w:val="003E0351"/>
    <w:rsid w:val="003E03E7"/>
    <w:rsid w:val="003E04C5"/>
    <w:rsid w:val="003E04F6"/>
    <w:rsid w:val="003E057B"/>
    <w:rsid w:val="003E0600"/>
    <w:rsid w:val="003E0698"/>
    <w:rsid w:val="003E06DF"/>
    <w:rsid w:val="003E07AA"/>
    <w:rsid w:val="003E07EF"/>
    <w:rsid w:val="003E084D"/>
    <w:rsid w:val="003E0B15"/>
    <w:rsid w:val="003E0BBF"/>
    <w:rsid w:val="003E0C65"/>
    <w:rsid w:val="003E0D4D"/>
    <w:rsid w:val="003E0F7D"/>
    <w:rsid w:val="003E116A"/>
    <w:rsid w:val="003E126B"/>
    <w:rsid w:val="003E130B"/>
    <w:rsid w:val="003E132F"/>
    <w:rsid w:val="003E149B"/>
    <w:rsid w:val="003E1624"/>
    <w:rsid w:val="003E1781"/>
    <w:rsid w:val="003E186A"/>
    <w:rsid w:val="003E198C"/>
    <w:rsid w:val="003E1A31"/>
    <w:rsid w:val="003E1C0D"/>
    <w:rsid w:val="003E2038"/>
    <w:rsid w:val="003E212A"/>
    <w:rsid w:val="003E23F3"/>
    <w:rsid w:val="003E2455"/>
    <w:rsid w:val="003E2972"/>
    <w:rsid w:val="003E2BA2"/>
    <w:rsid w:val="003E2C2E"/>
    <w:rsid w:val="003E333E"/>
    <w:rsid w:val="003E3442"/>
    <w:rsid w:val="003E349A"/>
    <w:rsid w:val="003E3519"/>
    <w:rsid w:val="003E35BC"/>
    <w:rsid w:val="003E3667"/>
    <w:rsid w:val="003E3975"/>
    <w:rsid w:val="003E398B"/>
    <w:rsid w:val="003E3B9F"/>
    <w:rsid w:val="003E3DDB"/>
    <w:rsid w:val="003E4014"/>
    <w:rsid w:val="003E4557"/>
    <w:rsid w:val="003E4667"/>
    <w:rsid w:val="003E4BAC"/>
    <w:rsid w:val="003E4BBC"/>
    <w:rsid w:val="003E50A9"/>
    <w:rsid w:val="003E5402"/>
    <w:rsid w:val="003E5471"/>
    <w:rsid w:val="003E5593"/>
    <w:rsid w:val="003E55AE"/>
    <w:rsid w:val="003E5678"/>
    <w:rsid w:val="003E57CA"/>
    <w:rsid w:val="003E57E8"/>
    <w:rsid w:val="003E5881"/>
    <w:rsid w:val="003E5CD4"/>
    <w:rsid w:val="003E5E00"/>
    <w:rsid w:val="003E5E4C"/>
    <w:rsid w:val="003E5FA4"/>
    <w:rsid w:val="003E6136"/>
    <w:rsid w:val="003E613E"/>
    <w:rsid w:val="003E6289"/>
    <w:rsid w:val="003E6361"/>
    <w:rsid w:val="003E63E4"/>
    <w:rsid w:val="003E6428"/>
    <w:rsid w:val="003E64C2"/>
    <w:rsid w:val="003E64D1"/>
    <w:rsid w:val="003E65ED"/>
    <w:rsid w:val="003E6782"/>
    <w:rsid w:val="003E6863"/>
    <w:rsid w:val="003E6885"/>
    <w:rsid w:val="003E6A39"/>
    <w:rsid w:val="003E6A93"/>
    <w:rsid w:val="003E6C27"/>
    <w:rsid w:val="003E6CBA"/>
    <w:rsid w:val="003E7162"/>
    <w:rsid w:val="003E7191"/>
    <w:rsid w:val="003E74D4"/>
    <w:rsid w:val="003E750A"/>
    <w:rsid w:val="003E75D7"/>
    <w:rsid w:val="003E76A2"/>
    <w:rsid w:val="003E76FB"/>
    <w:rsid w:val="003E7719"/>
    <w:rsid w:val="003E7D2D"/>
    <w:rsid w:val="003E7DC5"/>
    <w:rsid w:val="003F0836"/>
    <w:rsid w:val="003F08F5"/>
    <w:rsid w:val="003F097E"/>
    <w:rsid w:val="003F0BD2"/>
    <w:rsid w:val="003F0C1D"/>
    <w:rsid w:val="003F0D44"/>
    <w:rsid w:val="003F0DA9"/>
    <w:rsid w:val="003F0E2E"/>
    <w:rsid w:val="003F0EFD"/>
    <w:rsid w:val="003F0FF0"/>
    <w:rsid w:val="003F101F"/>
    <w:rsid w:val="003F109E"/>
    <w:rsid w:val="003F10D5"/>
    <w:rsid w:val="003F1314"/>
    <w:rsid w:val="003F136F"/>
    <w:rsid w:val="003F1528"/>
    <w:rsid w:val="003F1531"/>
    <w:rsid w:val="003F1537"/>
    <w:rsid w:val="003F15EC"/>
    <w:rsid w:val="003F165F"/>
    <w:rsid w:val="003F1760"/>
    <w:rsid w:val="003F192B"/>
    <w:rsid w:val="003F1B3C"/>
    <w:rsid w:val="003F1D27"/>
    <w:rsid w:val="003F1E51"/>
    <w:rsid w:val="003F1FAE"/>
    <w:rsid w:val="003F21B3"/>
    <w:rsid w:val="003F221E"/>
    <w:rsid w:val="003F22F1"/>
    <w:rsid w:val="003F23DE"/>
    <w:rsid w:val="003F260A"/>
    <w:rsid w:val="003F2955"/>
    <w:rsid w:val="003F2C0A"/>
    <w:rsid w:val="003F2C19"/>
    <w:rsid w:val="003F2F0D"/>
    <w:rsid w:val="003F3208"/>
    <w:rsid w:val="003F3329"/>
    <w:rsid w:val="003F36A0"/>
    <w:rsid w:val="003F370F"/>
    <w:rsid w:val="003F3894"/>
    <w:rsid w:val="003F3A60"/>
    <w:rsid w:val="003F3E46"/>
    <w:rsid w:val="003F3EC4"/>
    <w:rsid w:val="003F3EDC"/>
    <w:rsid w:val="003F3EEF"/>
    <w:rsid w:val="003F3FC7"/>
    <w:rsid w:val="003F41ED"/>
    <w:rsid w:val="003F4228"/>
    <w:rsid w:val="003F422F"/>
    <w:rsid w:val="003F43BF"/>
    <w:rsid w:val="003F46EB"/>
    <w:rsid w:val="003F46FB"/>
    <w:rsid w:val="003F4707"/>
    <w:rsid w:val="003F47F4"/>
    <w:rsid w:val="003F48B9"/>
    <w:rsid w:val="003F498D"/>
    <w:rsid w:val="003F49E1"/>
    <w:rsid w:val="003F4A94"/>
    <w:rsid w:val="003F4CCA"/>
    <w:rsid w:val="003F4E71"/>
    <w:rsid w:val="003F52C4"/>
    <w:rsid w:val="003F55FB"/>
    <w:rsid w:val="003F56CF"/>
    <w:rsid w:val="003F5832"/>
    <w:rsid w:val="003F58AD"/>
    <w:rsid w:val="003F5960"/>
    <w:rsid w:val="003F5B89"/>
    <w:rsid w:val="003F5C5A"/>
    <w:rsid w:val="003F5D70"/>
    <w:rsid w:val="003F5DB6"/>
    <w:rsid w:val="003F6651"/>
    <w:rsid w:val="003F6850"/>
    <w:rsid w:val="003F6875"/>
    <w:rsid w:val="003F68CB"/>
    <w:rsid w:val="003F6B3D"/>
    <w:rsid w:val="003F6C50"/>
    <w:rsid w:val="003F6DA2"/>
    <w:rsid w:val="003F6E77"/>
    <w:rsid w:val="003F6F6F"/>
    <w:rsid w:val="003F6FA6"/>
    <w:rsid w:val="003F7148"/>
    <w:rsid w:val="003F7371"/>
    <w:rsid w:val="003F74CE"/>
    <w:rsid w:val="003F7592"/>
    <w:rsid w:val="003F789C"/>
    <w:rsid w:val="003F7908"/>
    <w:rsid w:val="003F7A64"/>
    <w:rsid w:val="003F7A73"/>
    <w:rsid w:val="003F7C74"/>
    <w:rsid w:val="003F7FFC"/>
    <w:rsid w:val="004000DA"/>
    <w:rsid w:val="00400164"/>
    <w:rsid w:val="0040058D"/>
    <w:rsid w:val="004005AA"/>
    <w:rsid w:val="004007AD"/>
    <w:rsid w:val="0040089C"/>
    <w:rsid w:val="00400D84"/>
    <w:rsid w:val="00400F85"/>
    <w:rsid w:val="00400FB1"/>
    <w:rsid w:val="00401308"/>
    <w:rsid w:val="00401377"/>
    <w:rsid w:val="00401859"/>
    <w:rsid w:val="0040194D"/>
    <w:rsid w:val="00401A36"/>
    <w:rsid w:val="00401A63"/>
    <w:rsid w:val="00401A9F"/>
    <w:rsid w:val="00401BAE"/>
    <w:rsid w:val="00401C6F"/>
    <w:rsid w:val="00401CF0"/>
    <w:rsid w:val="00401D3E"/>
    <w:rsid w:val="00401D68"/>
    <w:rsid w:val="00402049"/>
    <w:rsid w:val="00402285"/>
    <w:rsid w:val="004027BF"/>
    <w:rsid w:val="00402AB2"/>
    <w:rsid w:val="00402B6E"/>
    <w:rsid w:val="00402C72"/>
    <w:rsid w:val="00402CEC"/>
    <w:rsid w:val="00402E1F"/>
    <w:rsid w:val="00402E6A"/>
    <w:rsid w:val="00403011"/>
    <w:rsid w:val="0040307F"/>
    <w:rsid w:val="0040339E"/>
    <w:rsid w:val="004033BA"/>
    <w:rsid w:val="00403606"/>
    <w:rsid w:val="004036F9"/>
    <w:rsid w:val="00403858"/>
    <w:rsid w:val="0040389F"/>
    <w:rsid w:val="00403D81"/>
    <w:rsid w:val="004041DA"/>
    <w:rsid w:val="004044AB"/>
    <w:rsid w:val="004044CA"/>
    <w:rsid w:val="0040464F"/>
    <w:rsid w:val="00404C04"/>
    <w:rsid w:val="00404FAD"/>
    <w:rsid w:val="004051C4"/>
    <w:rsid w:val="004051C9"/>
    <w:rsid w:val="004051D8"/>
    <w:rsid w:val="0040577A"/>
    <w:rsid w:val="0040579B"/>
    <w:rsid w:val="00405903"/>
    <w:rsid w:val="00405B32"/>
    <w:rsid w:val="00405BAB"/>
    <w:rsid w:val="00405D11"/>
    <w:rsid w:val="0040634B"/>
    <w:rsid w:val="00406393"/>
    <w:rsid w:val="004063DD"/>
    <w:rsid w:val="004065B5"/>
    <w:rsid w:val="004068B1"/>
    <w:rsid w:val="00406B05"/>
    <w:rsid w:val="00406B8F"/>
    <w:rsid w:val="00406FE5"/>
    <w:rsid w:val="00407007"/>
    <w:rsid w:val="0040716F"/>
    <w:rsid w:val="0040760F"/>
    <w:rsid w:val="00407B99"/>
    <w:rsid w:val="00407EC7"/>
    <w:rsid w:val="004102C3"/>
    <w:rsid w:val="00410342"/>
    <w:rsid w:val="0041040D"/>
    <w:rsid w:val="00410491"/>
    <w:rsid w:val="004104EB"/>
    <w:rsid w:val="004105B0"/>
    <w:rsid w:val="00410783"/>
    <w:rsid w:val="0041089B"/>
    <w:rsid w:val="004108B0"/>
    <w:rsid w:val="004108B4"/>
    <w:rsid w:val="004109A9"/>
    <w:rsid w:val="00410AAF"/>
    <w:rsid w:val="00410AB1"/>
    <w:rsid w:val="00410CEE"/>
    <w:rsid w:val="00410D18"/>
    <w:rsid w:val="00410E34"/>
    <w:rsid w:val="00410E85"/>
    <w:rsid w:val="0041127F"/>
    <w:rsid w:val="004113CD"/>
    <w:rsid w:val="00411432"/>
    <w:rsid w:val="004114A6"/>
    <w:rsid w:val="004116D8"/>
    <w:rsid w:val="004116E8"/>
    <w:rsid w:val="004117E7"/>
    <w:rsid w:val="0041199A"/>
    <w:rsid w:val="004119B2"/>
    <w:rsid w:val="004119C2"/>
    <w:rsid w:val="00411C4B"/>
    <w:rsid w:val="00411D38"/>
    <w:rsid w:val="00411F73"/>
    <w:rsid w:val="0041209E"/>
    <w:rsid w:val="0041212F"/>
    <w:rsid w:val="00412184"/>
    <w:rsid w:val="004123F9"/>
    <w:rsid w:val="004125A6"/>
    <w:rsid w:val="00412705"/>
    <w:rsid w:val="00412757"/>
    <w:rsid w:val="004127C5"/>
    <w:rsid w:val="004129E2"/>
    <w:rsid w:val="00412BD4"/>
    <w:rsid w:val="00412C9E"/>
    <w:rsid w:val="00412D19"/>
    <w:rsid w:val="00412D69"/>
    <w:rsid w:val="00412E34"/>
    <w:rsid w:val="00412F1C"/>
    <w:rsid w:val="00412F1F"/>
    <w:rsid w:val="00412F32"/>
    <w:rsid w:val="00413050"/>
    <w:rsid w:val="00413219"/>
    <w:rsid w:val="004133D4"/>
    <w:rsid w:val="00413455"/>
    <w:rsid w:val="004135F6"/>
    <w:rsid w:val="004139AB"/>
    <w:rsid w:val="004139F6"/>
    <w:rsid w:val="00413A4D"/>
    <w:rsid w:val="00413A91"/>
    <w:rsid w:val="00413DB6"/>
    <w:rsid w:val="00414010"/>
    <w:rsid w:val="00414078"/>
    <w:rsid w:val="00414164"/>
    <w:rsid w:val="004141AF"/>
    <w:rsid w:val="00414527"/>
    <w:rsid w:val="00414568"/>
    <w:rsid w:val="00414793"/>
    <w:rsid w:val="004147EB"/>
    <w:rsid w:val="00414834"/>
    <w:rsid w:val="00414A3C"/>
    <w:rsid w:val="00414AA2"/>
    <w:rsid w:val="00414BB0"/>
    <w:rsid w:val="00414CC4"/>
    <w:rsid w:val="00414EC2"/>
    <w:rsid w:val="00415239"/>
    <w:rsid w:val="0041530B"/>
    <w:rsid w:val="0041536A"/>
    <w:rsid w:val="00415373"/>
    <w:rsid w:val="00415479"/>
    <w:rsid w:val="004156DE"/>
    <w:rsid w:val="00415A08"/>
    <w:rsid w:val="00415A98"/>
    <w:rsid w:val="00415B1D"/>
    <w:rsid w:val="00415B2D"/>
    <w:rsid w:val="00415FBB"/>
    <w:rsid w:val="00415FF7"/>
    <w:rsid w:val="004163A2"/>
    <w:rsid w:val="004164EA"/>
    <w:rsid w:val="00416559"/>
    <w:rsid w:val="0041667F"/>
    <w:rsid w:val="004166F1"/>
    <w:rsid w:val="004169B7"/>
    <w:rsid w:val="004169D2"/>
    <w:rsid w:val="00416AA3"/>
    <w:rsid w:val="00416DE6"/>
    <w:rsid w:val="00416E84"/>
    <w:rsid w:val="00416FA9"/>
    <w:rsid w:val="004170A1"/>
    <w:rsid w:val="0041710F"/>
    <w:rsid w:val="004171FC"/>
    <w:rsid w:val="00417227"/>
    <w:rsid w:val="0041723F"/>
    <w:rsid w:val="0041751E"/>
    <w:rsid w:val="00417649"/>
    <w:rsid w:val="004178F3"/>
    <w:rsid w:val="00417992"/>
    <w:rsid w:val="00417A27"/>
    <w:rsid w:val="00417AF4"/>
    <w:rsid w:val="00417B77"/>
    <w:rsid w:val="00417CB3"/>
    <w:rsid w:val="00417D02"/>
    <w:rsid w:val="00420346"/>
    <w:rsid w:val="0042037D"/>
    <w:rsid w:val="0042061E"/>
    <w:rsid w:val="004206B9"/>
    <w:rsid w:val="00420817"/>
    <w:rsid w:val="00420B15"/>
    <w:rsid w:val="00420B43"/>
    <w:rsid w:val="00420D26"/>
    <w:rsid w:val="00420D63"/>
    <w:rsid w:val="00420DC1"/>
    <w:rsid w:val="00420E20"/>
    <w:rsid w:val="004210D9"/>
    <w:rsid w:val="0042113D"/>
    <w:rsid w:val="00421462"/>
    <w:rsid w:val="004214D3"/>
    <w:rsid w:val="0042150F"/>
    <w:rsid w:val="0042173B"/>
    <w:rsid w:val="00421812"/>
    <w:rsid w:val="00421870"/>
    <w:rsid w:val="00421F1A"/>
    <w:rsid w:val="004221F7"/>
    <w:rsid w:val="00422350"/>
    <w:rsid w:val="00422537"/>
    <w:rsid w:val="00422626"/>
    <w:rsid w:val="004229E0"/>
    <w:rsid w:val="00422B1F"/>
    <w:rsid w:val="00422B6E"/>
    <w:rsid w:val="00422CAD"/>
    <w:rsid w:val="0042319F"/>
    <w:rsid w:val="004231F7"/>
    <w:rsid w:val="00423216"/>
    <w:rsid w:val="0042329C"/>
    <w:rsid w:val="0042332A"/>
    <w:rsid w:val="0042353C"/>
    <w:rsid w:val="004235BD"/>
    <w:rsid w:val="0042361A"/>
    <w:rsid w:val="0042368C"/>
    <w:rsid w:val="00423A0F"/>
    <w:rsid w:val="00423D5E"/>
    <w:rsid w:val="00423FA0"/>
    <w:rsid w:val="004243E4"/>
    <w:rsid w:val="00424A8C"/>
    <w:rsid w:val="00424EE4"/>
    <w:rsid w:val="00424FF8"/>
    <w:rsid w:val="00425024"/>
    <w:rsid w:val="004250DB"/>
    <w:rsid w:val="004253B7"/>
    <w:rsid w:val="004254FE"/>
    <w:rsid w:val="004255E9"/>
    <w:rsid w:val="00425605"/>
    <w:rsid w:val="00425834"/>
    <w:rsid w:val="00425DF1"/>
    <w:rsid w:val="00425EF8"/>
    <w:rsid w:val="00425F27"/>
    <w:rsid w:val="00426045"/>
    <w:rsid w:val="00426082"/>
    <w:rsid w:val="0042623B"/>
    <w:rsid w:val="0042646F"/>
    <w:rsid w:val="00426957"/>
    <w:rsid w:val="00426B8A"/>
    <w:rsid w:val="00426CA4"/>
    <w:rsid w:val="00427202"/>
    <w:rsid w:val="004272AC"/>
    <w:rsid w:val="004273BA"/>
    <w:rsid w:val="00427534"/>
    <w:rsid w:val="00427796"/>
    <w:rsid w:val="004277A7"/>
    <w:rsid w:val="00427821"/>
    <w:rsid w:val="004279F2"/>
    <w:rsid w:val="00427DBE"/>
    <w:rsid w:val="00430001"/>
    <w:rsid w:val="00430168"/>
    <w:rsid w:val="00430402"/>
    <w:rsid w:val="0043040F"/>
    <w:rsid w:val="00430486"/>
    <w:rsid w:val="00430590"/>
    <w:rsid w:val="00430610"/>
    <w:rsid w:val="0043065F"/>
    <w:rsid w:val="004306DA"/>
    <w:rsid w:val="0043079A"/>
    <w:rsid w:val="0043095C"/>
    <w:rsid w:val="004309A8"/>
    <w:rsid w:val="00430CCD"/>
    <w:rsid w:val="00430E19"/>
    <w:rsid w:val="00430FB4"/>
    <w:rsid w:val="00430FB6"/>
    <w:rsid w:val="00430FE6"/>
    <w:rsid w:val="004312DF"/>
    <w:rsid w:val="004315EE"/>
    <w:rsid w:val="0043172E"/>
    <w:rsid w:val="004318EB"/>
    <w:rsid w:val="004319C8"/>
    <w:rsid w:val="004319D6"/>
    <w:rsid w:val="00431AF7"/>
    <w:rsid w:val="00431B1B"/>
    <w:rsid w:val="00431B5B"/>
    <w:rsid w:val="00431D56"/>
    <w:rsid w:val="00431E77"/>
    <w:rsid w:val="0043202C"/>
    <w:rsid w:val="00432073"/>
    <w:rsid w:val="004320EE"/>
    <w:rsid w:val="004321F4"/>
    <w:rsid w:val="0043268F"/>
    <w:rsid w:val="00432800"/>
    <w:rsid w:val="00432BB6"/>
    <w:rsid w:val="00432BD3"/>
    <w:rsid w:val="00432CF4"/>
    <w:rsid w:val="00432D5F"/>
    <w:rsid w:val="00433207"/>
    <w:rsid w:val="0043322B"/>
    <w:rsid w:val="0043342F"/>
    <w:rsid w:val="00433597"/>
    <w:rsid w:val="004335D4"/>
    <w:rsid w:val="004335ED"/>
    <w:rsid w:val="00433618"/>
    <w:rsid w:val="004337F2"/>
    <w:rsid w:val="0043381E"/>
    <w:rsid w:val="004338AA"/>
    <w:rsid w:val="00433948"/>
    <w:rsid w:val="00433DE8"/>
    <w:rsid w:val="00433E18"/>
    <w:rsid w:val="00433E5D"/>
    <w:rsid w:val="00433F2C"/>
    <w:rsid w:val="004340E0"/>
    <w:rsid w:val="0043411B"/>
    <w:rsid w:val="00434127"/>
    <w:rsid w:val="00434177"/>
    <w:rsid w:val="004344F4"/>
    <w:rsid w:val="0043461E"/>
    <w:rsid w:val="0043470C"/>
    <w:rsid w:val="004348B4"/>
    <w:rsid w:val="00434902"/>
    <w:rsid w:val="00434A48"/>
    <w:rsid w:val="00434A86"/>
    <w:rsid w:val="00434C45"/>
    <w:rsid w:val="00434CDA"/>
    <w:rsid w:val="00434EF0"/>
    <w:rsid w:val="004350DF"/>
    <w:rsid w:val="0043511F"/>
    <w:rsid w:val="00435145"/>
    <w:rsid w:val="00435181"/>
    <w:rsid w:val="00435235"/>
    <w:rsid w:val="00435285"/>
    <w:rsid w:val="00435454"/>
    <w:rsid w:val="004357BE"/>
    <w:rsid w:val="004359C0"/>
    <w:rsid w:val="00435B91"/>
    <w:rsid w:val="00435C86"/>
    <w:rsid w:val="00435E73"/>
    <w:rsid w:val="00435FB8"/>
    <w:rsid w:val="00436008"/>
    <w:rsid w:val="004360D2"/>
    <w:rsid w:val="00436224"/>
    <w:rsid w:val="004362DF"/>
    <w:rsid w:val="004362F9"/>
    <w:rsid w:val="004367E7"/>
    <w:rsid w:val="0043689E"/>
    <w:rsid w:val="00436DEB"/>
    <w:rsid w:val="00437102"/>
    <w:rsid w:val="0043711F"/>
    <w:rsid w:val="004373D9"/>
    <w:rsid w:val="0043749A"/>
    <w:rsid w:val="00437B74"/>
    <w:rsid w:val="004400A3"/>
    <w:rsid w:val="00440151"/>
    <w:rsid w:val="00440631"/>
    <w:rsid w:val="004406A6"/>
    <w:rsid w:val="00440779"/>
    <w:rsid w:val="00440984"/>
    <w:rsid w:val="00440A1C"/>
    <w:rsid w:val="00440B09"/>
    <w:rsid w:val="00440B43"/>
    <w:rsid w:val="00440CAF"/>
    <w:rsid w:val="00440DC6"/>
    <w:rsid w:val="00440E11"/>
    <w:rsid w:val="00440E93"/>
    <w:rsid w:val="0044128E"/>
    <w:rsid w:val="0044131C"/>
    <w:rsid w:val="0044168D"/>
    <w:rsid w:val="00441799"/>
    <w:rsid w:val="00441883"/>
    <w:rsid w:val="00441B57"/>
    <w:rsid w:val="00441B5C"/>
    <w:rsid w:val="00441B71"/>
    <w:rsid w:val="00441C56"/>
    <w:rsid w:val="00441D8F"/>
    <w:rsid w:val="00441F0C"/>
    <w:rsid w:val="004420B5"/>
    <w:rsid w:val="00442330"/>
    <w:rsid w:val="00442615"/>
    <w:rsid w:val="00442628"/>
    <w:rsid w:val="0044274F"/>
    <w:rsid w:val="004429A0"/>
    <w:rsid w:val="004429E1"/>
    <w:rsid w:val="00442AB8"/>
    <w:rsid w:val="00442B61"/>
    <w:rsid w:val="00442CAC"/>
    <w:rsid w:val="00442D07"/>
    <w:rsid w:val="00442D10"/>
    <w:rsid w:val="00442E09"/>
    <w:rsid w:val="00442F38"/>
    <w:rsid w:val="0044304A"/>
    <w:rsid w:val="004430E4"/>
    <w:rsid w:val="00443143"/>
    <w:rsid w:val="00443146"/>
    <w:rsid w:val="0044320B"/>
    <w:rsid w:val="0044354B"/>
    <w:rsid w:val="004437C6"/>
    <w:rsid w:val="0044382F"/>
    <w:rsid w:val="004438D6"/>
    <w:rsid w:val="0044392C"/>
    <w:rsid w:val="00443BC2"/>
    <w:rsid w:val="00443C4C"/>
    <w:rsid w:val="00443D3E"/>
    <w:rsid w:val="00443DC1"/>
    <w:rsid w:val="00443EC9"/>
    <w:rsid w:val="004441B7"/>
    <w:rsid w:val="004443C0"/>
    <w:rsid w:val="004443E2"/>
    <w:rsid w:val="004443F8"/>
    <w:rsid w:val="004447C4"/>
    <w:rsid w:val="00444887"/>
    <w:rsid w:val="00444CF0"/>
    <w:rsid w:val="00444EB2"/>
    <w:rsid w:val="00444EE0"/>
    <w:rsid w:val="00444F8B"/>
    <w:rsid w:val="00444FFE"/>
    <w:rsid w:val="0044509B"/>
    <w:rsid w:val="00445178"/>
    <w:rsid w:val="00445267"/>
    <w:rsid w:val="004454B2"/>
    <w:rsid w:val="004454D4"/>
    <w:rsid w:val="004455DB"/>
    <w:rsid w:val="00445C0A"/>
    <w:rsid w:val="00445D08"/>
    <w:rsid w:val="00445F99"/>
    <w:rsid w:val="0044611A"/>
    <w:rsid w:val="004461AA"/>
    <w:rsid w:val="0044625D"/>
    <w:rsid w:val="004464F6"/>
    <w:rsid w:val="004469C1"/>
    <w:rsid w:val="00446AC3"/>
    <w:rsid w:val="00446B2F"/>
    <w:rsid w:val="00446D4C"/>
    <w:rsid w:val="00446F49"/>
    <w:rsid w:val="00447007"/>
    <w:rsid w:val="004473D9"/>
    <w:rsid w:val="00447790"/>
    <w:rsid w:val="004478F9"/>
    <w:rsid w:val="00447BE2"/>
    <w:rsid w:val="00447E17"/>
    <w:rsid w:val="00447E4D"/>
    <w:rsid w:val="00447EE8"/>
    <w:rsid w:val="00447F53"/>
    <w:rsid w:val="00447FAF"/>
    <w:rsid w:val="0045056C"/>
    <w:rsid w:val="00450588"/>
    <w:rsid w:val="0045059F"/>
    <w:rsid w:val="00450663"/>
    <w:rsid w:val="004508EC"/>
    <w:rsid w:val="004509E1"/>
    <w:rsid w:val="00450A45"/>
    <w:rsid w:val="00450CE1"/>
    <w:rsid w:val="00450E01"/>
    <w:rsid w:val="00451108"/>
    <w:rsid w:val="004511CC"/>
    <w:rsid w:val="004513F2"/>
    <w:rsid w:val="004517E1"/>
    <w:rsid w:val="00451E48"/>
    <w:rsid w:val="0045202B"/>
    <w:rsid w:val="00452037"/>
    <w:rsid w:val="00452312"/>
    <w:rsid w:val="0045237D"/>
    <w:rsid w:val="0045242A"/>
    <w:rsid w:val="0045260F"/>
    <w:rsid w:val="00452BC2"/>
    <w:rsid w:val="00452E10"/>
    <w:rsid w:val="00452E1B"/>
    <w:rsid w:val="00452F12"/>
    <w:rsid w:val="00452F47"/>
    <w:rsid w:val="0045337C"/>
    <w:rsid w:val="00453491"/>
    <w:rsid w:val="00453835"/>
    <w:rsid w:val="00453B46"/>
    <w:rsid w:val="00453B84"/>
    <w:rsid w:val="00453BB7"/>
    <w:rsid w:val="00453DAB"/>
    <w:rsid w:val="00453FC2"/>
    <w:rsid w:val="0045458D"/>
    <w:rsid w:val="0045483A"/>
    <w:rsid w:val="00454ACF"/>
    <w:rsid w:val="00454E1B"/>
    <w:rsid w:val="00454FDC"/>
    <w:rsid w:val="00455048"/>
    <w:rsid w:val="004551DD"/>
    <w:rsid w:val="0045536B"/>
    <w:rsid w:val="00455795"/>
    <w:rsid w:val="004558A0"/>
    <w:rsid w:val="0045596D"/>
    <w:rsid w:val="00455A9E"/>
    <w:rsid w:val="004562C6"/>
    <w:rsid w:val="0045634E"/>
    <w:rsid w:val="00456391"/>
    <w:rsid w:val="00456498"/>
    <w:rsid w:val="004564A5"/>
    <w:rsid w:val="0045681D"/>
    <w:rsid w:val="00456B26"/>
    <w:rsid w:val="00456C03"/>
    <w:rsid w:val="00456F28"/>
    <w:rsid w:val="00456FD3"/>
    <w:rsid w:val="004572BF"/>
    <w:rsid w:val="00457390"/>
    <w:rsid w:val="004573FA"/>
    <w:rsid w:val="0045749A"/>
    <w:rsid w:val="00457693"/>
    <w:rsid w:val="0045779C"/>
    <w:rsid w:val="004577B4"/>
    <w:rsid w:val="00457A5B"/>
    <w:rsid w:val="00457D32"/>
    <w:rsid w:val="00457EEC"/>
    <w:rsid w:val="00457FB7"/>
    <w:rsid w:val="00460098"/>
    <w:rsid w:val="00460127"/>
    <w:rsid w:val="0046032F"/>
    <w:rsid w:val="004603D4"/>
    <w:rsid w:val="004604F0"/>
    <w:rsid w:val="004606F5"/>
    <w:rsid w:val="004607A2"/>
    <w:rsid w:val="00460900"/>
    <w:rsid w:val="0046098E"/>
    <w:rsid w:val="00460AFF"/>
    <w:rsid w:val="00460ECA"/>
    <w:rsid w:val="0046112F"/>
    <w:rsid w:val="004616E7"/>
    <w:rsid w:val="00461911"/>
    <w:rsid w:val="00461A76"/>
    <w:rsid w:val="00461B01"/>
    <w:rsid w:val="00461C06"/>
    <w:rsid w:val="00461F3C"/>
    <w:rsid w:val="00462202"/>
    <w:rsid w:val="00462206"/>
    <w:rsid w:val="0046228A"/>
    <w:rsid w:val="004622B3"/>
    <w:rsid w:val="004625C9"/>
    <w:rsid w:val="0046270F"/>
    <w:rsid w:val="004627CE"/>
    <w:rsid w:val="004628FB"/>
    <w:rsid w:val="00462B9C"/>
    <w:rsid w:val="00462CC8"/>
    <w:rsid w:val="00462F82"/>
    <w:rsid w:val="0046324E"/>
    <w:rsid w:val="004633C8"/>
    <w:rsid w:val="004633E3"/>
    <w:rsid w:val="00463488"/>
    <w:rsid w:val="00463803"/>
    <w:rsid w:val="00463804"/>
    <w:rsid w:val="004639F6"/>
    <w:rsid w:val="00463A26"/>
    <w:rsid w:val="00463B0B"/>
    <w:rsid w:val="00464161"/>
    <w:rsid w:val="004642EA"/>
    <w:rsid w:val="0046434D"/>
    <w:rsid w:val="004645DB"/>
    <w:rsid w:val="0046464B"/>
    <w:rsid w:val="0046465E"/>
    <w:rsid w:val="0046479C"/>
    <w:rsid w:val="00464842"/>
    <w:rsid w:val="00464A1C"/>
    <w:rsid w:val="00464AC3"/>
    <w:rsid w:val="00464C6A"/>
    <w:rsid w:val="00464F81"/>
    <w:rsid w:val="00465581"/>
    <w:rsid w:val="00465A88"/>
    <w:rsid w:val="00465CF0"/>
    <w:rsid w:val="00465D36"/>
    <w:rsid w:val="00465E54"/>
    <w:rsid w:val="00465F3C"/>
    <w:rsid w:val="00465F77"/>
    <w:rsid w:val="00465F81"/>
    <w:rsid w:val="004661D8"/>
    <w:rsid w:val="00466229"/>
    <w:rsid w:val="0046633E"/>
    <w:rsid w:val="004663A4"/>
    <w:rsid w:val="004664ED"/>
    <w:rsid w:val="00466643"/>
    <w:rsid w:val="004667FF"/>
    <w:rsid w:val="004668AF"/>
    <w:rsid w:val="00466969"/>
    <w:rsid w:val="00466A00"/>
    <w:rsid w:val="00466A20"/>
    <w:rsid w:val="00466DA5"/>
    <w:rsid w:val="00466EB6"/>
    <w:rsid w:val="00466F3F"/>
    <w:rsid w:val="004675ED"/>
    <w:rsid w:val="0046774D"/>
    <w:rsid w:val="0046779E"/>
    <w:rsid w:val="004678DE"/>
    <w:rsid w:val="00467982"/>
    <w:rsid w:val="00467A89"/>
    <w:rsid w:val="00467B8A"/>
    <w:rsid w:val="00467EB7"/>
    <w:rsid w:val="00467FE1"/>
    <w:rsid w:val="00470049"/>
    <w:rsid w:val="0047020A"/>
    <w:rsid w:val="00470389"/>
    <w:rsid w:val="004706B3"/>
    <w:rsid w:val="00470706"/>
    <w:rsid w:val="004708B5"/>
    <w:rsid w:val="00470BCC"/>
    <w:rsid w:val="00470C23"/>
    <w:rsid w:val="00470D84"/>
    <w:rsid w:val="00470D9D"/>
    <w:rsid w:val="00470E18"/>
    <w:rsid w:val="00470FE2"/>
    <w:rsid w:val="00471086"/>
    <w:rsid w:val="0047181A"/>
    <w:rsid w:val="00471A09"/>
    <w:rsid w:val="00471A4B"/>
    <w:rsid w:val="00471B98"/>
    <w:rsid w:val="00471BF3"/>
    <w:rsid w:val="00471C2B"/>
    <w:rsid w:val="00471F31"/>
    <w:rsid w:val="00472126"/>
    <w:rsid w:val="00472215"/>
    <w:rsid w:val="0047257A"/>
    <w:rsid w:val="0047257D"/>
    <w:rsid w:val="004726DE"/>
    <w:rsid w:val="004729FE"/>
    <w:rsid w:val="00472B38"/>
    <w:rsid w:val="00472BE2"/>
    <w:rsid w:val="00472D54"/>
    <w:rsid w:val="00472E85"/>
    <w:rsid w:val="00473275"/>
    <w:rsid w:val="0047328E"/>
    <w:rsid w:val="00473296"/>
    <w:rsid w:val="0047339B"/>
    <w:rsid w:val="0047368D"/>
    <w:rsid w:val="00473D26"/>
    <w:rsid w:val="00473F7C"/>
    <w:rsid w:val="00474002"/>
    <w:rsid w:val="00474594"/>
    <w:rsid w:val="0047480F"/>
    <w:rsid w:val="00474BAC"/>
    <w:rsid w:val="00474BD1"/>
    <w:rsid w:val="00474E36"/>
    <w:rsid w:val="00474F54"/>
    <w:rsid w:val="0047525F"/>
    <w:rsid w:val="004752A1"/>
    <w:rsid w:val="004752B0"/>
    <w:rsid w:val="0047590F"/>
    <w:rsid w:val="004759AC"/>
    <w:rsid w:val="00475A87"/>
    <w:rsid w:val="00475AD9"/>
    <w:rsid w:val="00475F6F"/>
    <w:rsid w:val="00476072"/>
    <w:rsid w:val="0047615D"/>
    <w:rsid w:val="00476222"/>
    <w:rsid w:val="00476409"/>
    <w:rsid w:val="00476573"/>
    <w:rsid w:val="0047661A"/>
    <w:rsid w:val="004768B1"/>
    <w:rsid w:val="004768F8"/>
    <w:rsid w:val="004769E3"/>
    <w:rsid w:val="004769FB"/>
    <w:rsid w:val="00476B81"/>
    <w:rsid w:val="00476DA3"/>
    <w:rsid w:val="00476E99"/>
    <w:rsid w:val="00476ED3"/>
    <w:rsid w:val="00476F55"/>
    <w:rsid w:val="00476FA1"/>
    <w:rsid w:val="004771C4"/>
    <w:rsid w:val="004771F9"/>
    <w:rsid w:val="0047723C"/>
    <w:rsid w:val="00477A3E"/>
    <w:rsid w:val="00477D68"/>
    <w:rsid w:val="00477E7C"/>
    <w:rsid w:val="00477EAB"/>
    <w:rsid w:val="004800D5"/>
    <w:rsid w:val="00480293"/>
    <w:rsid w:val="00480294"/>
    <w:rsid w:val="004802FA"/>
    <w:rsid w:val="0048039C"/>
    <w:rsid w:val="0048073B"/>
    <w:rsid w:val="0048085D"/>
    <w:rsid w:val="004808D8"/>
    <w:rsid w:val="00480C44"/>
    <w:rsid w:val="00480D38"/>
    <w:rsid w:val="0048105F"/>
    <w:rsid w:val="00481362"/>
    <w:rsid w:val="00481376"/>
    <w:rsid w:val="00481545"/>
    <w:rsid w:val="0048154F"/>
    <w:rsid w:val="00481723"/>
    <w:rsid w:val="00481742"/>
    <w:rsid w:val="00481795"/>
    <w:rsid w:val="0048187E"/>
    <w:rsid w:val="00481BD5"/>
    <w:rsid w:val="00482060"/>
    <w:rsid w:val="0048266E"/>
    <w:rsid w:val="004827EA"/>
    <w:rsid w:val="004827F9"/>
    <w:rsid w:val="00482A05"/>
    <w:rsid w:val="00482AFC"/>
    <w:rsid w:val="00482C3B"/>
    <w:rsid w:val="00482CE1"/>
    <w:rsid w:val="00482DCF"/>
    <w:rsid w:val="00483019"/>
    <w:rsid w:val="004830BB"/>
    <w:rsid w:val="004835D5"/>
    <w:rsid w:val="00483706"/>
    <w:rsid w:val="004837BF"/>
    <w:rsid w:val="00483A0C"/>
    <w:rsid w:val="00483AC0"/>
    <w:rsid w:val="00483E2C"/>
    <w:rsid w:val="004841A4"/>
    <w:rsid w:val="004841FB"/>
    <w:rsid w:val="00484212"/>
    <w:rsid w:val="00484373"/>
    <w:rsid w:val="0048446D"/>
    <w:rsid w:val="0048496A"/>
    <w:rsid w:val="00484C68"/>
    <w:rsid w:val="00485205"/>
    <w:rsid w:val="0048522D"/>
    <w:rsid w:val="004852F7"/>
    <w:rsid w:val="00485893"/>
    <w:rsid w:val="00485A3D"/>
    <w:rsid w:val="00485CEA"/>
    <w:rsid w:val="00485DEF"/>
    <w:rsid w:val="00485F49"/>
    <w:rsid w:val="00485F81"/>
    <w:rsid w:val="00485F9D"/>
    <w:rsid w:val="00486072"/>
    <w:rsid w:val="0048618F"/>
    <w:rsid w:val="0048642A"/>
    <w:rsid w:val="00486461"/>
    <w:rsid w:val="004866AF"/>
    <w:rsid w:val="0048689F"/>
    <w:rsid w:val="00486978"/>
    <w:rsid w:val="004869D5"/>
    <w:rsid w:val="00486A15"/>
    <w:rsid w:val="00486AA9"/>
    <w:rsid w:val="00486B10"/>
    <w:rsid w:val="00486B3A"/>
    <w:rsid w:val="00486C66"/>
    <w:rsid w:val="00486E2E"/>
    <w:rsid w:val="00486ECB"/>
    <w:rsid w:val="00487116"/>
    <w:rsid w:val="00487A5B"/>
    <w:rsid w:val="00487D52"/>
    <w:rsid w:val="0049011C"/>
    <w:rsid w:val="00490163"/>
    <w:rsid w:val="004901C8"/>
    <w:rsid w:val="0049082F"/>
    <w:rsid w:val="004908BA"/>
    <w:rsid w:val="004909E6"/>
    <w:rsid w:val="00490EC1"/>
    <w:rsid w:val="00490FE6"/>
    <w:rsid w:val="00491156"/>
    <w:rsid w:val="00491262"/>
    <w:rsid w:val="0049164F"/>
    <w:rsid w:val="00491667"/>
    <w:rsid w:val="00491939"/>
    <w:rsid w:val="004919C2"/>
    <w:rsid w:val="00491A37"/>
    <w:rsid w:val="00491AFA"/>
    <w:rsid w:val="00491B8F"/>
    <w:rsid w:val="00491B9B"/>
    <w:rsid w:val="00491E17"/>
    <w:rsid w:val="00491E9A"/>
    <w:rsid w:val="00492244"/>
    <w:rsid w:val="00492384"/>
    <w:rsid w:val="004923CD"/>
    <w:rsid w:val="00492722"/>
    <w:rsid w:val="0049280E"/>
    <w:rsid w:val="0049290A"/>
    <w:rsid w:val="00492A11"/>
    <w:rsid w:val="00492A64"/>
    <w:rsid w:val="00492BDD"/>
    <w:rsid w:val="00493103"/>
    <w:rsid w:val="00493348"/>
    <w:rsid w:val="00493401"/>
    <w:rsid w:val="0049355F"/>
    <w:rsid w:val="00493637"/>
    <w:rsid w:val="00493861"/>
    <w:rsid w:val="00493983"/>
    <w:rsid w:val="00493AF8"/>
    <w:rsid w:val="00493E5C"/>
    <w:rsid w:val="00493F42"/>
    <w:rsid w:val="0049461D"/>
    <w:rsid w:val="004947D4"/>
    <w:rsid w:val="00494945"/>
    <w:rsid w:val="004949DA"/>
    <w:rsid w:val="00494DD4"/>
    <w:rsid w:val="004951B3"/>
    <w:rsid w:val="00495529"/>
    <w:rsid w:val="00495754"/>
    <w:rsid w:val="0049580B"/>
    <w:rsid w:val="004958A9"/>
    <w:rsid w:val="00495960"/>
    <w:rsid w:val="00495A53"/>
    <w:rsid w:val="00495C43"/>
    <w:rsid w:val="00495D72"/>
    <w:rsid w:val="00495DC1"/>
    <w:rsid w:val="00495F52"/>
    <w:rsid w:val="00496272"/>
    <w:rsid w:val="0049627B"/>
    <w:rsid w:val="00496491"/>
    <w:rsid w:val="004964B3"/>
    <w:rsid w:val="0049658D"/>
    <w:rsid w:val="0049666B"/>
    <w:rsid w:val="00496728"/>
    <w:rsid w:val="0049672C"/>
    <w:rsid w:val="00496887"/>
    <w:rsid w:val="004968A6"/>
    <w:rsid w:val="00496AC8"/>
    <w:rsid w:val="00496B86"/>
    <w:rsid w:val="00496D1C"/>
    <w:rsid w:val="00496F30"/>
    <w:rsid w:val="00496F6F"/>
    <w:rsid w:val="00496F7C"/>
    <w:rsid w:val="004970B1"/>
    <w:rsid w:val="00497166"/>
    <w:rsid w:val="00497361"/>
    <w:rsid w:val="00497433"/>
    <w:rsid w:val="0049753D"/>
    <w:rsid w:val="00497588"/>
    <w:rsid w:val="004975B2"/>
    <w:rsid w:val="00497731"/>
    <w:rsid w:val="0049779F"/>
    <w:rsid w:val="004978EB"/>
    <w:rsid w:val="0049792A"/>
    <w:rsid w:val="004979C8"/>
    <w:rsid w:val="004979EE"/>
    <w:rsid w:val="00497C96"/>
    <w:rsid w:val="00497CB3"/>
    <w:rsid w:val="00497DA4"/>
    <w:rsid w:val="00497DCA"/>
    <w:rsid w:val="00497EED"/>
    <w:rsid w:val="00497F14"/>
    <w:rsid w:val="00497F37"/>
    <w:rsid w:val="004A01F1"/>
    <w:rsid w:val="004A0271"/>
    <w:rsid w:val="004A02E6"/>
    <w:rsid w:val="004A03B6"/>
    <w:rsid w:val="004A05F2"/>
    <w:rsid w:val="004A0667"/>
    <w:rsid w:val="004A069D"/>
    <w:rsid w:val="004A0836"/>
    <w:rsid w:val="004A0850"/>
    <w:rsid w:val="004A0C98"/>
    <w:rsid w:val="004A0DAE"/>
    <w:rsid w:val="004A0F3F"/>
    <w:rsid w:val="004A10B0"/>
    <w:rsid w:val="004A13C4"/>
    <w:rsid w:val="004A13E1"/>
    <w:rsid w:val="004A14DD"/>
    <w:rsid w:val="004A1768"/>
    <w:rsid w:val="004A19AE"/>
    <w:rsid w:val="004A1A7D"/>
    <w:rsid w:val="004A1C66"/>
    <w:rsid w:val="004A1EA1"/>
    <w:rsid w:val="004A211C"/>
    <w:rsid w:val="004A2191"/>
    <w:rsid w:val="004A220E"/>
    <w:rsid w:val="004A2211"/>
    <w:rsid w:val="004A227A"/>
    <w:rsid w:val="004A23AD"/>
    <w:rsid w:val="004A2478"/>
    <w:rsid w:val="004A252C"/>
    <w:rsid w:val="004A2644"/>
    <w:rsid w:val="004A28E3"/>
    <w:rsid w:val="004A2F62"/>
    <w:rsid w:val="004A3007"/>
    <w:rsid w:val="004A3245"/>
    <w:rsid w:val="004A3254"/>
    <w:rsid w:val="004A3290"/>
    <w:rsid w:val="004A3307"/>
    <w:rsid w:val="004A3312"/>
    <w:rsid w:val="004A33D8"/>
    <w:rsid w:val="004A3404"/>
    <w:rsid w:val="004A3603"/>
    <w:rsid w:val="004A367A"/>
    <w:rsid w:val="004A385A"/>
    <w:rsid w:val="004A3BF5"/>
    <w:rsid w:val="004A3C47"/>
    <w:rsid w:val="004A3D0E"/>
    <w:rsid w:val="004A3D31"/>
    <w:rsid w:val="004A4015"/>
    <w:rsid w:val="004A404D"/>
    <w:rsid w:val="004A4212"/>
    <w:rsid w:val="004A453B"/>
    <w:rsid w:val="004A46BC"/>
    <w:rsid w:val="004A4926"/>
    <w:rsid w:val="004A4BE0"/>
    <w:rsid w:val="004A4D42"/>
    <w:rsid w:val="004A4FB9"/>
    <w:rsid w:val="004A50F8"/>
    <w:rsid w:val="004A52C5"/>
    <w:rsid w:val="004A5466"/>
    <w:rsid w:val="004A5570"/>
    <w:rsid w:val="004A5BA7"/>
    <w:rsid w:val="004A5CD0"/>
    <w:rsid w:val="004A5D3E"/>
    <w:rsid w:val="004A5DD7"/>
    <w:rsid w:val="004A6077"/>
    <w:rsid w:val="004A60E3"/>
    <w:rsid w:val="004A6507"/>
    <w:rsid w:val="004A65FF"/>
    <w:rsid w:val="004A6696"/>
    <w:rsid w:val="004A6C72"/>
    <w:rsid w:val="004A6F67"/>
    <w:rsid w:val="004A7062"/>
    <w:rsid w:val="004A73DC"/>
    <w:rsid w:val="004A754A"/>
    <w:rsid w:val="004A757E"/>
    <w:rsid w:val="004A7695"/>
    <w:rsid w:val="004A76E5"/>
    <w:rsid w:val="004A786E"/>
    <w:rsid w:val="004A7AA4"/>
    <w:rsid w:val="004A7C3A"/>
    <w:rsid w:val="004A7C9D"/>
    <w:rsid w:val="004A7DFC"/>
    <w:rsid w:val="004A7E2D"/>
    <w:rsid w:val="004A7E47"/>
    <w:rsid w:val="004A7E90"/>
    <w:rsid w:val="004A7FAA"/>
    <w:rsid w:val="004B0198"/>
    <w:rsid w:val="004B0218"/>
    <w:rsid w:val="004B03E1"/>
    <w:rsid w:val="004B0419"/>
    <w:rsid w:val="004B04A8"/>
    <w:rsid w:val="004B05D6"/>
    <w:rsid w:val="004B05F2"/>
    <w:rsid w:val="004B066B"/>
    <w:rsid w:val="004B08F6"/>
    <w:rsid w:val="004B0D48"/>
    <w:rsid w:val="004B0E36"/>
    <w:rsid w:val="004B0EE5"/>
    <w:rsid w:val="004B103D"/>
    <w:rsid w:val="004B1476"/>
    <w:rsid w:val="004B153A"/>
    <w:rsid w:val="004B16F1"/>
    <w:rsid w:val="004B1835"/>
    <w:rsid w:val="004B19DF"/>
    <w:rsid w:val="004B201A"/>
    <w:rsid w:val="004B2072"/>
    <w:rsid w:val="004B22A2"/>
    <w:rsid w:val="004B2366"/>
    <w:rsid w:val="004B25A1"/>
    <w:rsid w:val="004B262D"/>
    <w:rsid w:val="004B2A1F"/>
    <w:rsid w:val="004B3197"/>
    <w:rsid w:val="004B31B5"/>
    <w:rsid w:val="004B3626"/>
    <w:rsid w:val="004B376B"/>
    <w:rsid w:val="004B38DD"/>
    <w:rsid w:val="004B3E1C"/>
    <w:rsid w:val="004B3F75"/>
    <w:rsid w:val="004B3FEC"/>
    <w:rsid w:val="004B401A"/>
    <w:rsid w:val="004B45A2"/>
    <w:rsid w:val="004B4A95"/>
    <w:rsid w:val="004B4A9C"/>
    <w:rsid w:val="004B4BBC"/>
    <w:rsid w:val="004B4C07"/>
    <w:rsid w:val="004B54E1"/>
    <w:rsid w:val="004B54F9"/>
    <w:rsid w:val="004B55D6"/>
    <w:rsid w:val="004B5600"/>
    <w:rsid w:val="004B56A8"/>
    <w:rsid w:val="004B57BB"/>
    <w:rsid w:val="004B5831"/>
    <w:rsid w:val="004B58B2"/>
    <w:rsid w:val="004B58FD"/>
    <w:rsid w:val="004B5B09"/>
    <w:rsid w:val="004B5B0C"/>
    <w:rsid w:val="004B5CBA"/>
    <w:rsid w:val="004B5D17"/>
    <w:rsid w:val="004B5D22"/>
    <w:rsid w:val="004B5DEC"/>
    <w:rsid w:val="004B5E8E"/>
    <w:rsid w:val="004B5F0B"/>
    <w:rsid w:val="004B6088"/>
    <w:rsid w:val="004B61FB"/>
    <w:rsid w:val="004B6310"/>
    <w:rsid w:val="004B6600"/>
    <w:rsid w:val="004B677B"/>
    <w:rsid w:val="004B695E"/>
    <w:rsid w:val="004B6A6E"/>
    <w:rsid w:val="004B705D"/>
    <w:rsid w:val="004B7399"/>
    <w:rsid w:val="004B7AB8"/>
    <w:rsid w:val="004B7B7D"/>
    <w:rsid w:val="004C01D6"/>
    <w:rsid w:val="004C03D2"/>
    <w:rsid w:val="004C0412"/>
    <w:rsid w:val="004C0ACC"/>
    <w:rsid w:val="004C0F93"/>
    <w:rsid w:val="004C1223"/>
    <w:rsid w:val="004C1495"/>
    <w:rsid w:val="004C14C7"/>
    <w:rsid w:val="004C1663"/>
    <w:rsid w:val="004C187B"/>
    <w:rsid w:val="004C1E2A"/>
    <w:rsid w:val="004C1E91"/>
    <w:rsid w:val="004C1FBF"/>
    <w:rsid w:val="004C20CE"/>
    <w:rsid w:val="004C2105"/>
    <w:rsid w:val="004C232A"/>
    <w:rsid w:val="004C23CC"/>
    <w:rsid w:val="004C23EA"/>
    <w:rsid w:val="004C2402"/>
    <w:rsid w:val="004C25BF"/>
    <w:rsid w:val="004C26C9"/>
    <w:rsid w:val="004C27EC"/>
    <w:rsid w:val="004C2C0E"/>
    <w:rsid w:val="004C3090"/>
    <w:rsid w:val="004C316C"/>
    <w:rsid w:val="004C31E7"/>
    <w:rsid w:val="004C3602"/>
    <w:rsid w:val="004C375D"/>
    <w:rsid w:val="004C3C60"/>
    <w:rsid w:val="004C3D32"/>
    <w:rsid w:val="004C3F19"/>
    <w:rsid w:val="004C4046"/>
    <w:rsid w:val="004C415D"/>
    <w:rsid w:val="004C417E"/>
    <w:rsid w:val="004C4265"/>
    <w:rsid w:val="004C44E4"/>
    <w:rsid w:val="004C45ED"/>
    <w:rsid w:val="004C46C9"/>
    <w:rsid w:val="004C498C"/>
    <w:rsid w:val="004C4AD7"/>
    <w:rsid w:val="004C4C9C"/>
    <w:rsid w:val="004C4CA0"/>
    <w:rsid w:val="004C4EF0"/>
    <w:rsid w:val="004C4FC1"/>
    <w:rsid w:val="004C5025"/>
    <w:rsid w:val="004C5283"/>
    <w:rsid w:val="004C52D6"/>
    <w:rsid w:val="004C5520"/>
    <w:rsid w:val="004C5820"/>
    <w:rsid w:val="004C58FC"/>
    <w:rsid w:val="004C5C39"/>
    <w:rsid w:val="004C5E5D"/>
    <w:rsid w:val="004C6149"/>
    <w:rsid w:val="004C65CA"/>
    <w:rsid w:val="004C6740"/>
    <w:rsid w:val="004C6998"/>
    <w:rsid w:val="004C6AC5"/>
    <w:rsid w:val="004C6C0F"/>
    <w:rsid w:val="004C6FEB"/>
    <w:rsid w:val="004C7068"/>
    <w:rsid w:val="004C71AD"/>
    <w:rsid w:val="004C71F5"/>
    <w:rsid w:val="004C75BA"/>
    <w:rsid w:val="004C766D"/>
    <w:rsid w:val="004C768F"/>
    <w:rsid w:val="004C7B9B"/>
    <w:rsid w:val="004C7BAC"/>
    <w:rsid w:val="004C7D26"/>
    <w:rsid w:val="004C7E7E"/>
    <w:rsid w:val="004C7EDC"/>
    <w:rsid w:val="004C7F14"/>
    <w:rsid w:val="004C7FBD"/>
    <w:rsid w:val="004D000B"/>
    <w:rsid w:val="004D0052"/>
    <w:rsid w:val="004D01BB"/>
    <w:rsid w:val="004D0351"/>
    <w:rsid w:val="004D042E"/>
    <w:rsid w:val="004D04AF"/>
    <w:rsid w:val="004D04D7"/>
    <w:rsid w:val="004D0652"/>
    <w:rsid w:val="004D06B9"/>
    <w:rsid w:val="004D0B94"/>
    <w:rsid w:val="004D0CB9"/>
    <w:rsid w:val="004D0DBF"/>
    <w:rsid w:val="004D0DF3"/>
    <w:rsid w:val="004D0FA4"/>
    <w:rsid w:val="004D0FC5"/>
    <w:rsid w:val="004D0FD5"/>
    <w:rsid w:val="004D0FF9"/>
    <w:rsid w:val="004D1019"/>
    <w:rsid w:val="004D169F"/>
    <w:rsid w:val="004D183C"/>
    <w:rsid w:val="004D1A11"/>
    <w:rsid w:val="004D1A5D"/>
    <w:rsid w:val="004D1B7E"/>
    <w:rsid w:val="004D1F6D"/>
    <w:rsid w:val="004D200A"/>
    <w:rsid w:val="004D2251"/>
    <w:rsid w:val="004D226C"/>
    <w:rsid w:val="004D2327"/>
    <w:rsid w:val="004D2690"/>
    <w:rsid w:val="004D2838"/>
    <w:rsid w:val="004D289E"/>
    <w:rsid w:val="004D28B1"/>
    <w:rsid w:val="004D29B0"/>
    <w:rsid w:val="004D2A8E"/>
    <w:rsid w:val="004D2C6B"/>
    <w:rsid w:val="004D325E"/>
    <w:rsid w:val="004D3355"/>
    <w:rsid w:val="004D33E6"/>
    <w:rsid w:val="004D354F"/>
    <w:rsid w:val="004D36E0"/>
    <w:rsid w:val="004D3830"/>
    <w:rsid w:val="004D3994"/>
    <w:rsid w:val="004D39B5"/>
    <w:rsid w:val="004D39E5"/>
    <w:rsid w:val="004D3AF3"/>
    <w:rsid w:val="004D3D17"/>
    <w:rsid w:val="004D4060"/>
    <w:rsid w:val="004D410F"/>
    <w:rsid w:val="004D434F"/>
    <w:rsid w:val="004D4416"/>
    <w:rsid w:val="004D456F"/>
    <w:rsid w:val="004D467A"/>
    <w:rsid w:val="004D4738"/>
    <w:rsid w:val="004D4984"/>
    <w:rsid w:val="004D4AAF"/>
    <w:rsid w:val="004D4ACC"/>
    <w:rsid w:val="004D4BD2"/>
    <w:rsid w:val="004D535A"/>
    <w:rsid w:val="004D546F"/>
    <w:rsid w:val="004D5639"/>
    <w:rsid w:val="004D571F"/>
    <w:rsid w:val="004D57D7"/>
    <w:rsid w:val="004D5895"/>
    <w:rsid w:val="004D5BA0"/>
    <w:rsid w:val="004D5C32"/>
    <w:rsid w:val="004D5C85"/>
    <w:rsid w:val="004D5CA8"/>
    <w:rsid w:val="004D5DF4"/>
    <w:rsid w:val="004D60B3"/>
    <w:rsid w:val="004D6470"/>
    <w:rsid w:val="004D64C6"/>
    <w:rsid w:val="004D6571"/>
    <w:rsid w:val="004D6731"/>
    <w:rsid w:val="004D6781"/>
    <w:rsid w:val="004D680C"/>
    <w:rsid w:val="004D69A4"/>
    <w:rsid w:val="004D6CDA"/>
    <w:rsid w:val="004D6D78"/>
    <w:rsid w:val="004D71C2"/>
    <w:rsid w:val="004D731A"/>
    <w:rsid w:val="004D7357"/>
    <w:rsid w:val="004D76DC"/>
    <w:rsid w:val="004D7986"/>
    <w:rsid w:val="004D79E9"/>
    <w:rsid w:val="004E04A0"/>
    <w:rsid w:val="004E0724"/>
    <w:rsid w:val="004E07AD"/>
    <w:rsid w:val="004E07DA"/>
    <w:rsid w:val="004E0C82"/>
    <w:rsid w:val="004E13DE"/>
    <w:rsid w:val="004E149F"/>
    <w:rsid w:val="004E1858"/>
    <w:rsid w:val="004E193B"/>
    <w:rsid w:val="004E199E"/>
    <w:rsid w:val="004E19E0"/>
    <w:rsid w:val="004E1A16"/>
    <w:rsid w:val="004E1B9F"/>
    <w:rsid w:val="004E1BEC"/>
    <w:rsid w:val="004E1C1A"/>
    <w:rsid w:val="004E1C4E"/>
    <w:rsid w:val="004E1D98"/>
    <w:rsid w:val="004E1EDA"/>
    <w:rsid w:val="004E1EDD"/>
    <w:rsid w:val="004E2135"/>
    <w:rsid w:val="004E21DA"/>
    <w:rsid w:val="004E267D"/>
    <w:rsid w:val="004E27AB"/>
    <w:rsid w:val="004E2BB5"/>
    <w:rsid w:val="004E2C01"/>
    <w:rsid w:val="004E2D25"/>
    <w:rsid w:val="004E3189"/>
    <w:rsid w:val="004E31C2"/>
    <w:rsid w:val="004E32AF"/>
    <w:rsid w:val="004E35FC"/>
    <w:rsid w:val="004E3882"/>
    <w:rsid w:val="004E389D"/>
    <w:rsid w:val="004E3DEC"/>
    <w:rsid w:val="004E3F99"/>
    <w:rsid w:val="004E4049"/>
    <w:rsid w:val="004E4058"/>
    <w:rsid w:val="004E43AF"/>
    <w:rsid w:val="004E4556"/>
    <w:rsid w:val="004E464D"/>
    <w:rsid w:val="004E47C6"/>
    <w:rsid w:val="004E4860"/>
    <w:rsid w:val="004E49ED"/>
    <w:rsid w:val="004E4A48"/>
    <w:rsid w:val="004E4AE4"/>
    <w:rsid w:val="004E4BEF"/>
    <w:rsid w:val="004E4C17"/>
    <w:rsid w:val="004E4CFF"/>
    <w:rsid w:val="004E4E47"/>
    <w:rsid w:val="004E4E8C"/>
    <w:rsid w:val="004E4FD8"/>
    <w:rsid w:val="004E508B"/>
    <w:rsid w:val="004E5334"/>
    <w:rsid w:val="004E561C"/>
    <w:rsid w:val="004E5876"/>
    <w:rsid w:val="004E58B4"/>
    <w:rsid w:val="004E59DC"/>
    <w:rsid w:val="004E5B29"/>
    <w:rsid w:val="004E5B40"/>
    <w:rsid w:val="004E5C2A"/>
    <w:rsid w:val="004E5C2B"/>
    <w:rsid w:val="004E5C3F"/>
    <w:rsid w:val="004E5C9A"/>
    <w:rsid w:val="004E5DC4"/>
    <w:rsid w:val="004E5DD7"/>
    <w:rsid w:val="004E5F97"/>
    <w:rsid w:val="004E6095"/>
    <w:rsid w:val="004E60A1"/>
    <w:rsid w:val="004E6215"/>
    <w:rsid w:val="004E6367"/>
    <w:rsid w:val="004E669C"/>
    <w:rsid w:val="004E6AE4"/>
    <w:rsid w:val="004E6BDF"/>
    <w:rsid w:val="004E6E50"/>
    <w:rsid w:val="004E715B"/>
    <w:rsid w:val="004E725E"/>
    <w:rsid w:val="004E72CA"/>
    <w:rsid w:val="004E74FE"/>
    <w:rsid w:val="004E7998"/>
    <w:rsid w:val="004E7A70"/>
    <w:rsid w:val="004E7CB5"/>
    <w:rsid w:val="004E7E28"/>
    <w:rsid w:val="004E7E90"/>
    <w:rsid w:val="004E7F31"/>
    <w:rsid w:val="004F00DC"/>
    <w:rsid w:val="004F022D"/>
    <w:rsid w:val="004F029B"/>
    <w:rsid w:val="004F03D2"/>
    <w:rsid w:val="004F05DC"/>
    <w:rsid w:val="004F0624"/>
    <w:rsid w:val="004F09F1"/>
    <w:rsid w:val="004F09F8"/>
    <w:rsid w:val="004F0A15"/>
    <w:rsid w:val="004F0A56"/>
    <w:rsid w:val="004F0B4C"/>
    <w:rsid w:val="004F0D90"/>
    <w:rsid w:val="004F0DAD"/>
    <w:rsid w:val="004F0DE5"/>
    <w:rsid w:val="004F0E00"/>
    <w:rsid w:val="004F0EF8"/>
    <w:rsid w:val="004F12FB"/>
    <w:rsid w:val="004F13A3"/>
    <w:rsid w:val="004F1436"/>
    <w:rsid w:val="004F17F9"/>
    <w:rsid w:val="004F1822"/>
    <w:rsid w:val="004F1950"/>
    <w:rsid w:val="004F1CCA"/>
    <w:rsid w:val="004F1CEB"/>
    <w:rsid w:val="004F1E14"/>
    <w:rsid w:val="004F1E44"/>
    <w:rsid w:val="004F1E6C"/>
    <w:rsid w:val="004F2028"/>
    <w:rsid w:val="004F20DB"/>
    <w:rsid w:val="004F2139"/>
    <w:rsid w:val="004F221F"/>
    <w:rsid w:val="004F239B"/>
    <w:rsid w:val="004F2411"/>
    <w:rsid w:val="004F251F"/>
    <w:rsid w:val="004F252F"/>
    <w:rsid w:val="004F25C8"/>
    <w:rsid w:val="004F2667"/>
    <w:rsid w:val="004F26E7"/>
    <w:rsid w:val="004F281C"/>
    <w:rsid w:val="004F2983"/>
    <w:rsid w:val="004F2A85"/>
    <w:rsid w:val="004F2E1F"/>
    <w:rsid w:val="004F2E81"/>
    <w:rsid w:val="004F2F19"/>
    <w:rsid w:val="004F340D"/>
    <w:rsid w:val="004F3597"/>
    <w:rsid w:val="004F3671"/>
    <w:rsid w:val="004F3920"/>
    <w:rsid w:val="004F39F5"/>
    <w:rsid w:val="004F3AFF"/>
    <w:rsid w:val="004F3B46"/>
    <w:rsid w:val="004F3B68"/>
    <w:rsid w:val="004F3F14"/>
    <w:rsid w:val="004F4047"/>
    <w:rsid w:val="004F4186"/>
    <w:rsid w:val="004F4188"/>
    <w:rsid w:val="004F4350"/>
    <w:rsid w:val="004F464A"/>
    <w:rsid w:val="004F47FF"/>
    <w:rsid w:val="004F493A"/>
    <w:rsid w:val="004F498C"/>
    <w:rsid w:val="004F49A1"/>
    <w:rsid w:val="004F4AA8"/>
    <w:rsid w:val="004F4B6D"/>
    <w:rsid w:val="004F4CB3"/>
    <w:rsid w:val="004F4CBC"/>
    <w:rsid w:val="004F4DAA"/>
    <w:rsid w:val="004F4DE3"/>
    <w:rsid w:val="004F4ED0"/>
    <w:rsid w:val="004F4F84"/>
    <w:rsid w:val="004F520B"/>
    <w:rsid w:val="004F5320"/>
    <w:rsid w:val="004F553E"/>
    <w:rsid w:val="004F58A5"/>
    <w:rsid w:val="004F58B8"/>
    <w:rsid w:val="004F5A17"/>
    <w:rsid w:val="004F5A87"/>
    <w:rsid w:val="004F5BEE"/>
    <w:rsid w:val="004F5CF7"/>
    <w:rsid w:val="004F5EAE"/>
    <w:rsid w:val="004F5EC1"/>
    <w:rsid w:val="004F5ED6"/>
    <w:rsid w:val="004F5EE9"/>
    <w:rsid w:val="004F60CD"/>
    <w:rsid w:val="004F618C"/>
    <w:rsid w:val="004F6278"/>
    <w:rsid w:val="004F648B"/>
    <w:rsid w:val="004F65EA"/>
    <w:rsid w:val="004F663B"/>
    <w:rsid w:val="004F6A39"/>
    <w:rsid w:val="004F6A54"/>
    <w:rsid w:val="004F6B50"/>
    <w:rsid w:val="004F6D33"/>
    <w:rsid w:val="004F6D50"/>
    <w:rsid w:val="004F72B6"/>
    <w:rsid w:val="004F7551"/>
    <w:rsid w:val="004F7713"/>
    <w:rsid w:val="004F77BF"/>
    <w:rsid w:val="004F7A1B"/>
    <w:rsid w:val="004F7B7A"/>
    <w:rsid w:val="004F7C2F"/>
    <w:rsid w:val="004F7C36"/>
    <w:rsid w:val="004F7D9C"/>
    <w:rsid w:val="0050009C"/>
    <w:rsid w:val="00500278"/>
    <w:rsid w:val="00500377"/>
    <w:rsid w:val="00500456"/>
    <w:rsid w:val="0050070A"/>
    <w:rsid w:val="0050077F"/>
    <w:rsid w:val="005008C6"/>
    <w:rsid w:val="00500922"/>
    <w:rsid w:val="00500AEA"/>
    <w:rsid w:val="00500D8A"/>
    <w:rsid w:val="0050101E"/>
    <w:rsid w:val="005010F2"/>
    <w:rsid w:val="00501122"/>
    <w:rsid w:val="005011C3"/>
    <w:rsid w:val="005012A5"/>
    <w:rsid w:val="005014E1"/>
    <w:rsid w:val="0050156B"/>
    <w:rsid w:val="00501661"/>
    <w:rsid w:val="0050175E"/>
    <w:rsid w:val="00501D79"/>
    <w:rsid w:val="00501DE9"/>
    <w:rsid w:val="00501EDA"/>
    <w:rsid w:val="00502013"/>
    <w:rsid w:val="00502253"/>
    <w:rsid w:val="00502378"/>
    <w:rsid w:val="005024B7"/>
    <w:rsid w:val="005027EB"/>
    <w:rsid w:val="005027F5"/>
    <w:rsid w:val="00502821"/>
    <w:rsid w:val="0050284C"/>
    <w:rsid w:val="00502AF0"/>
    <w:rsid w:val="00502F54"/>
    <w:rsid w:val="0050328C"/>
    <w:rsid w:val="005033D8"/>
    <w:rsid w:val="005035F8"/>
    <w:rsid w:val="00503662"/>
    <w:rsid w:val="00503917"/>
    <w:rsid w:val="00503C74"/>
    <w:rsid w:val="00503CCF"/>
    <w:rsid w:val="00503E4D"/>
    <w:rsid w:val="00503E87"/>
    <w:rsid w:val="00503EFF"/>
    <w:rsid w:val="00503F12"/>
    <w:rsid w:val="005041C9"/>
    <w:rsid w:val="00504396"/>
    <w:rsid w:val="00504796"/>
    <w:rsid w:val="005047BA"/>
    <w:rsid w:val="00504882"/>
    <w:rsid w:val="00504A08"/>
    <w:rsid w:val="00504B7F"/>
    <w:rsid w:val="00504CC8"/>
    <w:rsid w:val="0050549A"/>
    <w:rsid w:val="00505632"/>
    <w:rsid w:val="00505862"/>
    <w:rsid w:val="00505AB9"/>
    <w:rsid w:val="00505C1C"/>
    <w:rsid w:val="00506232"/>
    <w:rsid w:val="00506511"/>
    <w:rsid w:val="00506541"/>
    <w:rsid w:val="00506820"/>
    <w:rsid w:val="00506CA6"/>
    <w:rsid w:val="00506F80"/>
    <w:rsid w:val="00506FC2"/>
    <w:rsid w:val="00507013"/>
    <w:rsid w:val="00507261"/>
    <w:rsid w:val="005075AF"/>
    <w:rsid w:val="0050774A"/>
    <w:rsid w:val="005077A9"/>
    <w:rsid w:val="0050788E"/>
    <w:rsid w:val="00507DD5"/>
    <w:rsid w:val="0051004C"/>
    <w:rsid w:val="005104B5"/>
    <w:rsid w:val="005106BF"/>
    <w:rsid w:val="00510784"/>
    <w:rsid w:val="00510830"/>
    <w:rsid w:val="00510A4B"/>
    <w:rsid w:val="00510B86"/>
    <w:rsid w:val="00510E88"/>
    <w:rsid w:val="00510E97"/>
    <w:rsid w:val="0051140F"/>
    <w:rsid w:val="005114A7"/>
    <w:rsid w:val="005115EC"/>
    <w:rsid w:val="005117EE"/>
    <w:rsid w:val="00511A58"/>
    <w:rsid w:val="00511AB2"/>
    <w:rsid w:val="00511C1D"/>
    <w:rsid w:val="00511C31"/>
    <w:rsid w:val="00511C67"/>
    <w:rsid w:val="00511F5B"/>
    <w:rsid w:val="005120A8"/>
    <w:rsid w:val="005120E7"/>
    <w:rsid w:val="0051218B"/>
    <w:rsid w:val="005122DE"/>
    <w:rsid w:val="00512333"/>
    <w:rsid w:val="00512373"/>
    <w:rsid w:val="0051257C"/>
    <w:rsid w:val="00512784"/>
    <w:rsid w:val="005127F9"/>
    <w:rsid w:val="00512B4D"/>
    <w:rsid w:val="00512C57"/>
    <w:rsid w:val="00512D43"/>
    <w:rsid w:val="00512E3E"/>
    <w:rsid w:val="005130C1"/>
    <w:rsid w:val="005131CC"/>
    <w:rsid w:val="005134B7"/>
    <w:rsid w:val="00513650"/>
    <w:rsid w:val="00513775"/>
    <w:rsid w:val="00513AAD"/>
    <w:rsid w:val="00513B4F"/>
    <w:rsid w:val="00513C79"/>
    <w:rsid w:val="00513CE0"/>
    <w:rsid w:val="00513D37"/>
    <w:rsid w:val="00513D5C"/>
    <w:rsid w:val="00513D6C"/>
    <w:rsid w:val="00513D84"/>
    <w:rsid w:val="00514183"/>
    <w:rsid w:val="0051458A"/>
    <w:rsid w:val="0051467A"/>
    <w:rsid w:val="00514961"/>
    <w:rsid w:val="005149FE"/>
    <w:rsid w:val="00514C62"/>
    <w:rsid w:val="00514CD8"/>
    <w:rsid w:val="00514F1E"/>
    <w:rsid w:val="00514F6C"/>
    <w:rsid w:val="005150EA"/>
    <w:rsid w:val="0051539E"/>
    <w:rsid w:val="005153BA"/>
    <w:rsid w:val="005153D3"/>
    <w:rsid w:val="005155F4"/>
    <w:rsid w:val="00515605"/>
    <w:rsid w:val="00515719"/>
    <w:rsid w:val="00515894"/>
    <w:rsid w:val="005158EF"/>
    <w:rsid w:val="00515A4B"/>
    <w:rsid w:val="00515A8C"/>
    <w:rsid w:val="00515E92"/>
    <w:rsid w:val="005160A0"/>
    <w:rsid w:val="00516236"/>
    <w:rsid w:val="00516393"/>
    <w:rsid w:val="005165AA"/>
    <w:rsid w:val="0051662A"/>
    <w:rsid w:val="005166C6"/>
    <w:rsid w:val="00516A0E"/>
    <w:rsid w:val="00516A6B"/>
    <w:rsid w:val="00516C19"/>
    <w:rsid w:val="00516F06"/>
    <w:rsid w:val="0051708E"/>
    <w:rsid w:val="00517130"/>
    <w:rsid w:val="005172B5"/>
    <w:rsid w:val="00517305"/>
    <w:rsid w:val="0051788B"/>
    <w:rsid w:val="005178FE"/>
    <w:rsid w:val="00517A4C"/>
    <w:rsid w:val="00517CF0"/>
    <w:rsid w:val="00517E39"/>
    <w:rsid w:val="0052039C"/>
    <w:rsid w:val="005204E5"/>
    <w:rsid w:val="0052063D"/>
    <w:rsid w:val="00520688"/>
    <w:rsid w:val="00520A9C"/>
    <w:rsid w:val="00520AA7"/>
    <w:rsid w:val="00520B84"/>
    <w:rsid w:val="00520B87"/>
    <w:rsid w:val="00520CBD"/>
    <w:rsid w:val="00520F73"/>
    <w:rsid w:val="00520FD8"/>
    <w:rsid w:val="005211CB"/>
    <w:rsid w:val="005217B0"/>
    <w:rsid w:val="005217FE"/>
    <w:rsid w:val="00521B14"/>
    <w:rsid w:val="00521B69"/>
    <w:rsid w:val="00521CF4"/>
    <w:rsid w:val="00521DA8"/>
    <w:rsid w:val="00521F19"/>
    <w:rsid w:val="00522047"/>
    <w:rsid w:val="0052258C"/>
    <w:rsid w:val="00522961"/>
    <w:rsid w:val="00522989"/>
    <w:rsid w:val="00522A9A"/>
    <w:rsid w:val="00522BF9"/>
    <w:rsid w:val="00522D2B"/>
    <w:rsid w:val="00522E03"/>
    <w:rsid w:val="00522F65"/>
    <w:rsid w:val="00522FAB"/>
    <w:rsid w:val="0052306D"/>
    <w:rsid w:val="00523194"/>
    <w:rsid w:val="005231BF"/>
    <w:rsid w:val="00523401"/>
    <w:rsid w:val="005234D1"/>
    <w:rsid w:val="005235F4"/>
    <w:rsid w:val="00523726"/>
    <w:rsid w:val="00523E8A"/>
    <w:rsid w:val="00523EF8"/>
    <w:rsid w:val="005242C9"/>
    <w:rsid w:val="0052453F"/>
    <w:rsid w:val="0052466D"/>
    <w:rsid w:val="0052499D"/>
    <w:rsid w:val="005249D6"/>
    <w:rsid w:val="00524A12"/>
    <w:rsid w:val="00524AF9"/>
    <w:rsid w:val="00524B1C"/>
    <w:rsid w:val="00524BE1"/>
    <w:rsid w:val="00524CE6"/>
    <w:rsid w:val="00524DE4"/>
    <w:rsid w:val="00524E04"/>
    <w:rsid w:val="00525018"/>
    <w:rsid w:val="005251E4"/>
    <w:rsid w:val="005254D1"/>
    <w:rsid w:val="005258BD"/>
    <w:rsid w:val="00525CC7"/>
    <w:rsid w:val="00525F2A"/>
    <w:rsid w:val="00525FBB"/>
    <w:rsid w:val="005260D4"/>
    <w:rsid w:val="0052631C"/>
    <w:rsid w:val="00526870"/>
    <w:rsid w:val="00526B46"/>
    <w:rsid w:val="00526CA7"/>
    <w:rsid w:val="00526D57"/>
    <w:rsid w:val="00526FA8"/>
    <w:rsid w:val="005270BE"/>
    <w:rsid w:val="005271A0"/>
    <w:rsid w:val="005271B5"/>
    <w:rsid w:val="00527443"/>
    <w:rsid w:val="00527519"/>
    <w:rsid w:val="005277B0"/>
    <w:rsid w:val="005279FD"/>
    <w:rsid w:val="00527A5A"/>
    <w:rsid w:val="00530012"/>
    <w:rsid w:val="0053053E"/>
    <w:rsid w:val="00530600"/>
    <w:rsid w:val="005308EB"/>
    <w:rsid w:val="005309E2"/>
    <w:rsid w:val="00530A7E"/>
    <w:rsid w:val="00530EA8"/>
    <w:rsid w:val="0053105F"/>
    <w:rsid w:val="0053116D"/>
    <w:rsid w:val="005311DB"/>
    <w:rsid w:val="00531335"/>
    <w:rsid w:val="005313FF"/>
    <w:rsid w:val="00531662"/>
    <w:rsid w:val="00531664"/>
    <w:rsid w:val="00531962"/>
    <w:rsid w:val="00531F17"/>
    <w:rsid w:val="00531FA8"/>
    <w:rsid w:val="0053258B"/>
    <w:rsid w:val="005328E9"/>
    <w:rsid w:val="0053290A"/>
    <w:rsid w:val="00532932"/>
    <w:rsid w:val="0053293E"/>
    <w:rsid w:val="00532B20"/>
    <w:rsid w:val="00532B73"/>
    <w:rsid w:val="00532CD9"/>
    <w:rsid w:val="00532DCC"/>
    <w:rsid w:val="00532EC5"/>
    <w:rsid w:val="005331E3"/>
    <w:rsid w:val="005334FF"/>
    <w:rsid w:val="00533566"/>
    <w:rsid w:val="005335C0"/>
    <w:rsid w:val="00533670"/>
    <w:rsid w:val="0053385F"/>
    <w:rsid w:val="00533AD8"/>
    <w:rsid w:val="00533C4D"/>
    <w:rsid w:val="00533C7A"/>
    <w:rsid w:val="00533C91"/>
    <w:rsid w:val="00533CAC"/>
    <w:rsid w:val="00533D97"/>
    <w:rsid w:val="00533DA1"/>
    <w:rsid w:val="00533E15"/>
    <w:rsid w:val="00533ED0"/>
    <w:rsid w:val="005340EA"/>
    <w:rsid w:val="00534287"/>
    <w:rsid w:val="005343CE"/>
    <w:rsid w:val="0053488B"/>
    <w:rsid w:val="00534950"/>
    <w:rsid w:val="00534A20"/>
    <w:rsid w:val="00534BD9"/>
    <w:rsid w:val="00535018"/>
    <w:rsid w:val="0053519C"/>
    <w:rsid w:val="00535229"/>
    <w:rsid w:val="00535425"/>
    <w:rsid w:val="0053555C"/>
    <w:rsid w:val="0053570A"/>
    <w:rsid w:val="005357D6"/>
    <w:rsid w:val="0053585C"/>
    <w:rsid w:val="005358D1"/>
    <w:rsid w:val="005358D4"/>
    <w:rsid w:val="00535B69"/>
    <w:rsid w:val="00535D44"/>
    <w:rsid w:val="00535F0E"/>
    <w:rsid w:val="00535F27"/>
    <w:rsid w:val="005361EB"/>
    <w:rsid w:val="0053621A"/>
    <w:rsid w:val="00536407"/>
    <w:rsid w:val="005365A4"/>
    <w:rsid w:val="00536749"/>
    <w:rsid w:val="0053678B"/>
    <w:rsid w:val="005369CF"/>
    <w:rsid w:val="00536B95"/>
    <w:rsid w:val="00536C1F"/>
    <w:rsid w:val="00536C8D"/>
    <w:rsid w:val="00536FB2"/>
    <w:rsid w:val="005372E4"/>
    <w:rsid w:val="0053738D"/>
    <w:rsid w:val="0053756E"/>
    <w:rsid w:val="00537636"/>
    <w:rsid w:val="0053785D"/>
    <w:rsid w:val="00537873"/>
    <w:rsid w:val="00537C72"/>
    <w:rsid w:val="00537D25"/>
    <w:rsid w:val="00537DFC"/>
    <w:rsid w:val="00537E93"/>
    <w:rsid w:val="0054068C"/>
    <w:rsid w:val="005406BB"/>
    <w:rsid w:val="005408C7"/>
    <w:rsid w:val="00540BBA"/>
    <w:rsid w:val="00540CD9"/>
    <w:rsid w:val="00540D1D"/>
    <w:rsid w:val="00540F3C"/>
    <w:rsid w:val="0054123F"/>
    <w:rsid w:val="00541389"/>
    <w:rsid w:val="005414C8"/>
    <w:rsid w:val="0054159B"/>
    <w:rsid w:val="0054170F"/>
    <w:rsid w:val="00541B82"/>
    <w:rsid w:val="00541CE8"/>
    <w:rsid w:val="00541DDC"/>
    <w:rsid w:val="00541F91"/>
    <w:rsid w:val="005421B3"/>
    <w:rsid w:val="00542221"/>
    <w:rsid w:val="0054235D"/>
    <w:rsid w:val="0054247B"/>
    <w:rsid w:val="00542491"/>
    <w:rsid w:val="005424F8"/>
    <w:rsid w:val="005425F0"/>
    <w:rsid w:val="00542711"/>
    <w:rsid w:val="00542924"/>
    <w:rsid w:val="00542B9F"/>
    <w:rsid w:val="00542D98"/>
    <w:rsid w:val="00542E1B"/>
    <w:rsid w:val="00542EF2"/>
    <w:rsid w:val="00542FC6"/>
    <w:rsid w:val="00543024"/>
    <w:rsid w:val="005436B8"/>
    <w:rsid w:val="005437D0"/>
    <w:rsid w:val="00544187"/>
    <w:rsid w:val="005442EF"/>
    <w:rsid w:val="00544340"/>
    <w:rsid w:val="00544352"/>
    <w:rsid w:val="005444B3"/>
    <w:rsid w:val="00544521"/>
    <w:rsid w:val="005445E5"/>
    <w:rsid w:val="0054473E"/>
    <w:rsid w:val="0054491D"/>
    <w:rsid w:val="00544AC9"/>
    <w:rsid w:val="00544CB8"/>
    <w:rsid w:val="00544DAB"/>
    <w:rsid w:val="00544E34"/>
    <w:rsid w:val="00544EEA"/>
    <w:rsid w:val="005450D7"/>
    <w:rsid w:val="0054552C"/>
    <w:rsid w:val="00545667"/>
    <w:rsid w:val="0054587B"/>
    <w:rsid w:val="00545A86"/>
    <w:rsid w:val="00545A88"/>
    <w:rsid w:val="00545E5E"/>
    <w:rsid w:val="0054657D"/>
    <w:rsid w:val="005469C2"/>
    <w:rsid w:val="00546B8F"/>
    <w:rsid w:val="00546D5A"/>
    <w:rsid w:val="005470EA"/>
    <w:rsid w:val="00547568"/>
    <w:rsid w:val="0054782D"/>
    <w:rsid w:val="0054783B"/>
    <w:rsid w:val="0054783C"/>
    <w:rsid w:val="00547930"/>
    <w:rsid w:val="00547992"/>
    <w:rsid w:val="00547DBD"/>
    <w:rsid w:val="00547E45"/>
    <w:rsid w:val="0055013A"/>
    <w:rsid w:val="005502C9"/>
    <w:rsid w:val="005502EE"/>
    <w:rsid w:val="0055038C"/>
    <w:rsid w:val="00550416"/>
    <w:rsid w:val="0055074B"/>
    <w:rsid w:val="005508A7"/>
    <w:rsid w:val="00550E1C"/>
    <w:rsid w:val="00551047"/>
    <w:rsid w:val="00551116"/>
    <w:rsid w:val="00551131"/>
    <w:rsid w:val="005512D2"/>
    <w:rsid w:val="0055137C"/>
    <w:rsid w:val="00551592"/>
    <w:rsid w:val="00551612"/>
    <w:rsid w:val="0055177E"/>
    <w:rsid w:val="005517D9"/>
    <w:rsid w:val="0055182E"/>
    <w:rsid w:val="00551970"/>
    <w:rsid w:val="00551A14"/>
    <w:rsid w:val="00551C62"/>
    <w:rsid w:val="00551DB6"/>
    <w:rsid w:val="00551FF0"/>
    <w:rsid w:val="0055208E"/>
    <w:rsid w:val="0055226A"/>
    <w:rsid w:val="005522B3"/>
    <w:rsid w:val="0055256B"/>
    <w:rsid w:val="0055272A"/>
    <w:rsid w:val="00552820"/>
    <w:rsid w:val="00552B37"/>
    <w:rsid w:val="00553005"/>
    <w:rsid w:val="00553175"/>
    <w:rsid w:val="005532C4"/>
    <w:rsid w:val="00553568"/>
    <w:rsid w:val="00553596"/>
    <w:rsid w:val="005536D6"/>
    <w:rsid w:val="00553D75"/>
    <w:rsid w:val="00553E9F"/>
    <w:rsid w:val="00554096"/>
    <w:rsid w:val="00554185"/>
    <w:rsid w:val="005543AA"/>
    <w:rsid w:val="005544E1"/>
    <w:rsid w:val="00554578"/>
    <w:rsid w:val="00554859"/>
    <w:rsid w:val="0055490B"/>
    <w:rsid w:val="00554B63"/>
    <w:rsid w:val="00554CB5"/>
    <w:rsid w:val="00554D7E"/>
    <w:rsid w:val="00554E94"/>
    <w:rsid w:val="00554F00"/>
    <w:rsid w:val="005556F1"/>
    <w:rsid w:val="0055585B"/>
    <w:rsid w:val="00555F80"/>
    <w:rsid w:val="00556214"/>
    <w:rsid w:val="0055622D"/>
    <w:rsid w:val="005563AA"/>
    <w:rsid w:val="0055658E"/>
    <w:rsid w:val="00556646"/>
    <w:rsid w:val="00556733"/>
    <w:rsid w:val="00556A72"/>
    <w:rsid w:val="00556BB2"/>
    <w:rsid w:val="00557088"/>
    <w:rsid w:val="005570E1"/>
    <w:rsid w:val="00557123"/>
    <w:rsid w:val="005571A7"/>
    <w:rsid w:val="00557318"/>
    <w:rsid w:val="005574D5"/>
    <w:rsid w:val="00557860"/>
    <w:rsid w:val="005579FC"/>
    <w:rsid w:val="00557A59"/>
    <w:rsid w:val="00557B79"/>
    <w:rsid w:val="00557B91"/>
    <w:rsid w:val="00557BDD"/>
    <w:rsid w:val="00557CD6"/>
    <w:rsid w:val="00557F84"/>
    <w:rsid w:val="00560125"/>
    <w:rsid w:val="00560211"/>
    <w:rsid w:val="00560379"/>
    <w:rsid w:val="00560449"/>
    <w:rsid w:val="00560552"/>
    <w:rsid w:val="00560602"/>
    <w:rsid w:val="0056068C"/>
    <w:rsid w:val="005607CA"/>
    <w:rsid w:val="00560A0F"/>
    <w:rsid w:val="00560A5D"/>
    <w:rsid w:val="00560A65"/>
    <w:rsid w:val="00560B0F"/>
    <w:rsid w:val="00560E21"/>
    <w:rsid w:val="00560FD5"/>
    <w:rsid w:val="0056106F"/>
    <w:rsid w:val="00561219"/>
    <w:rsid w:val="0056145A"/>
    <w:rsid w:val="0056192B"/>
    <w:rsid w:val="005619A0"/>
    <w:rsid w:val="00561F13"/>
    <w:rsid w:val="00561F35"/>
    <w:rsid w:val="005621E3"/>
    <w:rsid w:val="0056222F"/>
    <w:rsid w:val="00562335"/>
    <w:rsid w:val="005627A6"/>
    <w:rsid w:val="00562B3A"/>
    <w:rsid w:val="00562EA4"/>
    <w:rsid w:val="00563114"/>
    <w:rsid w:val="005631F9"/>
    <w:rsid w:val="0056385C"/>
    <w:rsid w:val="0056398D"/>
    <w:rsid w:val="00563C6A"/>
    <w:rsid w:val="0056408D"/>
    <w:rsid w:val="0056410C"/>
    <w:rsid w:val="005641BE"/>
    <w:rsid w:val="005641E0"/>
    <w:rsid w:val="00564222"/>
    <w:rsid w:val="00564356"/>
    <w:rsid w:val="00564496"/>
    <w:rsid w:val="005644A5"/>
    <w:rsid w:val="005645C1"/>
    <w:rsid w:val="00564827"/>
    <w:rsid w:val="00564936"/>
    <w:rsid w:val="00564C2B"/>
    <w:rsid w:val="00564D9B"/>
    <w:rsid w:val="00564E2D"/>
    <w:rsid w:val="00564EC0"/>
    <w:rsid w:val="005653AD"/>
    <w:rsid w:val="00565602"/>
    <w:rsid w:val="00565891"/>
    <w:rsid w:val="005659C2"/>
    <w:rsid w:val="00565A51"/>
    <w:rsid w:val="00565A9C"/>
    <w:rsid w:val="00565B18"/>
    <w:rsid w:val="00565CBC"/>
    <w:rsid w:val="00565D60"/>
    <w:rsid w:val="00565F3C"/>
    <w:rsid w:val="00565F4F"/>
    <w:rsid w:val="00566361"/>
    <w:rsid w:val="00566627"/>
    <w:rsid w:val="00566910"/>
    <w:rsid w:val="005669C4"/>
    <w:rsid w:val="00566ABF"/>
    <w:rsid w:val="00566BC2"/>
    <w:rsid w:val="00566D31"/>
    <w:rsid w:val="00566D40"/>
    <w:rsid w:val="00566DDD"/>
    <w:rsid w:val="00566DEF"/>
    <w:rsid w:val="00566FA7"/>
    <w:rsid w:val="00566FAB"/>
    <w:rsid w:val="00567198"/>
    <w:rsid w:val="00567261"/>
    <w:rsid w:val="005673A3"/>
    <w:rsid w:val="00567423"/>
    <w:rsid w:val="005675F2"/>
    <w:rsid w:val="00567633"/>
    <w:rsid w:val="0056776B"/>
    <w:rsid w:val="0056779A"/>
    <w:rsid w:val="0057006A"/>
    <w:rsid w:val="005700B0"/>
    <w:rsid w:val="00570185"/>
    <w:rsid w:val="0057033D"/>
    <w:rsid w:val="0057054E"/>
    <w:rsid w:val="00570B48"/>
    <w:rsid w:val="00570B6D"/>
    <w:rsid w:val="00570BEC"/>
    <w:rsid w:val="00570BFC"/>
    <w:rsid w:val="00570C23"/>
    <w:rsid w:val="00570CEA"/>
    <w:rsid w:val="00570EAD"/>
    <w:rsid w:val="005711B9"/>
    <w:rsid w:val="00571226"/>
    <w:rsid w:val="00571346"/>
    <w:rsid w:val="00571583"/>
    <w:rsid w:val="00571592"/>
    <w:rsid w:val="005716DA"/>
    <w:rsid w:val="005718C1"/>
    <w:rsid w:val="00571BAC"/>
    <w:rsid w:val="00571BD7"/>
    <w:rsid w:val="00571C7F"/>
    <w:rsid w:val="0057217C"/>
    <w:rsid w:val="005721B1"/>
    <w:rsid w:val="00572321"/>
    <w:rsid w:val="005724D7"/>
    <w:rsid w:val="00572500"/>
    <w:rsid w:val="00572602"/>
    <w:rsid w:val="0057260F"/>
    <w:rsid w:val="005728A9"/>
    <w:rsid w:val="00572B76"/>
    <w:rsid w:val="00572BBE"/>
    <w:rsid w:val="00572CF3"/>
    <w:rsid w:val="00572DAD"/>
    <w:rsid w:val="005730E2"/>
    <w:rsid w:val="00573203"/>
    <w:rsid w:val="00573494"/>
    <w:rsid w:val="0057350C"/>
    <w:rsid w:val="005736BB"/>
    <w:rsid w:val="005737B3"/>
    <w:rsid w:val="005739AF"/>
    <w:rsid w:val="00573AA6"/>
    <w:rsid w:val="00573B20"/>
    <w:rsid w:val="00573C1A"/>
    <w:rsid w:val="00573D97"/>
    <w:rsid w:val="00573E89"/>
    <w:rsid w:val="0057425B"/>
    <w:rsid w:val="005742E2"/>
    <w:rsid w:val="00574351"/>
    <w:rsid w:val="0057463C"/>
    <w:rsid w:val="005747CE"/>
    <w:rsid w:val="005748B4"/>
    <w:rsid w:val="00574F22"/>
    <w:rsid w:val="005753FA"/>
    <w:rsid w:val="00575665"/>
    <w:rsid w:val="00575B81"/>
    <w:rsid w:val="00575CE0"/>
    <w:rsid w:val="00575CE5"/>
    <w:rsid w:val="00575D06"/>
    <w:rsid w:val="00575DAF"/>
    <w:rsid w:val="00576012"/>
    <w:rsid w:val="00576016"/>
    <w:rsid w:val="005760C3"/>
    <w:rsid w:val="00576146"/>
    <w:rsid w:val="005761EE"/>
    <w:rsid w:val="00576249"/>
    <w:rsid w:val="0057629C"/>
    <w:rsid w:val="005762BB"/>
    <w:rsid w:val="00576372"/>
    <w:rsid w:val="0057637D"/>
    <w:rsid w:val="00576566"/>
    <w:rsid w:val="00576999"/>
    <w:rsid w:val="00576CEA"/>
    <w:rsid w:val="0057716C"/>
    <w:rsid w:val="00577272"/>
    <w:rsid w:val="00577325"/>
    <w:rsid w:val="005777AA"/>
    <w:rsid w:val="005778A2"/>
    <w:rsid w:val="005779C2"/>
    <w:rsid w:val="00577A9C"/>
    <w:rsid w:val="00577AE0"/>
    <w:rsid w:val="00577C5E"/>
    <w:rsid w:val="0058056D"/>
    <w:rsid w:val="0058093F"/>
    <w:rsid w:val="00580BE6"/>
    <w:rsid w:val="00580C26"/>
    <w:rsid w:val="00580CD1"/>
    <w:rsid w:val="00580DFE"/>
    <w:rsid w:val="00580E6C"/>
    <w:rsid w:val="005811DD"/>
    <w:rsid w:val="00581273"/>
    <w:rsid w:val="00581405"/>
    <w:rsid w:val="00581410"/>
    <w:rsid w:val="0058141A"/>
    <w:rsid w:val="005815BC"/>
    <w:rsid w:val="0058162F"/>
    <w:rsid w:val="00581B77"/>
    <w:rsid w:val="00581BD9"/>
    <w:rsid w:val="00581C8F"/>
    <w:rsid w:val="00581CBD"/>
    <w:rsid w:val="00581D0B"/>
    <w:rsid w:val="00581D80"/>
    <w:rsid w:val="00581DA7"/>
    <w:rsid w:val="00581F87"/>
    <w:rsid w:val="00581FEC"/>
    <w:rsid w:val="0058209A"/>
    <w:rsid w:val="00582481"/>
    <w:rsid w:val="005825FE"/>
    <w:rsid w:val="0058267F"/>
    <w:rsid w:val="005826BD"/>
    <w:rsid w:val="005826C3"/>
    <w:rsid w:val="0058285B"/>
    <w:rsid w:val="00582D33"/>
    <w:rsid w:val="00582E51"/>
    <w:rsid w:val="00582EC3"/>
    <w:rsid w:val="00582EE9"/>
    <w:rsid w:val="005830FE"/>
    <w:rsid w:val="005831EA"/>
    <w:rsid w:val="00583216"/>
    <w:rsid w:val="00583539"/>
    <w:rsid w:val="005835EF"/>
    <w:rsid w:val="005836AC"/>
    <w:rsid w:val="005837C3"/>
    <w:rsid w:val="00583B6B"/>
    <w:rsid w:val="00583BB2"/>
    <w:rsid w:val="0058419E"/>
    <w:rsid w:val="0058445B"/>
    <w:rsid w:val="0058450B"/>
    <w:rsid w:val="005847FA"/>
    <w:rsid w:val="00584A78"/>
    <w:rsid w:val="00584B84"/>
    <w:rsid w:val="00584CD3"/>
    <w:rsid w:val="00584D52"/>
    <w:rsid w:val="00584F49"/>
    <w:rsid w:val="00584FDE"/>
    <w:rsid w:val="00585098"/>
    <w:rsid w:val="00585272"/>
    <w:rsid w:val="0058535C"/>
    <w:rsid w:val="005854D4"/>
    <w:rsid w:val="00585516"/>
    <w:rsid w:val="0058556E"/>
    <w:rsid w:val="005856F9"/>
    <w:rsid w:val="00585756"/>
    <w:rsid w:val="005857BE"/>
    <w:rsid w:val="005858E5"/>
    <w:rsid w:val="00585917"/>
    <w:rsid w:val="00585BE9"/>
    <w:rsid w:val="00585D8E"/>
    <w:rsid w:val="0058600F"/>
    <w:rsid w:val="00586083"/>
    <w:rsid w:val="005863F1"/>
    <w:rsid w:val="0058656B"/>
    <w:rsid w:val="00586684"/>
    <w:rsid w:val="00586688"/>
    <w:rsid w:val="00586825"/>
    <w:rsid w:val="0058689B"/>
    <w:rsid w:val="005868A5"/>
    <w:rsid w:val="00586926"/>
    <w:rsid w:val="005869B4"/>
    <w:rsid w:val="00586A20"/>
    <w:rsid w:val="00586A82"/>
    <w:rsid w:val="00586AFE"/>
    <w:rsid w:val="00586C5E"/>
    <w:rsid w:val="00586C7C"/>
    <w:rsid w:val="00586DF7"/>
    <w:rsid w:val="00586E1F"/>
    <w:rsid w:val="00586FE8"/>
    <w:rsid w:val="00587052"/>
    <w:rsid w:val="0058713C"/>
    <w:rsid w:val="005871A8"/>
    <w:rsid w:val="005871DD"/>
    <w:rsid w:val="0058721E"/>
    <w:rsid w:val="0058747A"/>
    <w:rsid w:val="005875C2"/>
    <w:rsid w:val="00587681"/>
    <w:rsid w:val="0058779D"/>
    <w:rsid w:val="0058791A"/>
    <w:rsid w:val="00587BB8"/>
    <w:rsid w:val="00587BBD"/>
    <w:rsid w:val="00587F3C"/>
    <w:rsid w:val="00590046"/>
    <w:rsid w:val="0059005F"/>
    <w:rsid w:val="005900DA"/>
    <w:rsid w:val="00590142"/>
    <w:rsid w:val="00590332"/>
    <w:rsid w:val="0059036B"/>
    <w:rsid w:val="00590403"/>
    <w:rsid w:val="0059043F"/>
    <w:rsid w:val="005905B7"/>
    <w:rsid w:val="005906DE"/>
    <w:rsid w:val="005909FB"/>
    <w:rsid w:val="00590A2F"/>
    <w:rsid w:val="00590A7B"/>
    <w:rsid w:val="00590BB0"/>
    <w:rsid w:val="00590CF1"/>
    <w:rsid w:val="00591043"/>
    <w:rsid w:val="00591051"/>
    <w:rsid w:val="005910F4"/>
    <w:rsid w:val="00591151"/>
    <w:rsid w:val="00591159"/>
    <w:rsid w:val="005912C5"/>
    <w:rsid w:val="005916D1"/>
    <w:rsid w:val="0059185C"/>
    <w:rsid w:val="00591895"/>
    <w:rsid w:val="00591B24"/>
    <w:rsid w:val="00591F8E"/>
    <w:rsid w:val="00592123"/>
    <w:rsid w:val="005922C2"/>
    <w:rsid w:val="005925A3"/>
    <w:rsid w:val="00592647"/>
    <w:rsid w:val="0059264D"/>
    <w:rsid w:val="0059266A"/>
    <w:rsid w:val="0059284E"/>
    <w:rsid w:val="00592AF3"/>
    <w:rsid w:val="00592B23"/>
    <w:rsid w:val="00592C58"/>
    <w:rsid w:val="00592D1E"/>
    <w:rsid w:val="00592DE9"/>
    <w:rsid w:val="00592E01"/>
    <w:rsid w:val="00592EB9"/>
    <w:rsid w:val="00592ED9"/>
    <w:rsid w:val="0059316F"/>
    <w:rsid w:val="005938A2"/>
    <w:rsid w:val="00593AED"/>
    <w:rsid w:val="00593CF8"/>
    <w:rsid w:val="00593D6F"/>
    <w:rsid w:val="00593E48"/>
    <w:rsid w:val="00593F09"/>
    <w:rsid w:val="00594033"/>
    <w:rsid w:val="00594057"/>
    <w:rsid w:val="005940E5"/>
    <w:rsid w:val="005943C1"/>
    <w:rsid w:val="005943F2"/>
    <w:rsid w:val="00594513"/>
    <w:rsid w:val="0059456E"/>
    <w:rsid w:val="0059474D"/>
    <w:rsid w:val="005949F2"/>
    <w:rsid w:val="00594C58"/>
    <w:rsid w:val="00594E6E"/>
    <w:rsid w:val="005951CE"/>
    <w:rsid w:val="00595421"/>
    <w:rsid w:val="005955D7"/>
    <w:rsid w:val="005955DA"/>
    <w:rsid w:val="0059573B"/>
    <w:rsid w:val="00595B95"/>
    <w:rsid w:val="0059607E"/>
    <w:rsid w:val="00596347"/>
    <w:rsid w:val="00596693"/>
    <w:rsid w:val="005966A6"/>
    <w:rsid w:val="0059672A"/>
    <w:rsid w:val="0059681C"/>
    <w:rsid w:val="00596961"/>
    <w:rsid w:val="00596A56"/>
    <w:rsid w:val="00596AB5"/>
    <w:rsid w:val="00596CA7"/>
    <w:rsid w:val="00596E28"/>
    <w:rsid w:val="00596E9C"/>
    <w:rsid w:val="00597538"/>
    <w:rsid w:val="00597588"/>
    <w:rsid w:val="0059760A"/>
    <w:rsid w:val="0059787A"/>
    <w:rsid w:val="00597ADE"/>
    <w:rsid w:val="00597B9B"/>
    <w:rsid w:val="00597C3C"/>
    <w:rsid w:val="00597CC7"/>
    <w:rsid w:val="00597E21"/>
    <w:rsid w:val="00597E7C"/>
    <w:rsid w:val="005A00FC"/>
    <w:rsid w:val="005A0112"/>
    <w:rsid w:val="005A042F"/>
    <w:rsid w:val="005A0840"/>
    <w:rsid w:val="005A0982"/>
    <w:rsid w:val="005A0A3A"/>
    <w:rsid w:val="005A0E15"/>
    <w:rsid w:val="005A12C4"/>
    <w:rsid w:val="005A1342"/>
    <w:rsid w:val="005A181E"/>
    <w:rsid w:val="005A1943"/>
    <w:rsid w:val="005A1B12"/>
    <w:rsid w:val="005A1B3A"/>
    <w:rsid w:val="005A1B6E"/>
    <w:rsid w:val="005A1D8D"/>
    <w:rsid w:val="005A1E1E"/>
    <w:rsid w:val="005A217D"/>
    <w:rsid w:val="005A226C"/>
    <w:rsid w:val="005A277B"/>
    <w:rsid w:val="005A27D3"/>
    <w:rsid w:val="005A27E9"/>
    <w:rsid w:val="005A2BE5"/>
    <w:rsid w:val="005A2C7A"/>
    <w:rsid w:val="005A2D02"/>
    <w:rsid w:val="005A2E5A"/>
    <w:rsid w:val="005A30D2"/>
    <w:rsid w:val="005A3249"/>
    <w:rsid w:val="005A3370"/>
    <w:rsid w:val="005A351C"/>
    <w:rsid w:val="005A398E"/>
    <w:rsid w:val="005A39C1"/>
    <w:rsid w:val="005A39C5"/>
    <w:rsid w:val="005A3A45"/>
    <w:rsid w:val="005A3A6F"/>
    <w:rsid w:val="005A3A96"/>
    <w:rsid w:val="005A3AD7"/>
    <w:rsid w:val="005A3BAA"/>
    <w:rsid w:val="005A3BAC"/>
    <w:rsid w:val="005A3BD5"/>
    <w:rsid w:val="005A3D0A"/>
    <w:rsid w:val="005A3EEC"/>
    <w:rsid w:val="005A42E1"/>
    <w:rsid w:val="005A4345"/>
    <w:rsid w:val="005A44A2"/>
    <w:rsid w:val="005A45A1"/>
    <w:rsid w:val="005A46ED"/>
    <w:rsid w:val="005A4A22"/>
    <w:rsid w:val="005A4D25"/>
    <w:rsid w:val="005A4F92"/>
    <w:rsid w:val="005A5019"/>
    <w:rsid w:val="005A50C4"/>
    <w:rsid w:val="005A51D3"/>
    <w:rsid w:val="005A5495"/>
    <w:rsid w:val="005A54A4"/>
    <w:rsid w:val="005A56BD"/>
    <w:rsid w:val="005A5B21"/>
    <w:rsid w:val="005A5EB8"/>
    <w:rsid w:val="005A602B"/>
    <w:rsid w:val="005A6062"/>
    <w:rsid w:val="005A62F5"/>
    <w:rsid w:val="005A6592"/>
    <w:rsid w:val="005A65A8"/>
    <w:rsid w:val="005A673B"/>
    <w:rsid w:val="005A67CD"/>
    <w:rsid w:val="005A6840"/>
    <w:rsid w:val="005A6867"/>
    <w:rsid w:val="005A68D2"/>
    <w:rsid w:val="005A6B1D"/>
    <w:rsid w:val="005A6CC5"/>
    <w:rsid w:val="005A6CD2"/>
    <w:rsid w:val="005A6F61"/>
    <w:rsid w:val="005A723D"/>
    <w:rsid w:val="005A7372"/>
    <w:rsid w:val="005A7656"/>
    <w:rsid w:val="005A78A4"/>
    <w:rsid w:val="005A78EE"/>
    <w:rsid w:val="005A7956"/>
    <w:rsid w:val="005A7D3C"/>
    <w:rsid w:val="005A7DCE"/>
    <w:rsid w:val="005A7E6C"/>
    <w:rsid w:val="005B0292"/>
    <w:rsid w:val="005B029F"/>
    <w:rsid w:val="005B034E"/>
    <w:rsid w:val="005B0610"/>
    <w:rsid w:val="005B065A"/>
    <w:rsid w:val="005B066B"/>
    <w:rsid w:val="005B06FE"/>
    <w:rsid w:val="005B0723"/>
    <w:rsid w:val="005B08F5"/>
    <w:rsid w:val="005B0960"/>
    <w:rsid w:val="005B0A36"/>
    <w:rsid w:val="005B0A7F"/>
    <w:rsid w:val="005B0AE9"/>
    <w:rsid w:val="005B0BFF"/>
    <w:rsid w:val="005B0C57"/>
    <w:rsid w:val="005B0DF4"/>
    <w:rsid w:val="005B0F62"/>
    <w:rsid w:val="005B10B4"/>
    <w:rsid w:val="005B11FA"/>
    <w:rsid w:val="005B14BA"/>
    <w:rsid w:val="005B14CA"/>
    <w:rsid w:val="005B1548"/>
    <w:rsid w:val="005B157B"/>
    <w:rsid w:val="005B16B0"/>
    <w:rsid w:val="005B176E"/>
    <w:rsid w:val="005B186D"/>
    <w:rsid w:val="005B1873"/>
    <w:rsid w:val="005B1905"/>
    <w:rsid w:val="005B1BA0"/>
    <w:rsid w:val="005B1E69"/>
    <w:rsid w:val="005B21C9"/>
    <w:rsid w:val="005B228C"/>
    <w:rsid w:val="005B23FD"/>
    <w:rsid w:val="005B24CA"/>
    <w:rsid w:val="005B269C"/>
    <w:rsid w:val="005B2870"/>
    <w:rsid w:val="005B2BBD"/>
    <w:rsid w:val="005B2D76"/>
    <w:rsid w:val="005B2F5F"/>
    <w:rsid w:val="005B303B"/>
    <w:rsid w:val="005B31B1"/>
    <w:rsid w:val="005B364B"/>
    <w:rsid w:val="005B3853"/>
    <w:rsid w:val="005B392D"/>
    <w:rsid w:val="005B3ABB"/>
    <w:rsid w:val="005B3AE8"/>
    <w:rsid w:val="005B3B02"/>
    <w:rsid w:val="005B3DB7"/>
    <w:rsid w:val="005B3F0F"/>
    <w:rsid w:val="005B43A1"/>
    <w:rsid w:val="005B468E"/>
    <w:rsid w:val="005B472E"/>
    <w:rsid w:val="005B47D2"/>
    <w:rsid w:val="005B493C"/>
    <w:rsid w:val="005B494A"/>
    <w:rsid w:val="005B4C3C"/>
    <w:rsid w:val="005B4C67"/>
    <w:rsid w:val="005B4E04"/>
    <w:rsid w:val="005B4F34"/>
    <w:rsid w:val="005B4F85"/>
    <w:rsid w:val="005B5029"/>
    <w:rsid w:val="005B50D7"/>
    <w:rsid w:val="005B512A"/>
    <w:rsid w:val="005B538E"/>
    <w:rsid w:val="005B5421"/>
    <w:rsid w:val="005B55AC"/>
    <w:rsid w:val="005B565B"/>
    <w:rsid w:val="005B56FF"/>
    <w:rsid w:val="005B574C"/>
    <w:rsid w:val="005B57CC"/>
    <w:rsid w:val="005B58B1"/>
    <w:rsid w:val="005B596F"/>
    <w:rsid w:val="005B5A36"/>
    <w:rsid w:val="005B5AA1"/>
    <w:rsid w:val="005B5C34"/>
    <w:rsid w:val="005B5E65"/>
    <w:rsid w:val="005B60B8"/>
    <w:rsid w:val="005B614C"/>
    <w:rsid w:val="005B64AD"/>
    <w:rsid w:val="005B6600"/>
    <w:rsid w:val="005B6698"/>
    <w:rsid w:val="005B6842"/>
    <w:rsid w:val="005B6A03"/>
    <w:rsid w:val="005B6A61"/>
    <w:rsid w:val="005B6AB0"/>
    <w:rsid w:val="005B6AD4"/>
    <w:rsid w:val="005B6B6C"/>
    <w:rsid w:val="005B6C2B"/>
    <w:rsid w:val="005B6D20"/>
    <w:rsid w:val="005B6E35"/>
    <w:rsid w:val="005B6FF9"/>
    <w:rsid w:val="005B75B7"/>
    <w:rsid w:val="005B76B3"/>
    <w:rsid w:val="005B76B6"/>
    <w:rsid w:val="005B7799"/>
    <w:rsid w:val="005B7835"/>
    <w:rsid w:val="005B7889"/>
    <w:rsid w:val="005B7954"/>
    <w:rsid w:val="005B798B"/>
    <w:rsid w:val="005B79A3"/>
    <w:rsid w:val="005B7C57"/>
    <w:rsid w:val="005B7F47"/>
    <w:rsid w:val="005B7FCC"/>
    <w:rsid w:val="005B7FEE"/>
    <w:rsid w:val="005C009D"/>
    <w:rsid w:val="005C00BD"/>
    <w:rsid w:val="005C01F5"/>
    <w:rsid w:val="005C0202"/>
    <w:rsid w:val="005C029B"/>
    <w:rsid w:val="005C03FB"/>
    <w:rsid w:val="005C04E3"/>
    <w:rsid w:val="005C068E"/>
    <w:rsid w:val="005C077C"/>
    <w:rsid w:val="005C099C"/>
    <w:rsid w:val="005C0AA0"/>
    <w:rsid w:val="005C0CE3"/>
    <w:rsid w:val="005C0FC5"/>
    <w:rsid w:val="005C124F"/>
    <w:rsid w:val="005C1416"/>
    <w:rsid w:val="005C176E"/>
    <w:rsid w:val="005C183C"/>
    <w:rsid w:val="005C1E97"/>
    <w:rsid w:val="005C1EBB"/>
    <w:rsid w:val="005C1F54"/>
    <w:rsid w:val="005C1FCF"/>
    <w:rsid w:val="005C237A"/>
    <w:rsid w:val="005C23A0"/>
    <w:rsid w:val="005C24E5"/>
    <w:rsid w:val="005C252B"/>
    <w:rsid w:val="005C256A"/>
    <w:rsid w:val="005C261A"/>
    <w:rsid w:val="005C2756"/>
    <w:rsid w:val="005C2AA0"/>
    <w:rsid w:val="005C2AEE"/>
    <w:rsid w:val="005C2AF0"/>
    <w:rsid w:val="005C2BBE"/>
    <w:rsid w:val="005C3040"/>
    <w:rsid w:val="005C307F"/>
    <w:rsid w:val="005C30DD"/>
    <w:rsid w:val="005C3214"/>
    <w:rsid w:val="005C366A"/>
    <w:rsid w:val="005C36DE"/>
    <w:rsid w:val="005C37D8"/>
    <w:rsid w:val="005C383B"/>
    <w:rsid w:val="005C3B17"/>
    <w:rsid w:val="005C3BE3"/>
    <w:rsid w:val="005C3CE0"/>
    <w:rsid w:val="005C3ED7"/>
    <w:rsid w:val="005C3EEF"/>
    <w:rsid w:val="005C4034"/>
    <w:rsid w:val="005C425B"/>
    <w:rsid w:val="005C4323"/>
    <w:rsid w:val="005C43D1"/>
    <w:rsid w:val="005C4545"/>
    <w:rsid w:val="005C46B9"/>
    <w:rsid w:val="005C4836"/>
    <w:rsid w:val="005C4A1A"/>
    <w:rsid w:val="005C4E43"/>
    <w:rsid w:val="005C58B5"/>
    <w:rsid w:val="005C5C2D"/>
    <w:rsid w:val="005C5C36"/>
    <w:rsid w:val="005C5DD4"/>
    <w:rsid w:val="005C5F0E"/>
    <w:rsid w:val="005C63BF"/>
    <w:rsid w:val="005C64FB"/>
    <w:rsid w:val="005C6A46"/>
    <w:rsid w:val="005C6B29"/>
    <w:rsid w:val="005C6B4D"/>
    <w:rsid w:val="005C6C7E"/>
    <w:rsid w:val="005C6D40"/>
    <w:rsid w:val="005C6E66"/>
    <w:rsid w:val="005C7169"/>
    <w:rsid w:val="005C716B"/>
    <w:rsid w:val="005C746D"/>
    <w:rsid w:val="005C7558"/>
    <w:rsid w:val="005C76EC"/>
    <w:rsid w:val="005C7B79"/>
    <w:rsid w:val="005C7C07"/>
    <w:rsid w:val="005C7E57"/>
    <w:rsid w:val="005D00C8"/>
    <w:rsid w:val="005D017A"/>
    <w:rsid w:val="005D0182"/>
    <w:rsid w:val="005D0219"/>
    <w:rsid w:val="005D0351"/>
    <w:rsid w:val="005D0554"/>
    <w:rsid w:val="005D0659"/>
    <w:rsid w:val="005D06C8"/>
    <w:rsid w:val="005D07ED"/>
    <w:rsid w:val="005D0989"/>
    <w:rsid w:val="005D09BA"/>
    <w:rsid w:val="005D0C82"/>
    <w:rsid w:val="005D113C"/>
    <w:rsid w:val="005D12BD"/>
    <w:rsid w:val="005D161B"/>
    <w:rsid w:val="005D163E"/>
    <w:rsid w:val="005D16A0"/>
    <w:rsid w:val="005D1ABC"/>
    <w:rsid w:val="005D1BC6"/>
    <w:rsid w:val="005D1C84"/>
    <w:rsid w:val="005D1FD4"/>
    <w:rsid w:val="005D26B6"/>
    <w:rsid w:val="005D2757"/>
    <w:rsid w:val="005D27CD"/>
    <w:rsid w:val="005D2958"/>
    <w:rsid w:val="005D2BD5"/>
    <w:rsid w:val="005D2FB5"/>
    <w:rsid w:val="005D2FF6"/>
    <w:rsid w:val="005D3A18"/>
    <w:rsid w:val="005D3AAF"/>
    <w:rsid w:val="005D3C03"/>
    <w:rsid w:val="005D3FD6"/>
    <w:rsid w:val="005D4316"/>
    <w:rsid w:val="005D459D"/>
    <w:rsid w:val="005D47A7"/>
    <w:rsid w:val="005D48A0"/>
    <w:rsid w:val="005D48A6"/>
    <w:rsid w:val="005D4AAC"/>
    <w:rsid w:val="005D4C58"/>
    <w:rsid w:val="005D4C5B"/>
    <w:rsid w:val="005D508A"/>
    <w:rsid w:val="005D51BB"/>
    <w:rsid w:val="005D51DF"/>
    <w:rsid w:val="005D5222"/>
    <w:rsid w:val="005D5294"/>
    <w:rsid w:val="005D53A2"/>
    <w:rsid w:val="005D5571"/>
    <w:rsid w:val="005D568D"/>
    <w:rsid w:val="005D577A"/>
    <w:rsid w:val="005D577E"/>
    <w:rsid w:val="005D5829"/>
    <w:rsid w:val="005D5956"/>
    <w:rsid w:val="005D59FE"/>
    <w:rsid w:val="005D5A35"/>
    <w:rsid w:val="005D5C48"/>
    <w:rsid w:val="005D5C76"/>
    <w:rsid w:val="005D5CE8"/>
    <w:rsid w:val="005D5E0F"/>
    <w:rsid w:val="005D6030"/>
    <w:rsid w:val="005D6083"/>
    <w:rsid w:val="005D6168"/>
    <w:rsid w:val="005D650B"/>
    <w:rsid w:val="005D65ED"/>
    <w:rsid w:val="005D663D"/>
    <w:rsid w:val="005D67F1"/>
    <w:rsid w:val="005D6CEB"/>
    <w:rsid w:val="005D6DDE"/>
    <w:rsid w:val="005D6DF3"/>
    <w:rsid w:val="005D70AA"/>
    <w:rsid w:val="005D72C5"/>
    <w:rsid w:val="005D72CD"/>
    <w:rsid w:val="005D7BA0"/>
    <w:rsid w:val="005D7DB8"/>
    <w:rsid w:val="005D7EEC"/>
    <w:rsid w:val="005E0074"/>
    <w:rsid w:val="005E00C2"/>
    <w:rsid w:val="005E0338"/>
    <w:rsid w:val="005E0506"/>
    <w:rsid w:val="005E052B"/>
    <w:rsid w:val="005E0552"/>
    <w:rsid w:val="005E067B"/>
    <w:rsid w:val="005E080E"/>
    <w:rsid w:val="005E08A0"/>
    <w:rsid w:val="005E0929"/>
    <w:rsid w:val="005E0A2D"/>
    <w:rsid w:val="005E0B1C"/>
    <w:rsid w:val="005E0B58"/>
    <w:rsid w:val="005E0CD8"/>
    <w:rsid w:val="005E0DC2"/>
    <w:rsid w:val="005E103F"/>
    <w:rsid w:val="005E1107"/>
    <w:rsid w:val="005E12EF"/>
    <w:rsid w:val="005E1315"/>
    <w:rsid w:val="005E14B2"/>
    <w:rsid w:val="005E16E8"/>
    <w:rsid w:val="005E177B"/>
    <w:rsid w:val="005E19B5"/>
    <w:rsid w:val="005E1B71"/>
    <w:rsid w:val="005E1D42"/>
    <w:rsid w:val="005E1DFB"/>
    <w:rsid w:val="005E1F13"/>
    <w:rsid w:val="005E1F18"/>
    <w:rsid w:val="005E2354"/>
    <w:rsid w:val="005E279D"/>
    <w:rsid w:val="005E2830"/>
    <w:rsid w:val="005E287B"/>
    <w:rsid w:val="005E299C"/>
    <w:rsid w:val="005E2A79"/>
    <w:rsid w:val="005E2A80"/>
    <w:rsid w:val="005E2B08"/>
    <w:rsid w:val="005E2C6E"/>
    <w:rsid w:val="005E2ECC"/>
    <w:rsid w:val="005E31C7"/>
    <w:rsid w:val="005E32D6"/>
    <w:rsid w:val="005E3316"/>
    <w:rsid w:val="005E3391"/>
    <w:rsid w:val="005E347B"/>
    <w:rsid w:val="005E36AD"/>
    <w:rsid w:val="005E3863"/>
    <w:rsid w:val="005E390D"/>
    <w:rsid w:val="005E3B82"/>
    <w:rsid w:val="005E3FE5"/>
    <w:rsid w:val="005E4177"/>
    <w:rsid w:val="005E4196"/>
    <w:rsid w:val="005E4455"/>
    <w:rsid w:val="005E4526"/>
    <w:rsid w:val="005E45D9"/>
    <w:rsid w:val="005E4697"/>
    <w:rsid w:val="005E4837"/>
    <w:rsid w:val="005E484A"/>
    <w:rsid w:val="005E4BB8"/>
    <w:rsid w:val="005E4C3B"/>
    <w:rsid w:val="005E4EA3"/>
    <w:rsid w:val="005E4EBE"/>
    <w:rsid w:val="005E5412"/>
    <w:rsid w:val="005E54FF"/>
    <w:rsid w:val="005E5568"/>
    <w:rsid w:val="005E590D"/>
    <w:rsid w:val="005E5B10"/>
    <w:rsid w:val="005E5B59"/>
    <w:rsid w:val="005E5B89"/>
    <w:rsid w:val="005E5BDE"/>
    <w:rsid w:val="005E5C3F"/>
    <w:rsid w:val="005E6015"/>
    <w:rsid w:val="005E617B"/>
    <w:rsid w:val="005E6227"/>
    <w:rsid w:val="005E6503"/>
    <w:rsid w:val="005E68CE"/>
    <w:rsid w:val="005E692D"/>
    <w:rsid w:val="005E6AD6"/>
    <w:rsid w:val="005E6E67"/>
    <w:rsid w:val="005E7074"/>
    <w:rsid w:val="005E7370"/>
    <w:rsid w:val="005E73BB"/>
    <w:rsid w:val="005E7557"/>
    <w:rsid w:val="005E765B"/>
    <w:rsid w:val="005E77AE"/>
    <w:rsid w:val="005E7948"/>
    <w:rsid w:val="005E7FD8"/>
    <w:rsid w:val="005F00D2"/>
    <w:rsid w:val="005F0247"/>
    <w:rsid w:val="005F0318"/>
    <w:rsid w:val="005F08AF"/>
    <w:rsid w:val="005F0AC6"/>
    <w:rsid w:val="005F0E04"/>
    <w:rsid w:val="005F101B"/>
    <w:rsid w:val="005F1255"/>
    <w:rsid w:val="005F12D3"/>
    <w:rsid w:val="005F13D4"/>
    <w:rsid w:val="005F16CB"/>
    <w:rsid w:val="005F17B2"/>
    <w:rsid w:val="005F1DE8"/>
    <w:rsid w:val="005F1DEC"/>
    <w:rsid w:val="005F1DFB"/>
    <w:rsid w:val="005F1EAC"/>
    <w:rsid w:val="005F2141"/>
    <w:rsid w:val="005F239C"/>
    <w:rsid w:val="005F2471"/>
    <w:rsid w:val="005F257F"/>
    <w:rsid w:val="005F26CD"/>
    <w:rsid w:val="005F276B"/>
    <w:rsid w:val="005F297E"/>
    <w:rsid w:val="005F2B03"/>
    <w:rsid w:val="005F2D31"/>
    <w:rsid w:val="005F2E65"/>
    <w:rsid w:val="005F2E73"/>
    <w:rsid w:val="005F2FD5"/>
    <w:rsid w:val="005F309D"/>
    <w:rsid w:val="005F319A"/>
    <w:rsid w:val="005F33E3"/>
    <w:rsid w:val="005F37E6"/>
    <w:rsid w:val="005F3A23"/>
    <w:rsid w:val="005F3C89"/>
    <w:rsid w:val="005F3DAF"/>
    <w:rsid w:val="005F3F61"/>
    <w:rsid w:val="005F40EB"/>
    <w:rsid w:val="005F4453"/>
    <w:rsid w:val="005F44E3"/>
    <w:rsid w:val="005F4502"/>
    <w:rsid w:val="005F45C0"/>
    <w:rsid w:val="005F45E7"/>
    <w:rsid w:val="005F4618"/>
    <w:rsid w:val="005F4F8D"/>
    <w:rsid w:val="005F5159"/>
    <w:rsid w:val="005F51DA"/>
    <w:rsid w:val="005F5226"/>
    <w:rsid w:val="005F52A5"/>
    <w:rsid w:val="005F5494"/>
    <w:rsid w:val="005F5613"/>
    <w:rsid w:val="005F5743"/>
    <w:rsid w:val="005F5770"/>
    <w:rsid w:val="005F585B"/>
    <w:rsid w:val="005F58EE"/>
    <w:rsid w:val="005F5A41"/>
    <w:rsid w:val="005F5CBB"/>
    <w:rsid w:val="005F5E58"/>
    <w:rsid w:val="005F5F08"/>
    <w:rsid w:val="005F5FC0"/>
    <w:rsid w:val="005F61C2"/>
    <w:rsid w:val="005F62BA"/>
    <w:rsid w:val="005F63B1"/>
    <w:rsid w:val="005F63B7"/>
    <w:rsid w:val="005F63C3"/>
    <w:rsid w:val="005F64D0"/>
    <w:rsid w:val="005F6512"/>
    <w:rsid w:val="005F699E"/>
    <w:rsid w:val="005F6B05"/>
    <w:rsid w:val="005F6BDA"/>
    <w:rsid w:val="005F6D55"/>
    <w:rsid w:val="005F6F57"/>
    <w:rsid w:val="005F72E5"/>
    <w:rsid w:val="005F74B6"/>
    <w:rsid w:val="005F7638"/>
    <w:rsid w:val="005F76DD"/>
    <w:rsid w:val="005F770F"/>
    <w:rsid w:val="005F7912"/>
    <w:rsid w:val="005F7A21"/>
    <w:rsid w:val="005F7A54"/>
    <w:rsid w:val="005F7CB3"/>
    <w:rsid w:val="005F7D07"/>
    <w:rsid w:val="005F7E03"/>
    <w:rsid w:val="005F7E56"/>
    <w:rsid w:val="00600293"/>
    <w:rsid w:val="00600491"/>
    <w:rsid w:val="006005A3"/>
    <w:rsid w:val="0060065D"/>
    <w:rsid w:val="0060074B"/>
    <w:rsid w:val="006008AD"/>
    <w:rsid w:val="00600924"/>
    <w:rsid w:val="00600A16"/>
    <w:rsid w:val="00600A64"/>
    <w:rsid w:val="00600BEB"/>
    <w:rsid w:val="00600D29"/>
    <w:rsid w:val="00600DA4"/>
    <w:rsid w:val="0060116E"/>
    <w:rsid w:val="006011B0"/>
    <w:rsid w:val="0060123F"/>
    <w:rsid w:val="006012B8"/>
    <w:rsid w:val="0060149D"/>
    <w:rsid w:val="0060153C"/>
    <w:rsid w:val="00601553"/>
    <w:rsid w:val="006016AB"/>
    <w:rsid w:val="006017D9"/>
    <w:rsid w:val="00601895"/>
    <w:rsid w:val="006019D9"/>
    <w:rsid w:val="00601C4E"/>
    <w:rsid w:val="00601DE2"/>
    <w:rsid w:val="00601F0E"/>
    <w:rsid w:val="00601F5D"/>
    <w:rsid w:val="006021A0"/>
    <w:rsid w:val="00602233"/>
    <w:rsid w:val="00602946"/>
    <w:rsid w:val="00602A9E"/>
    <w:rsid w:val="00602B5D"/>
    <w:rsid w:val="00602BA1"/>
    <w:rsid w:val="00602BEB"/>
    <w:rsid w:val="00602E99"/>
    <w:rsid w:val="00602F7B"/>
    <w:rsid w:val="006030E9"/>
    <w:rsid w:val="00603321"/>
    <w:rsid w:val="006033D0"/>
    <w:rsid w:val="006033FE"/>
    <w:rsid w:val="006034A9"/>
    <w:rsid w:val="00603564"/>
    <w:rsid w:val="00603840"/>
    <w:rsid w:val="00603ACD"/>
    <w:rsid w:val="00603C84"/>
    <w:rsid w:val="00604184"/>
    <w:rsid w:val="0060435B"/>
    <w:rsid w:val="006043F4"/>
    <w:rsid w:val="00604464"/>
    <w:rsid w:val="00604541"/>
    <w:rsid w:val="006047C7"/>
    <w:rsid w:val="00604942"/>
    <w:rsid w:val="00604BA3"/>
    <w:rsid w:val="00604BD4"/>
    <w:rsid w:val="00604E5F"/>
    <w:rsid w:val="00604F11"/>
    <w:rsid w:val="00604F47"/>
    <w:rsid w:val="006051DD"/>
    <w:rsid w:val="006054E5"/>
    <w:rsid w:val="0060567A"/>
    <w:rsid w:val="00605681"/>
    <w:rsid w:val="006056DB"/>
    <w:rsid w:val="00605B3F"/>
    <w:rsid w:val="00605B54"/>
    <w:rsid w:val="00605BA9"/>
    <w:rsid w:val="00605D77"/>
    <w:rsid w:val="006064F4"/>
    <w:rsid w:val="006066B0"/>
    <w:rsid w:val="006068B7"/>
    <w:rsid w:val="00606A94"/>
    <w:rsid w:val="00606E2B"/>
    <w:rsid w:val="006070EE"/>
    <w:rsid w:val="0060732A"/>
    <w:rsid w:val="00607389"/>
    <w:rsid w:val="00607485"/>
    <w:rsid w:val="0060794F"/>
    <w:rsid w:val="00607A53"/>
    <w:rsid w:val="00607EB3"/>
    <w:rsid w:val="00607F26"/>
    <w:rsid w:val="00607F48"/>
    <w:rsid w:val="00610108"/>
    <w:rsid w:val="006107F4"/>
    <w:rsid w:val="0061087F"/>
    <w:rsid w:val="006108E8"/>
    <w:rsid w:val="00610AD7"/>
    <w:rsid w:val="00610AF5"/>
    <w:rsid w:val="00610B90"/>
    <w:rsid w:val="00610DB0"/>
    <w:rsid w:val="00611010"/>
    <w:rsid w:val="006112FA"/>
    <w:rsid w:val="006113AA"/>
    <w:rsid w:val="0061150D"/>
    <w:rsid w:val="00611596"/>
    <w:rsid w:val="006119F7"/>
    <w:rsid w:val="00611A12"/>
    <w:rsid w:val="00611D4F"/>
    <w:rsid w:val="006120F2"/>
    <w:rsid w:val="00612149"/>
    <w:rsid w:val="006121CA"/>
    <w:rsid w:val="0061224C"/>
    <w:rsid w:val="006122D2"/>
    <w:rsid w:val="006124A8"/>
    <w:rsid w:val="0061251D"/>
    <w:rsid w:val="0061256E"/>
    <w:rsid w:val="0061288B"/>
    <w:rsid w:val="0061297C"/>
    <w:rsid w:val="006129D7"/>
    <w:rsid w:val="00612D89"/>
    <w:rsid w:val="00612F1D"/>
    <w:rsid w:val="00612F79"/>
    <w:rsid w:val="00612FAC"/>
    <w:rsid w:val="0061311B"/>
    <w:rsid w:val="00613166"/>
    <w:rsid w:val="00613351"/>
    <w:rsid w:val="006135B2"/>
    <w:rsid w:val="006136F1"/>
    <w:rsid w:val="00613749"/>
    <w:rsid w:val="0061379A"/>
    <w:rsid w:val="00613804"/>
    <w:rsid w:val="0061389E"/>
    <w:rsid w:val="00613943"/>
    <w:rsid w:val="00613B5C"/>
    <w:rsid w:val="00613BC1"/>
    <w:rsid w:val="00613BD4"/>
    <w:rsid w:val="00613C7E"/>
    <w:rsid w:val="00613D5C"/>
    <w:rsid w:val="00614027"/>
    <w:rsid w:val="0061408C"/>
    <w:rsid w:val="0061416B"/>
    <w:rsid w:val="006143A0"/>
    <w:rsid w:val="006145CD"/>
    <w:rsid w:val="006147BF"/>
    <w:rsid w:val="0061482F"/>
    <w:rsid w:val="00614936"/>
    <w:rsid w:val="00614939"/>
    <w:rsid w:val="00614BAC"/>
    <w:rsid w:val="00615023"/>
    <w:rsid w:val="0061523B"/>
    <w:rsid w:val="00615386"/>
    <w:rsid w:val="00615809"/>
    <w:rsid w:val="00615AD4"/>
    <w:rsid w:val="00615C0A"/>
    <w:rsid w:val="00615ECB"/>
    <w:rsid w:val="00615FD5"/>
    <w:rsid w:val="006161F8"/>
    <w:rsid w:val="00616297"/>
    <w:rsid w:val="0061678E"/>
    <w:rsid w:val="00616815"/>
    <w:rsid w:val="0061689A"/>
    <w:rsid w:val="006168AC"/>
    <w:rsid w:val="006168AF"/>
    <w:rsid w:val="00616938"/>
    <w:rsid w:val="00616945"/>
    <w:rsid w:val="00616D12"/>
    <w:rsid w:val="00616D77"/>
    <w:rsid w:val="00616DAE"/>
    <w:rsid w:val="00616DED"/>
    <w:rsid w:val="00616F35"/>
    <w:rsid w:val="00616F61"/>
    <w:rsid w:val="006170A3"/>
    <w:rsid w:val="006172B8"/>
    <w:rsid w:val="006172EF"/>
    <w:rsid w:val="0061736B"/>
    <w:rsid w:val="00617403"/>
    <w:rsid w:val="006174C5"/>
    <w:rsid w:val="0061752E"/>
    <w:rsid w:val="0061761F"/>
    <w:rsid w:val="00617785"/>
    <w:rsid w:val="00617871"/>
    <w:rsid w:val="006179C8"/>
    <w:rsid w:val="00617B7C"/>
    <w:rsid w:val="00617C51"/>
    <w:rsid w:val="00617E1C"/>
    <w:rsid w:val="00617FD8"/>
    <w:rsid w:val="00620287"/>
    <w:rsid w:val="006207DF"/>
    <w:rsid w:val="00620979"/>
    <w:rsid w:val="00620980"/>
    <w:rsid w:val="00620A38"/>
    <w:rsid w:val="00620DBC"/>
    <w:rsid w:val="00620DE1"/>
    <w:rsid w:val="00620E5B"/>
    <w:rsid w:val="0062107D"/>
    <w:rsid w:val="00621281"/>
    <w:rsid w:val="006214AA"/>
    <w:rsid w:val="00621860"/>
    <w:rsid w:val="00621B6F"/>
    <w:rsid w:val="00621CA8"/>
    <w:rsid w:val="00621D7E"/>
    <w:rsid w:val="00621DA9"/>
    <w:rsid w:val="00621E0F"/>
    <w:rsid w:val="00621F5E"/>
    <w:rsid w:val="00622011"/>
    <w:rsid w:val="00622592"/>
    <w:rsid w:val="0062262F"/>
    <w:rsid w:val="00622717"/>
    <w:rsid w:val="0062283E"/>
    <w:rsid w:val="00622870"/>
    <w:rsid w:val="00622966"/>
    <w:rsid w:val="006229A6"/>
    <w:rsid w:val="00622A83"/>
    <w:rsid w:val="00622BFB"/>
    <w:rsid w:val="00622D21"/>
    <w:rsid w:val="00622E80"/>
    <w:rsid w:val="00622FCE"/>
    <w:rsid w:val="00622FF5"/>
    <w:rsid w:val="006230B4"/>
    <w:rsid w:val="00623505"/>
    <w:rsid w:val="00623512"/>
    <w:rsid w:val="00623627"/>
    <w:rsid w:val="00623A8C"/>
    <w:rsid w:val="00623B15"/>
    <w:rsid w:val="00623BC2"/>
    <w:rsid w:val="00623C5F"/>
    <w:rsid w:val="00623D0E"/>
    <w:rsid w:val="00623E1F"/>
    <w:rsid w:val="00623E9C"/>
    <w:rsid w:val="00623FEF"/>
    <w:rsid w:val="00624705"/>
    <w:rsid w:val="00624789"/>
    <w:rsid w:val="00624868"/>
    <w:rsid w:val="00624976"/>
    <w:rsid w:val="00624B9A"/>
    <w:rsid w:val="00624EEC"/>
    <w:rsid w:val="00625090"/>
    <w:rsid w:val="00625154"/>
    <w:rsid w:val="0062525C"/>
    <w:rsid w:val="006252B0"/>
    <w:rsid w:val="00625338"/>
    <w:rsid w:val="00625553"/>
    <w:rsid w:val="006257F6"/>
    <w:rsid w:val="006257F8"/>
    <w:rsid w:val="00625B14"/>
    <w:rsid w:val="00625CCF"/>
    <w:rsid w:val="00625EDC"/>
    <w:rsid w:val="006260FF"/>
    <w:rsid w:val="0062624D"/>
    <w:rsid w:val="006265BD"/>
    <w:rsid w:val="0062665D"/>
    <w:rsid w:val="0062667B"/>
    <w:rsid w:val="00626752"/>
    <w:rsid w:val="006268E6"/>
    <w:rsid w:val="00626983"/>
    <w:rsid w:val="00626B30"/>
    <w:rsid w:val="00626B90"/>
    <w:rsid w:val="00626BFC"/>
    <w:rsid w:val="00626DB5"/>
    <w:rsid w:val="00626E50"/>
    <w:rsid w:val="00626E8D"/>
    <w:rsid w:val="006272FA"/>
    <w:rsid w:val="00627341"/>
    <w:rsid w:val="00627589"/>
    <w:rsid w:val="0062761C"/>
    <w:rsid w:val="006278CA"/>
    <w:rsid w:val="00627DC0"/>
    <w:rsid w:val="00627EAD"/>
    <w:rsid w:val="006301C2"/>
    <w:rsid w:val="006303AA"/>
    <w:rsid w:val="0063066B"/>
    <w:rsid w:val="0063067E"/>
    <w:rsid w:val="00630705"/>
    <w:rsid w:val="00630767"/>
    <w:rsid w:val="0063080C"/>
    <w:rsid w:val="00630A88"/>
    <w:rsid w:val="00630ADE"/>
    <w:rsid w:val="00630C61"/>
    <w:rsid w:val="00630D7B"/>
    <w:rsid w:val="00630EEB"/>
    <w:rsid w:val="00631093"/>
    <w:rsid w:val="006312BA"/>
    <w:rsid w:val="006313A3"/>
    <w:rsid w:val="006316D9"/>
    <w:rsid w:val="00631751"/>
    <w:rsid w:val="00631890"/>
    <w:rsid w:val="006319C6"/>
    <w:rsid w:val="00631A5D"/>
    <w:rsid w:val="00631B43"/>
    <w:rsid w:val="00631C30"/>
    <w:rsid w:val="00631CF7"/>
    <w:rsid w:val="00631D03"/>
    <w:rsid w:val="00631D49"/>
    <w:rsid w:val="00631D7F"/>
    <w:rsid w:val="006320CF"/>
    <w:rsid w:val="00632163"/>
    <w:rsid w:val="006321F3"/>
    <w:rsid w:val="006323E5"/>
    <w:rsid w:val="006326B7"/>
    <w:rsid w:val="00632958"/>
    <w:rsid w:val="00632997"/>
    <w:rsid w:val="00632A24"/>
    <w:rsid w:val="00632A7C"/>
    <w:rsid w:val="00632C2B"/>
    <w:rsid w:val="006330D6"/>
    <w:rsid w:val="0063321D"/>
    <w:rsid w:val="006335B2"/>
    <w:rsid w:val="006336AF"/>
    <w:rsid w:val="00633892"/>
    <w:rsid w:val="00633901"/>
    <w:rsid w:val="00633A79"/>
    <w:rsid w:val="00633EDC"/>
    <w:rsid w:val="00634135"/>
    <w:rsid w:val="00634488"/>
    <w:rsid w:val="006345EB"/>
    <w:rsid w:val="006346B1"/>
    <w:rsid w:val="006347E4"/>
    <w:rsid w:val="00634974"/>
    <w:rsid w:val="00634A4B"/>
    <w:rsid w:val="00634A60"/>
    <w:rsid w:val="00634D72"/>
    <w:rsid w:val="006350F1"/>
    <w:rsid w:val="00635180"/>
    <w:rsid w:val="006352BC"/>
    <w:rsid w:val="00635303"/>
    <w:rsid w:val="006356C3"/>
    <w:rsid w:val="0063594C"/>
    <w:rsid w:val="00635B18"/>
    <w:rsid w:val="00635FF3"/>
    <w:rsid w:val="006362E4"/>
    <w:rsid w:val="0063631F"/>
    <w:rsid w:val="00636437"/>
    <w:rsid w:val="006365CB"/>
    <w:rsid w:val="00636829"/>
    <w:rsid w:val="00636884"/>
    <w:rsid w:val="00636D10"/>
    <w:rsid w:val="00636EDB"/>
    <w:rsid w:val="006372FF"/>
    <w:rsid w:val="006373B6"/>
    <w:rsid w:val="006373CD"/>
    <w:rsid w:val="0063754A"/>
    <w:rsid w:val="00637647"/>
    <w:rsid w:val="006377EE"/>
    <w:rsid w:val="00637823"/>
    <w:rsid w:val="00637836"/>
    <w:rsid w:val="00637992"/>
    <w:rsid w:val="00637A57"/>
    <w:rsid w:val="00637C70"/>
    <w:rsid w:val="00637E81"/>
    <w:rsid w:val="006400AE"/>
    <w:rsid w:val="006400CD"/>
    <w:rsid w:val="00640278"/>
    <w:rsid w:val="00640355"/>
    <w:rsid w:val="006407C9"/>
    <w:rsid w:val="0064093E"/>
    <w:rsid w:val="00640D09"/>
    <w:rsid w:val="00640E2D"/>
    <w:rsid w:val="00640EAA"/>
    <w:rsid w:val="00640F07"/>
    <w:rsid w:val="00640F80"/>
    <w:rsid w:val="00641031"/>
    <w:rsid w:val="0064104C"/>
    <w:rsid w:val="0064106C"/>
    <w:rsid w:val="0064127C"/>
    <w:rsid w:val="00641302"/>
    <w:rsid w:val="006415B9"/>
    <w:rsid w:val="006416A3"/>
    <w:rsid w:val="006416C0"/>
    <w:rsid w:val="00641737"/>
    <w:rsid w:val="00641750"/>
    <w:rsid w:val="006417EF"/>
    <w:rsid w:val="0064186C"/>
    <w:rsid w:val="0064193F"/>
    <w:rsid w:val="00641A25"/>
    <w:rsid w:val="00641ADA"/>
    <w:rsid w:val="00641BA6"/>
    <w:rsid w:val="00641CCE"/>
    <w:rsid w:val="00641E13"/>
    <w:rsid w:val="0064212B"/>
    <w:rsid w:val="006421BA"/>
    <w:rsid w:val="0064223E"/>
    <w:rsid w:val="0064230B"/>
    <w:rsid w:val="00642435"/>
    <w:rsid w:val="0064243A"/>
    <w:rsid w:val="006425D7"/>
    <w:rsid w:val="00642657"/>
    <w:rsid w:val="006426A8"/>
    <w:rsid w:val="00642724"/>
    <w:rsid w:val="006428B4"/>
    <w:rsid w:val="006428DF"/>
    <w:rsid w:val="00642A22"/>
    <w:rsid w:val="00642ACC"/>
    <w:rsid w:val="00642AFC"/>
    <w:rsid w:val="00642CAB"/>
    <w:rsid w:val="00642D1A"/>
    <w:rsid w:val="00642E52"/>
    <w:rsid w:val="00642EC5"/>
    <w:rsid w:val="00642F4F"/>
    <w:rsid w:val="00642FE1"/>
    <w:rsid w:val="00643042"/>
    <w:rsid w:val="00643045"/>
    <w:rsid w:val="00643056"/>
    <w:rsid w:val="00643213"/>
    <w:rsid w:val="00643A8A"/>
    <w:rsid w:val="00643AD3"/>
    <w:rsid w:val="00643BAA"/>
    <w:rsid w:val="00643BE5"/>
    <w:rsid w:val="00643DB0"/>
    <w:rsid w:val="00643FCB"/>
    <w:rsid w:val="00644080"/>
    <w:rsid w:val="0064431D"/>
    <w:rsid w:val="00644591"/>
    <w:rsid w:val="00644731"/>
    <w:rsid w:val="006448FB"/>
    <w:rsid w:val="0064491E"/>
    <w:rsid w:val="00644B5B"/>
    <w:rsid w:val="0064514D"/>
    <w:rsid w:val="00645239"/>
    <w:rsid w:val="00645244"/>
    <w:rsid w:val="00645392"/>
    <w:rsid w:val="006454BD"/>
    <w:rsid w:val="00645535"/>
    <w:rsid w:val="006455E8"/>
    <w:rsid w:val="00645623"/>
    <w:rsid w:val="006456F1"/>
    <w:rsid w:val="00645861"/>
    <w:rsid w:val="00645913"/>
    <w:rsid w:val="006459EB"/>
    <w:rsid w:val="00645BD7"/>
    <w:rsid w:val="00646044"/>
    <w:rsid w:val="00646112"/>
    <w:rsid w:val="0064611C"/>
    <w:rsid w:val="00646121"/>
    <w:rsid w:val="00646358"/>
    <w:rsid w:val="006465C8"/>
    <w:rsid w:val="00646805"/>
    <w:rsid w:val="00646979"/>
    <w:rsid w:val="00646C97"/>
    <w:rsid w:val="00647469"/>
    <w:rsid w:val="0064761E"/>
    <w:rsid w:val="00647681"/>
    <w:rsid w:val="00647721"/>
    <w:rsid w:val="00647ACD"/>
    <w:rsid w:val="00647CBC"/>
    <w:rsid w:val="00647D89"/>
    <w:rsid w:val="00647E4E"/>
    <w:rsid w:val="00647F75"/>
    <w:rsid w:val="0065004A"/>
    <w:rsid w:val="00650396"/>
    <w:rsid w:val="00650525"/>
    <w:rsid w:val="006507B0"/>
    <w:rsid w:val="006507B4"/>
    <w:rsid w:val="00650883"/>
    <w:rsid w:val="0065092A"/>
    <w:rsid w:val="006509A6"/>
    <w:rsid w:val="00650D41"/>
    <w:rsid w:val="00650E18"/>
    <w:rsid w:val="00650EFF"/>
    <w:rsid w:val="00650F38"/>
    <w:rsid w:val="006511F6"/>
    <w:rsid w:val="006512D3"/>
    <w:rsid w:val="0065134D"/>
    <w:rsid w:val="00651457"/>
    <w:rsid w:val="0065145F"/>
    <w:rsid w:val="0065147B"/>
    <w:rsid w:val="0065173C"/>
    <w:rsid w:val="0065195E"/>
    <w:rsid w:val="00651A1D"/>
    <w:rsid w:val="00651A8F"/>
    <w:rsid w:val="00651CBB"/>
    <w:rsid w:val="00651DAA"/>
    <w:rsid w:val="00651DED"/>
    <w:rsid w:val="0065214D"/>
    <w:rsid w:val="0065229D"/>
    <w:rsid w:val="0065241D"/>
    <w:rsid w:val="0065249C"/>
    <w:rsid w:val="0065251E"/>
    <w:rsid w:val="006525C1"/>
    <w:rsid w:val="00652632"/>
    <w:rsid w:val="006526D7"/>
    <w:rsid w:val="006528F4"/>
    <w:rsid w:val="00652ADE"/>
    <w:rsid w:val="00652B6B"/>
    <w:rsid w:val="00652CCD"/>
    <w:rsid w:val="00652CE4"/>
    <w:rsid w:val="00652E50"/>
    <w:rsid w:val="00652E8C"/>
    <w:rsid w:val="00652FC0"/>
    <w:rsid w:val="00653212"/>
    <w:rsid w:val="0065343E"/>
    <w:rsid w:val="006535EB"/>
    <w:rsid w:val="0065365C"/>
    <w:rsid w:val="006536F2"/>
    <w:rsid w:val="006537A1"/>
    <w:rsid w:val="00653D62"/>
    <w:rsid w:val="00653F47"/>
    <w:rsid w:val="006540FB"/>
    <w:rsid w:val="0065416F"/>
    <w:rsid w:val="00654971"/>
    <w:rsid w:val="00654B09"/>
    <w:rsid w:val="00654BEA"/>
    <w:rsid w:val="00654F62"/>
    <w:rsid w:val="00654FAE"/>
    <w:rsid w:val="0065566B"/>
    <w:rsid w:val="006556D2"/>
    <w:rsid w:val="006558AF"/>
    <w:rsid w:val="006558EE"/>
    <w:rsid w:val="00655981"/>
    <w:rsid w:val="00655CE5"/>
    <w:rsid w:val="00655D83"/>
    <w:rsid w:val="0065619B"/>
    <w:rsid w:val="006566FE"/>
    <w:rsid w:val="00656764"/>
    <w:rsid w:val="00656777"/>
    <w:rsid w:val="006569D7"/>
    <w:rsid w:val="00656A6E"/>
    <w:rsid w:val="00656EA3"/>
    <w:rsid w:val="00656FEF"/>
    <w:rsid w:val="00657009"/>
    <w:rsid w:val="00657061"/>
    <w:rsid w:val="0065708D"/>
    <w:rsid w:val="0065717A"/>
    <w:rsid w:val="00657188"/>
    <w:rsid w:val="006574B6"/>
    <w:rsid w:val="00657533"/>
    <w:rsid w:val="0065775A"/>
    <w:rsid w:val="006579E3"/>
    <w:rsid w:val="00657D0E"/>
    <w:rsid w:val="00657E11"/>
    <w:rsid w:val="00657E53"/>
    <w:rsid w:val="00657E6A"/>
    <w:rsid w:val="00657F1C"/>
    <w:rsid w:val="00657F6B"/>
    <w:rsid w:val="006601E0"/>
    <w:rsid w:val="00660280"/>
    <w:rsid w:val="00660335"/>
    <w:rsid w:val="006605F7"/>
    <w:rsid w:val="00660948"/>
    <w:rsid w:val="00660957"/>
    <w:rsid w:val="00660C66"/>
    <w:rsid w:val="00660CA1"/>
    <w:rsid w:val="00660D1A"/>
    <w:rsid w:val="00660FE4"/>
    <w:rsid w:val="00661094"/>
    <w:rsid w:val="006610A3"/>
    <w:rsid w:val="0066117F"/>
    <w:rsid w:val="00661224"/>
    <w:rsid w:val="0066172E"/>
    <w:rsid w:val="0066180A"/>
    <w:rsid w:val="00661884"/>
    <w:rsid w:val="006618EC"/>
    <w:rsid w:val="00661B22"/>
    <w:rsid w:val="00661B43"/>
    <w:rsid w:val="00661C23"/>
    <w:rsid w:val="00661D41"/>
    <w:rsid w:val="00661E65"/>
    <w:rsid w:val="006621DE"/>
    <w:rsid w:val="00662275"/>
    <w:rsid w:val="0066227A"/>
    <w:rsid w:val="006622AD"/>
    <w:rsid w:val="0066232E"/>
    <w:rsid w:val="006623A4"/>
    <w:rsid w:val="00662421"/>
    <w:rsid w:val="00662479"/>
    <w:rsid w:val="006624C6"/>
    <w:rsid w:val="0066284C"/>
    <w:rsid w:val="006629AA"/>
    <w:rsid w:val="006629C8"/>
    <w:rsid w:val="00662ABC"/>
    <w:rsid w:val="00662AF9"/>
    <w:rsid w:val="00662B3E"/>
    <w:rsid w:val="00662B67"/>
    <w:rsid w:val="00662C5F"/>
    <w:rsid w:val="00662D26"/>
    <w:rsid w:val="006632F3"/>
    <w:rsid w:val="00663359"/>
    <w:rsid w:val="0066350E"/>
    <w:rsid w:val="006638E2"/>
    <w:rsid w:val="006638EF"/>
    <w:rsid w:val="0066393E"/>
    <w:rsid w:val="00663A4D"/>
    <w:rsid w:val="00663D1F"/>
    <w:rsid w:val="00663D49"/>
    <w:rsid w:val="0066435A"/>
    <w:rsid w:val="00664382"/>
    <w:rsid w:val="00664550"/>
    <w:rsid w:val="006645CB"/>
    <w:rsid w:val="0066481F"/>
    <w:rsid w:val="00664906"/>
    <w:rsid w:val="0066494F"/>
    <w:rsid w:val="00664BB0"/>
    <w:rsid w:val="00664C40"/>
    <w:rsid w:val="00664DF6"/>
    <w:rsid w:val="00665044"/>
    <w:rsid w:val="006650D4"/>
    <w:rsid w:val="006650DE"/>
    <w:rsid w:val="00665213"/>
    <w:rsid w:val="00665638"/>
    <w:rsid w:val="00665853"/>
    <w:rsid w:val="006658CA"/>
    <w:rsid w:val="00665918"/>
    <w:rsid w:val="006659DE"/>
    <w:rsid w:val="00665E49"/>
    <w:rsid w:val="00665F30"/>
    <w:rsid w:val="00665F80"/>
    <w:rsid w:val="006660AC"/>
    <w:rsid w:val="00666121"/>
    <w:rsid w:val="00666225"/>
    <w:rsid w:val="00666444"/>
    <w:rsid w:val="006665CF"/>
    <w:rsid w:val="00666792"/>
    <w:rsid w:val="00666DD5"/>
    <w:rsid w:val="00666E63"/>
    <w:rsid w:val="00666ED2"/>
    <w:rsid w:val="00667135"/>
    <w:rsid w:val="006671BF"/>
    <w:rsid w:val="00667409"/>
    <w:rsid w:val="006674AC"/>
    <w:rsid w:val="006674AF"/>
    <w:rsid w:val="006674D7"/>
    <w:rsid w:val="006674E8"/>
    <w:rsid w:val="00667539"/>
    <w:rsid w:val="00667637"/>
    <w:rsid w:val="00667906"/>
    <w:rsid w:val="00667A46"/>
    <w:rsid w:val="00667B45"/>
    <w:rsid w:val="00667C1F"/>
    <w:rsid w:val="00667C6F"/>
    <w:rsid w:val="00667F36"/>
    <w:rsid w:val="00667F3F"/>
    <w:rsid w:val="006701C2"/>
    <w:rsid w:val="0067021C"/>
    <w:rsid w:val="006702C1"/>
    <w:rsid w:val="0067046C"/>
    <w:rsid w:val="00670547"/>
    <w:rsid w:val="00670591"/>
    <w:rsid w:val="0067073E"/>
    <w:rsid w:val="00670741"/>
    <w:rsid w:val="006708BD"/>
    <w:rsid w:val="00670B71"/>
    <w:rsid w:val="00670BF0"/>
    <w:rsid w:val="00670D3D"/>
    <w:rsid w:val="00670D7E"/>
    <w:rsid w:val="00670E87"/>
    <w:rsid w:val="00670FF1"/>
    <w:rsid w:val="00670FFF"/>
    <w:rsid w:val="00671047"/>
    <w:rsid w:val="00671050"/>
    <w:rsid w:val="00671184"/>
    <w:rsid w:val="006713F4"/>
    <w:rsid w:val="00671420"/>
    <w:rsid w:val="0067149D"/>
    <w:rsid w:val="0067151A"/>
    <w:rsid w:val="006718A3"/>
    <w:rsid w:val="006719EE"/>
    <w:rsid w:val="00671A6C"/>
    <w:rsid w:val="00671BCD"/>
    <w:rsid w:val="00671DAA"/>
    <w:rsid w:val="00671E0E"/>
    <w:rsid w:val="00672198"/>
    <w:rsid w:val="006726B3"/>
    <w:rsid w:val="00672D0C"/>
    <w:rsid w:val="00672F4D"/>
    <w:rsid w:val="00673035"/>
    <w:rsid w:val="0067307D"/>
    <w:rsid w:val="006730CA"/>
    <w:rsid w:val="00673139"/>
    <w:rsid w:val="0067329F"/>
    <w:rsid w:val="006733E8"/>
    <w:rsid w:val="00673419"/>
    <w:rsid w:val="00673508"/>
    <w:rsid w:val="00673519"/>
    <w:rsid w:val="00673601"/>
    <w:rsid w:val="00673732"/>
    <w:rsid w:val="006739F6"/>
    <w:rsid w:val="00673A93"/>
    <w:rsid w:val="00673B58"/>
    <w:rsid w:val="00673E9D"/>
    <w:rsid w:val="00674060"/>
    <w:rsid w:val="00674110"/>
    <w:rsid w:val="006743A0"/>
    <w:rsid w:val="006743D9"/>
    <w:rsid w:val="0067440C"/>
    <w:rsid w:val="0067483C"/>
    <w:rsid w:val="00674B64"/>
    <w:rsid w:val="00674C7A"/>
    <w:rsid w:val="00674C8E"/>
    <w:rsid w:val="0067536B"/>
    <w:rsid w:val="006755FA"/>
    <w:rsid w:val="00675873"/>
    <w:rsid w:val="006758BD"/>
    <w:rsid w:val="00675B4E"/>
    <w:rsid w:val="00675B75"/>
    <w:rsid w:val="00675CA6"/>
    <w:rsid w:val="00675CDE"/>
    <w:rsid w:val="00675E99"/>
    <w:rsid w:val="0067665D"/>
    <w:rsid w:val="006767EC"/>
    <w:rsid w:val="0067689E"/>
    <w:rsid w:val="00676AFA"/>
    <w:rsid w:val="00676B8C"/>
    <w:rsid w:val="00676C36"/>
    <w:rsid w:val="00676F2A"/>
    <w:rsid w:val="00677080"/>
    <w:rsid w:val="0067710C"/>
    <w:rsid w:val="006771EB"/>
    <w:rsid w:val="00677229"/>
    <w:rsid w:val="00677280"/>
    <w:rsid w:val="006772F7"/>
    <w:rsid w:val="00677300"/>
    <w:rsid w:val="00677366"/>
    <w:rsid w:val="006776D6"/>
    <w:rsid w:val="0067774B"/>
    <w:rsid w:val="006800F1"/>
    <w:rsid w:val="00680686"/>
    <w:rsid w:val="006807E1"/>
    <w:rsid w:val="00680827"/>
    <w:rsid w:val="00680B92"/>
    <w:rsid w:val="00680BC1"/>
    <w:rsid w:val="00680CAD"/>
    <w:rsid w:val="00681023"/>
    <w:rsid w:val="00681390"/>
    <w:rsid w:val="0068176E"/>
    <w:rsid w:val="006818A5"/>
    <w:rsid w:val="00681B29"/>
    <w:rsid w:val="00681B93"/>
    <w:rsid w:val="00681C87"/>
    <w:rsid w:val="00681E46"/>
    <w:rsid w:val="00681E6F"/>
    <w:rsid w:val="00682041"/>
    <w:rsid w:val="00682101"/>
    <w:rsid w:val="0068217D"/>
    <w:rsid w:val="006823DF"/>
    <w:rsid w:val="00682442"/>
    <w:rsid w:val="00682910"/>
    <w:rsid w:val="00682B25"/>
    <w:rsid w:val="00682B2D"/>
    <w:rsid w:val="00682CE1"/>
    <w:rsid w:val="00682F15"/>
    <w:rsid w:val="0068307F"/>
    <w:rsid w:val="00683146"/>
    <w:rsid w:val="006832B4"/>
    <w:rsid w:val="006835B2"/>
    <w:rsid w:val="00683950"/>
    <w:rsid w:val="00683FA7"/>
    <w:rsid w:val="0068407B"/>
    <w:rsid w:val="006843EE"/>
    <w:rsid w:val="00684496"/>
    <w:rsid w:val="0068460E"/>
    <w:rsid w:val="006846D6"/>
    <w:rsid w:val="00684A0B"/>
    <w:rsid w:val="00684E7B"/>
    <w:rsid w:val="00684ECE"/>
    <w:rsid w:val="00685161"/>
    <w:rsid w:val="00685230"/>
    <w:rsid w:val="0068523E"/>
    <w:rsid w:val="006852FF"/>
    <w:rsid w:val="00685307"/>
    <w:rsid w:val="00685355"/>
    <w:rsid w:val="006855D2"/>
    <w:rsid w:val="006856F1"/>
    <w:rsid w:val="006859E5"/>
    <w:rsid w:val="00685CB3"/>
    <w:rsid w:val="00685CBA"/>
    <w:rsid w:val="00685FD8"/>
    <w:rsid w:val="00686114"/>
    <w:rsid w:val="006862E4"/>
    <w:rsid w:val="00686624"/>
    <w:rsid w:val="006868DA"/>
    <w:rsid w:val="00686903"/>
    <w:rsid w:val="00686A67"/>
    <w:rsid w:val="00686B6B"/>
    <w:rsid w:val="00686D06"/>
    <w:rsid w:val="00686DCA"/>
    <w:rsid w:val="00686F36"/>
    <w:rsid w:val="00686F87"/>
    <w:rsid w:val="00686FEF"/>
    <w:rsid w:val="00687039"/>
    <w:rsid w:val="00687133"/>
    <w:rsid w:val="00687268"/>
    <w:rsid w:val="00687310"/>
    <w:rsid w:val="00687328"/>
    <w:rsid w:val="006878BC"/>
    <w:rsid w:val="00687A1D"/>
    <w:rsid w:val="00687B64"/>
    <w:rsid w:val="0069008A"/>
    <w:rsid w:val="0069039F"/>
    <w:rsid w:val="006904F1"/>
    <w:rsid w:val="0069058E"/>
    <w:rsid w:val="00690616"/>
    <w:rsid w:val="00690741"/>
    <w:rsid w:val="0069084C"/>
    <w:rsid w:val="006909D9"/>
    <w:rsid w:val="00690BC0"/>
    <w:rsid w:val="00690C45"/>
    <w:rsid w:val="00690E47"/>
    <w:rsid w:val="0069114D"/>
    <w:rsid w:val="00691466"/>
    <w:rsid w:val="0069157D"/>
    <w:rsid w:val="00691588"/>
    <w:rsid w:val="006918BD"/>
    <w:rsid w:val="00691BAC"/>
    <w:rsid w:val="00691BBA"/>
    <w:rsid w:val="00691BC5"/>
    <w:rsid w:val="00691FC8"/>
    <w:rsid w:val="0069237D"/>
    <w:rsid w:val="00692906"/>
    <w:rsid w:val="006929FC"/>
    <w:rsid w:val="00692C46"/>
    <w:rsid w:val="00692CA5"/>
    <w:rsid w:val="00692D34"/>
    <w:rsid w:val="00692D70"/>
    <w:rsid w:val="00693107"/>
    <w:rsid w:val="0069321A"/>
    <w:rsid w:val="0069348F"/>
    <w:rsid w:val="0069371F"/>
    <w:rsid w:val="00693788"/>
    <w:rsid w:val="006937D5"/>
    <w:rsid w:val="00693A5A"/>
    <w:rsid w:val="00693B77"/>
    <w:rsid w:val="00693C59"/>
    <w:rsid w:val="00693F5A"/>
    <w:rsid w:val="0069409C"/>
    <w:rsid w:val="00694135"/>
    <w:rsid w:val="00694356"/>
    <w:rsid w:val="00694585"/>
    <w:rsid w:val="0069467F"/>
    <w:rsid w:val="00694793"/>
    <w:rsid w:val="00694815"/>
    <w:rsid w:val="00694AC4"/>
    <w:rsid w:val="00694BF4"/>
    <w:rsid w:val="00694C4A"/>
    <w:rsid w:val="00694EEC"/>
    <w:rsid w:val="00695005"/>
    <w:rsid w:val="00695119"/>
    <w:rsid w:val="006951EE"/>
    <w:rsid w:val="00695A71"/>
    <w:rsid w:val="00695AFE"/>
    <w:rsid w:val="00695D16"/>
    <w:rsid w:val="00695E3D"/>
    <w:rsid w:val="00695E81"/>
    <w:rsid w:val="006961B5"/>
    <w:rsid w:val="006961C9"/>
    <w:rsid w:val="00696245"/>
    <w:rsid w:val="006963C0"/>
    <w:rsid w:val="00696479"/>
    <w:rsid w:val="006964BF"/>
    <w:rsid w:val="00696822"/>
    <w:rsid w:val="0069686A"/>
    <w:rsid w:val="00696A4C"/>
    <w:rsid w:val="00696D2F"/>
    <w:rsid w:val="00696EB4"/>
    <w:rsid w:val="00696F38"/>
    <w:rsid w:val="00696FF9"/>
    <w:rsid w:val="006970C7"/>
    <w:rsid w:val="0069732D"/>
    <w:rsid w:val="0069759C"/>
    <w:rsid w:val="0069768E"/>
    <w:rsid w:val="00697B40"/>
    <w:rsid w:val="00697B4D"/>
    <w:rsid w:val="00697D4D"/>
    <w:rsid w:val="00697EAE"/>
    <w:rsid w:val="00697EC3"/>
    <w:rsid w:val="006A01F8"/>
    <w:rsid w:val="006A0202"/>
    <w:rsid w:val="006A020D"/>
    <w:rsid w:val="006A02F1"/>
    <w:rsid w:val="006A03AC"/>
    <w:rsid w:val="006A03C2"/>
    <w:rsid w:val="006A048D"/>
    <w:rsid w:val="006A0498"/>
    <w:rsid w:val="006A0499"/>
    <w:rsid w:val="006A04E5"/>
    <w:rsid w:val="006A0524"/>
    <w:rsid w:val="006A0731"/>
    <w:rsid w:val="006A078F"/>
    <w:rsid w:val="006A0794"/>
    <w:rsid w:val="006A08D7"/>
    <w:rsid w:val="006A0A4A"/>
    <w:rsid w:val="006A0CFC"/>
    <w:rsid w:val="006A0E90"/>
    <w:rsid w:val="006A0F94"/>
    <w:rsid w:val="006A10BA"/>
    <w:rsid w:val="006A1508"/>
    <w:rsid w:val="006A159E"/>
    <w:rsid w:val="006A161C"/>
    <w:rsid w:val="006A1762"/>
    <w:rsid w:val="006A1801"/>
    <w:rsid w:val="006A1811"/>
    <w:rsid w:val="006A1E16"/>
    <w:rsid w:val="006A1F37"/>
    <w:rsid w:val="006A207F"/>
    <w:rsid w:val="006A2142"/>
    <w:rsid w:val="006A2406"/>
    <w:rsid w:val="006A2655"/>
    <w:rsid w:val="006A26D2"/>
    <w:rsid w:val="006A2796"/>
    <w:rsid w:val="006A2C82"/>
    <w:rsid w:val="006A2E62"/>
    <w:rsid w:val="006A2F6D"/>
    <w:rsid w:val="006A3319"/>
    <w:rsid w:val="006A3487"/>
    <w:rsid w:val="006A358E"/>
    <w:rsid w:val="006A3B48"/>
    <w:rsid w:val="006A3B83"/>
    <w:rsid w:val="006A3BFC"/>
    <w:rsid w:val="006A3E17"/>
    <w:rsid w:val="006A3E8D"/>
    <w:rsid w:val="006A40DF"/>
    <w:rsid w:val="006A41BD"/>
    <w:rsid w:val="006A43BB"/>
    <w:rsid w:val="006A43C8"/>
    <w:rsid w:val="006A4507"/>
    <w:rsid w:val="006A4A40"/>
    <w:rsid w:val="006A4A56"/>
    <w:rsid w:val="006A4A88"/>
    <w:rsid w:val="006A4AA2"/>
    <w:rsid w:val="006A4BDC"/>
    <w:rsid w:val="006A4D23"/>
    <w:rsid w:val="006A4E52"/>
    <w:rsid w:val="006A4EFA"/>
    <w:rsid w:val="006A5159"/>
    <w:rsid w:val="006A51A0"/>
    <w:rsid w:val="006A51DD"/>
    <w:rsid w:val="006A5465"/>
    <w:rsid w:val="006A5AF2"/>
    <w:rsid w:val="006A5D35"/>
    <w:rsid w:val="006A5DA6"/>
    <w:rsid w:val="006A6135"/>
    <w:rsid w:val="006A61AE"/>
    <w:rsid w:val="006A61CA"/>
    <w:rsid w:val="006A628A"/>
    <w:rsid w:val="006A6539"/>
    <w:rsid w:val="006A668F"/>
    <w:rsid w:val="006A6972"/>
    <w:rsid w:val="006A6E08"/>
    <w:rsid w:val="006A7033"/>
    <w:rsid w:val="006A729E"/>
    <w:rsid w:val="006A7360"/>
    <w:rsid w:val="006A74C3"/>
    <w:rsid w:val="006A7504"/>
    <w:rsid w:val="006A795F"/>
    <w:rsid w:val="006A79BD"/>
    <w:rsid w:val="006A7B28"/>
    <w:rsid w:val="006A7B41"/>
    <w:rsid w:val="006A7FE9"/>
    <w:rsid w:val="006B071F"/>
    <w:rsid w:val="006B0824"/>
    <w:rsid w:val="006B0C9E"/>
    <w:rsid w:val="006B0D94"/>
    <w:rsid w:val="006B0D9B"/>
    <w:rsid w:val="006B10ED"/>
    <w:rsid w:val="006B12CE"/>
    <w:rsid w:val="006B1608"/>
    <w:rsid w:val="006B175A"/>
    <w:rsid w:val="006B17CA"/>
    <w:rsid w:val="006B18B8"/>
    <w:rsid w:val="006B192C"/>
    <w:rsid w:val="006B1976"/>
    <w:rsid w:val="006B1B6F"/>
    <w:rsid w:val="006B2155"/>
    <w:rsid w:val="006B2296"/>
    <w:rsid w:val="006B2321"/>
    <w:rsid w:val="006B2567"/>
    <w:rsid w:val="006B295E"/>
    <w:rsid w:val="006B2960"/>
    <w:rsid w:val="006B297D"/>
    <w:rsid w:val="006B29EC"/>
    <w:rsid w:val="006B2AEB"/>
    <w:rsid w:val="006B2B7D"/>
    <w:rsid w:val="006B2CE7"/>
    <w:rsid w:val="006B2E66"/>
    <w:rsid w:val="006B2F4C"/>
    <w:rsid w:val="006B2FB4"/>
    <w:rsid w:val="006B31A5"/>
    <w:rsid w:val="006B35CA"/>
    <w:rsid w:val="006B3632"/>
    <w:rsid w:val="006B366E"/>
    <w:rsid w:val="006B3776"/>
    <w:rsid w:val="006B3B08"/>
    <w:rsid w:val="006B3B18"/>
    <w:rsid w:val="006B3DC8"/>
    <w:rsid w:val="006B3FBC"/>
    <w:rsid w:val="006B4345"/>
    <w:rsid w:val="006B4475"/>
    <w:rsid w:val="006B4760"/>
    <w:rsid w:val="006B4BFB"/>
    <w:rsid w:val="006B4CA0"/>
    <w:rsid w:val="006B4D25"/>
    <w:rsid w:val="006B4F57"/>
    <w:rsid w:val="006B528B"/>
    <w:rsid w:val="006B57BC"/>
    <w:rsid w:val="006B5BBF"/>
    <w:rsid w:val="006B5DF1"/>
    <w:rsid w:val="006B5EC9"/>
    <w:rsid w:val="006B5F09"/>
    <w:rsid w:val="006B6064"/>
    <w:rsid w:val="006B607A"/>
    <w:rsid w:val="006B61A8"/>
    <w:rsid w:val="006B621F"/>
    <w:rsid w:val="006B6233"/>
    <w:rsid w:val="006B62C5"/>
    <w:rsid w:val="006B6672"/>
    <w:rsid w:val="006B67A6"/>
    <w:rsid w:val="006B6818"/>
    <w:rsid w:val="006B6827"/>
    <w:rsid w:val="006B69FC"/>
    <w:rsid w:val="006B6B0B"/>
    <w:rsid w:val="006B6B55"/>
    <w:rsid w:val="006B6CC5"/>
    <w:rsid w:val="006B6DFB"/>
    <w:rsid w:val="006B7048"/>
    <w:rsid w:val="006B711D"/>
    <w:rsid w:val="006B7337"/>
    <w:rsid w:val="006B7391"/>
    <w:rsid w:val="006B7446"/>
    <w:rsid w:val="006B74B5"/>
    <w:rsid w:val="006B759D"/>
    <w:rsid w:val="006B7645"/>
    <w:rsid w:val="006B7787"/>
    <w:rsid w:val="006B77ED"/>
    <w:rsid w:val="006B78ED"/>
    <w:rsid w:val="006B7C38"/>
    <w:rsid w:val="006C015D"/>
    <w:rsid w:val="006C0514"/>
    <w:rsid w:val="006C05F4"/>
    <w:rsid w:val="006C0841"/>
    <w:rsid w:val="006C08C2"/>
    <w:rsid w:val="006C08EA"/>
    <w:rsid w:val="006C08EB"/>
    <w:rsid w:val="006C0A19"/>
    <w:rsid w:val="006C0A34"/>
    <w:rsid w:val="006C0A50"/>
    <w:rsid w:val="006C0BFA"/>
    <w:rsid w:val="006C0C54"/>
    <w:rsid w:val="006C0C9B"/>
    <w:rsid w:val="006C0F2D"/>
    <w:rsid w:val="006C0FF0"/>
    <w:rsid w:val="006C1101"/>
    <w:rsid w:val="006C11E1"/>
    <w:rsid w:val="006C159E"/>
    <w:rsid w:val="006C177C"/>
    <w:rsid w:val="006C1989"/>
    <w:rsid w:val="006C19BE"/>
    <w:rsid w:val="006C1A29"/>
    <w:rsid w:val="006C1A63"/>
    <w:rsid w:val="006C1E73"/>
    <w:rsid w:val="006C1EB0"/>
    <w:rsid w:val="006C1EB2"/>
    <w:rsid w:val="006C1F40"/>
    <w:rsid w:val="006C20BA"/>
    <w:rsid w:val="006C20CC"/>
    <w:rsid w:val="006C220B"/>
    <w:rsid w:val="006C244A"/>
    <w:rsid w:val="006C2697"/>
    <w:rsid w:val="006C26D7"/>
    <w:rsid w:val="006C26DA"/>
    <w:rsid w:val="006C2797"/>
    <w:rsid w:val="006C2927"/>
    <w:rsid w:val="006C2A25"/>
    <w:rsid w:val="006C2AE0"/>
    <w:rsid w:val="006C2B46"/>
    <w:rsid w:val="006C302F"/>
    <w:rsid w:val="006C347E"/>
    <w:rsid w:val="006C34DF"/>
    <w:rsid w:val="006C36DA"/>
    <w:rsid w:val="006C3929"/>
    <w:rsid w:val="006C3A3E"/>
    <w:rsid w:val="006C3B35"/>
    <w:rsid w:val="006C3B7E"/>
    <w:rsid w:val="006C3DC6"/>
    <w:rsid w:val="006C3F36"/>
    <w:rsid w:val="006C40CB"/>
    <w:rsid w:val="006C415F"/>
    <w:rsid w:val="006C445D"/>
    <w:rsid w:val="006C453E"/>
    <w:rsid w:val="006C45F3"/>
    <w:rsid w:val="006C4799"/>
    <w:rsid w:val="006C480A"/>
    <w:rsid w:val="006C4C39"/>
    <w:rsid w:val="006C4C47"/>
    <w:rsid w:val="006C4E9F"/>
    <w:rsid w:val="006C5052"/>
    <w:rsid w:val="006C5418"/>
    <w:rsid w:val="006C55E9"/>
    <w:rsid w:val="006C59A5"/>
    <w:rsid w:val="006C5C05"/>
    <w:rsid w:val="006C5D9B"/>
    <w:rsid w:val="006C5E03"/>
    <w:rsid w:val="006C5EB5"/>
    <w:rsid w:val="006C5FEF"/>
    <w:rsid w:val="006C6068"/>
    <w:rsid w:val="006C6171"/>
    <w:rsid w:val="006C619D"/>
    <w:rsid w:val="006C628B"/>
    <w:rsid w:val="006C6698"/>
    <w:rsid w:val="006C6857"/>
    <w:rsid w:val="006C6B48"/>
    <w:rsid w:val="006C6C38"/>
    <w:rsid w:val="006C6F71"/>
    <w:rsid w:val="006C6FB2"/>
    <w:rsid w:val="006C7311"/>
    <w:rsid w:val="006C738C"/>
    <w:rsid w:val="006C73E3"/>
    <w:rsid w:val="006C74B6"/>
    <w:rsid w:val="006C74CF"/>
    <w:rsid w:val="006C7572"/>
    <w:rsid w:val="006C75CA"/>
    <w:rsid w:val="006C762E"/>
    <w:rsid w:val="006C7670"/>
    <w:rsid w:val="006C78C5"/>
    <w:rsid w:val="006C7997"/>
    <w:rsid w:val="006C7A90"/>
    <w:rsid w:val="006C7CFA"/>
    <w:rsid w:val="006C7E88"/>
    <w:rsid w:val="006C7F1A"/>
    <w:rsid w:val="006C7FF0"/>
    <w:rsid w:val="006D006B"/>
    <w:rsid w:val="006D006F"/>
    <w:rsid w:val="006D013B"/>
    <w:rsid w:val="006D013F"/>
    <w:rsid w:val="006D029E"/>
    <w:rsid w:val="006D0712"/>
    <w:rsid w:val="006D0C2D"/>
    <w:rsid w:val="006D0D4F"/>
    <w:rsid w:val="006D0DD9"/>
    <w:rsid w:val="006D0DDC"/>
    <w:rsid w:val="006D106C"/>
    <w:rsid w:val="006D107E"/>
    <w:rsid w:val="006D1101"/>
    <w:rsid w:val="006D11C3"/>
    <w:rsid w:val="006D1266"/>
    <w:rsid w:val="006D12B9"/>
    <w:rsid w:val="006D12E1"/>
    <w:rsid w:val="006D1580"/>
    <w:rsid w:val="006D158C"/>
    <w:rsid w:val="006D1CAF"/>
    <w:rsid w:val="006D1F11"/>
    <w:rsid w:val="006D209B"/>
    <w:rsid w:val="006D214B"/>
    <w:rsid w:val="006D2215"/>
    <w:rsid w:val="006D2280"/>
    <w:rsid w:val="006D23C0"/>
    <w:rsid w:val="006D24E8"/>
    <w:rsid w:val="006D263D"/>
    <w:rsid w:val="006D269B"/>
    <w:rsid w:val="006D26AB"/>
    <w:rsid w:val="006D2770"/>
    <w:rsid w:val="006D27AB"/>
    <w:rsid w:val="006D2835"/>
    <w:rsid w:val="006D2953"/>
    <w:rsid w:val="006D2AC0"/>
    <w:rsid w:val="006D2BDA"/>
    <w:rsid w:val="006D2D07"/>
    <w:rsid w:val="006D2DE2"/>
    <w:rsid w:val="006D2E56"/>
    <w:rsid w:val="006D2FF8"/>
    <w:rsid w:val="006D3033"/>
    <w:rsid w:val="006D3540"/>
    <w:rsid w:val="006D35C7"/>
    <w:rsid w:val="006D36BA"/>
    <w:rsid w:val="006D3781"/>
    <w:rsid w:val="006D37EB"/>
    <w:rsid w:val="006D37F1"/>
    <w:rsid w:val="006D3819"/>
    <w:rsid w:val="006D388A"/>
    <w:rsid w:val="006D3A5B"/>
    <w:rsid w:val="006D3CCE"/>
    <w:rsid w:val="006D3EF3"/>
    <w:rsid w:val="006D427F"/>
    <w:rsid w:val="006D42B8"/>
    <w:rsid w:val="006D443B"/>
    <w:rsid w:val="006D453C"/>
    <w:rsid w:val="006D45FC"/>
    <w:rsid w:val="006D4732"/>
    <w:rsid w:val="006D4869"/>
    <w:rsid w:val="006D4880"/>
    <w:rsid w:val="006D48D8"/>
    <w:rsid w:val="006D48DD"/>
    <w:rsid w:val="006D49BE"/>
    <w:rsid w:val="006D4CA6"/>
    <w:rsid w:val="006D5015"/>
    <w:rsid w:val="006D51D5"/>
    <w:rsid w:val="006D51ED"/>
    <w:rsid w:val="006D529A"/>
    <w:rsid w:val="006D5870"/>
    <w:rsid w:val="006D5A0C"/>
    <w:rsid w:val="006D5C4F"/>
    <w:rsid w:val="006D5CE6"/>
    <w:rsid w:val="006D5D40"/>
    <w:rsid w:val="006D60E7"/>
    <w:rsid w:val="006D6121"/>
    <w:rsid w:val="006D6205"/>
    <w:rsid w:val="006D65F0"/>
    <w:rsid w:val="006D6810"/>
    <w:rsid w:val="006D6908"/>
    <w:rsid w:val="006D692A"/>
    <w:rsid w:val="006D6A22"/>
    <w:rsid w:val="006D6B36"/>
    <w:rsid w:val="006D6B6F"/>
    <w:rsid w:val="006D6D06"/>
    <w:rsid w:val="006D6F7C"/>
    <w:rsid w:val="006D6F7E"/>
    <w:rsid w:val="006D7033"/>
    <w:rsid w:val="006D7339"/>
    <w:rsid w:val="006D7418"/>
    <w:rsid w:val="006D7644"/>
    <w:rsid w:val="006D76C8"/>
    <w:rsid w:val="006D7790"/>
    <w:rsid w:val="006D7866"/>
    <w:rsid w:val="006D7D33"/>
    <w:rsid w:val="006E02F9"/>
    <w:rsid w:val="006E0359"/>
    <w:rsid w:val="006E0A0D"/>
    <w:rsid w:val="006E0B65"/>
    <w:rsid w:val="006E0C28"/>
    <w:rsid w:val="006E0EEB"/>
    <w:rsid w:val="006E0F59"/>
    <w:rsid w:val="006E118A"/>
    <w:rsid w:val="006E11F8"/>
    <w:rsid w:val="006E1478"/>
    <w:rsid w:val="006E1545"/>
    <w:rsid w:val="006E166A"/>
    <w:rsid w:val="006E16B5"/>
    <w:rsid w:val="006E17A0"/>
    <w:rsid w:val="006E182F"/>
    <w:rsid w:val="006E185F"/>
    <w:rsid w:val="006E190A"/>
    <w:rsid w:val="006E1AA0"/>
    <w:rsid w:val="006E1C15"/>
    <w:rsid w:val="006E1C4B"/>
    <w:rsid w:val="006E1D5A"/>
    <w:rsid w:val="006E1DD6"/>
    <w:rsid w:val="006E1FCB"/>
    <w:rsid w:val="006E227E"/>
    <w:rsid w:val="006E246D"/>
    <w:rsid w:val="006E249B"/>
    <w:rsid w:val="006E2632"/>
    <w:rsid w:val="006E26CB"/>
    <w:rsid w:val="006E26E0"/>
    <w:rsid w:val="006E271B"/>
    <w:rsid w:val="006E27B7"/>
    <w:rsid w:val="006E2921"/>
    <w:rsid w:val="006E2983"/>
    <w:rsid w:val="006E2AFF"/>
    <w:rsid w:val="006E2B17"/>
    <w:rsid w:val="006E2B1C"/>
    <w:rsid w:val="006E2D76"/>
    <w:rsid w:val="006E2DA4"/>
    <w:rsid w:val="006E2E03"/>
    <w:rsid w:val="006E2E5D"/>
    <w:rsid w:val="006E317D"/>
    <w:rsid w:val="006E3213"/>
    <w:rsid w:val="006E3222"/>
    <w:rsid w:val="006E3405"/>
    <w:rsid w:val="006E3731"/>
    <w:rsid w:val="006E376E"/>
    <w:rsid w:val="006E391D"/>
    <w:rsid w:val="006E3992"/>
    <w:rsid w:val="006E39C8"/>
    <w:rsid w:val="006E3AF3"/>
    <w:rsid w:val="006E3D62"/>
    <w:rsid w:val="006E4232"/>
    <w:rsid w:val="006E4611"/>
    <w:rsid w:val="006E485D"/>
    <w:rsid w:val="006E4907"/>
    <w:rsid w:val="006E4A6A"/>
    <w:rsid w:val="006E4C26"/>
    <w:rsid w:val="006E4D36"/>
    <w:rsid w:val="006E4D5A"/>
    <w:rsid w:val="006E4D66"/>
    <w:rsid w:val="006E4D9A"/>
    <w:rsid w:val="006E538A"/>
    <w:rsid w:val="006E5426"/>
    <w:rsid w:val="006E56AB"/>
    <w:rsid w:val="006E56ED"/>
    <w:rsid w:val="006E57B1"/>
    <w:rsid w:val="006E597C"/>
    <w:rsid w:val="006E5B5F"/>
    <w:rsid w:val="006E5CE9"/>
    <w:rsid w:val="006E5D16"/>
    <w:rsid w:val="006E5D8E"/>
    <w:rsid w:val="006E5FB8"/>
    <w:rsid w:val="006E5FC0"/>
    <w:rsid w:val="006E60C3"/>
    <w:rsid w:val="006E6398"/>
    <w:rsid w:val="006E670A"/>
    <w:rsid w:val="006E68D7"/>
    <w:rsid w:val="006E6922"/>
    <w:rsid w:val="006E693F"/>
    <w:rsid w:val="006E6A6B"/>
    <w:rsid w:val="006E6F54"/>
    <w:rsid w:val="006E7186"/>
    <w:rsid w:val="006E73FF"/>
    <w:rsid w:val="006E761F"/>
    <w:rsid w:val="006E765C"/>
    <w:rsid w:val="006E793C"/>
    <w:rsid w:val="006E7A09"/>
    <w:rsid w:val="006E7A28"/>
    <w:rsid w:val="006E7B0D"/>
    <w:rsid w:val="006E7DDC"/>
    <w:rsid w:val="006E7F89"/>
    <w:rsid w:val="006F0108"/>
    <w:rsid w:val="006F02DB"/>
    <w:rsid w:val="006F05E4"/>
    <w:rsid w:val="006F07FD"/>
    <w:rsid w:val="006F09A1"/>
    <w:rsid w:val="006F0A91"/>
    <w:rsid w:val="006F0AF9"/>
    <w:rsid w:val="006F0C65"/>
    <w:rsid w:val="006F0C9A"/>
    <w:rsid w:val="006F0D5C"/>
    <w:rsid w:val="006F0E75"/>
    <w:rsid w:val="006F1337"/>
    <w:rsid w:val="006F13E4"/>
    <w:rsid w:val="006F1811"/>
    <w:rsid w:val="006F1C02"/>
    <w:rsid w:val="006F2294"/>
    <w:rsid w:val="006F25F1"/>
    <w:rsid w:val="006F2664"/>
    <w:rsid w:val="006F273A"/>
    <w:rsid w:val="006F2916"/>
    <w:rsid w:val="006F29AE"/>
    <w:rsid w:val="006F2B5E"/>
    <w:rsid w:val="006F2B7A"/>
    <w:rsid w:val="006F2E36"/>
    <w:rsid w:val="006F2ECF"/>
    <w:rsid w:val="006F30D8"/>
    <w:rsid w:val="006F324C"/>
    <w:rsid w:val="006F337E"/>
    <w:rsid w:val="006F35AC"/>
    <w:rsid w:val="006F3813"/>
    <w:rsid w:val="006F39E1"/>
    <w:rsid w:val="006F3AE1"/>
    <w:rsid w:val="006F3DCB"/>
    <w:rsid w:val="006F3DD1"/>
    <w:rsid w:val="006F3E7D"/>
    <w:rsid w:val="006F3F7B"/>
    <w:rsid w:val="006F3FC0"/>
    <w:rsid w:val="006F405C"/>
    <w:rsid w:val="006F4381"/>
    <w:rsid w:val="006F44A7"/>
    <w:rsid w:val="006F4556"/>
    <w:rsid w:val="006F4BA6"/>
    <w:rsid w:val="006F4BB0"/>
    <w:rsid w:val="006F4CE5"/>
    <w:rsid w:val="006F4EB8"/>
    <w:rsid w:val="006F4EEB"/>
    <w:rsid w:val="006F4F5B"/>
    <w:rsid w:val="006F5131"/>
    <w:rsid w:val="006F51D9"/>
    <w:rsid w:val="006F52A6"/>
    <w:rsid w:val="006F5394"/>
    <w:rsid w:val="006F5464"/>
    <w:rsid w:val="006F5548"/>
    <w:rsid w:val="006F567E"/>
    <w:rsid w:val="006F5713"/>
    <w:rsid w:val="006F5736"/>
    <w:rsid w:val="006F57EA"/>
    <w:rsid w:val="006F594B"/>
    <w:rsid w:val="006F5BAA"/>
    <w:rsid w:val="006F6863"/>
    <w:rsid w:val="006F6AAE"/>
    <w:rsid w:val="006F6C76"/>
    <w:rsid w:val="006F6CEA"/>
    <w:rsid w:val="006F6DFA"/>
    <w:rsid w:val="006F71AF"/>
    <w:rsid w:val="006F75F7"/>
    <w:rsid w:val="006F76D7"/>
    <w:rsid w:val="006F7B1A"/>
    <w:rsid w:val="006F7BC3"/>
    <w:rsid w:val="006F7C73"/>
    <w:rsid w:val="006F7D6D"/>
    <w:rsid w:val="006F7E53"/>
    <w:rsid w:val="006F7E61"/>
    <w:rsid w:val="006F7F74"/>
    <w:rsid w:val="00700036"/>
    <w:rsid w:val="007002D0"/>
    <w:rsid w:val="00700331"/>
    <w:rsid w:val="00700333"/>
    <w:rsid w:val="0070037F"/>
    <w:rsid w:val="007003F8"/>
    <w:rsid w:val="0070049C"/>
    <w:rsid w:val="007005C4"/>
    <w:rsid w:val="0070098E"/>
    <w:rsid w:val="00700B59"/>
    <w:rsid w:val="00700DC1"/>
    <w:rsid w:val="0070100B"/>
    <w:rsid w:val="0070118A"/>
    <w:rsid w:val="0070125A"/>
    <w:rsid w:val="007012A3"/>
    <w:rsid w:val="0070167D"/>
    <w:rsid w:val="00701707"/>
    <w:rsid w:val="00701785"/>
    <w:rsid w:val="00701C5D"/>
    <w:rsid w:val="00701D28"/>
    <w:rsid w:val="00702027"/>
    <w:rsid w:val="0070232D"/>
    <w:rsid w:val="007023D5"/>
    <w:rsid w:val="007025FC"/>
    <w:rsid w:val="007028AA"/>
    <w:rsid w:val="00702D8C"/>
    <w:rsid w:val="00702F42"/>
    <w:rsid w:val="007034FA"/>
    <w:rsid w:val="00703624"/>
    <w:rsid w:val="007039B1"/>
    <w:rsid w:val="00703A69"/>
    <w:rsid w:val="00703D0B"/>
    <w:rsid w:val="00703E14"/>
    <w:rsid w:val="00704051"/>
    <w:rsid w:val="00704474"/>
    <w:rsid w:val="007047F7"/>
    <w:rsid w:val="00704A9C"/>
    <w:rsid w:val="00704B46"/>
    <w:rsid w:val="00705144"/>
    <w:rsid w:val="00705210"/>
    <w:rsid w:val="007053C2"/>
    <w:rsid w:val="00705488"/>
    <w:rsid w:val="0070555F"/>
    <w:rsid w:val="0070562D"/>
    <w:rsid w:val="00705DE3"/>
    <w:rsid w:val="00705DEA"/>
    <w:rsid w:val="00705F2E"/>
    <w:rsid w:val="007061BF"/>
    <w:rsid w:val="007065BB"/>
    <w:rsid w:val="00706781"/>
    <w:rsid w:val="007067B8"/>
    <w:rsid w:val="0070684D"/>
    <w:rsid w:val="00706CA0"/>
    <w:rsid w:val="0070712A"/>
    <w:rsid w:val="007071DD"/>
    <w:rsid w:val="00707201"/>
    <w:rsid w:val="00707329"/>
    <w:rsid w:val="00707358"/>
    <w:rsid w:val="00707418"/>
    <w:rsid w:val="007074AC"/>
    <w:rsid w:val="00707628"/>
    <w:rsid w:val="00707629"/>
    <w:rsid w:val="00707686"/>
    <w:rsid w:val="00707783"/>
    <w:rsid w:val="00707CB5"/>
    <w:rsid w:val="00707FAA"/>
    <w:rsid w:val="0071009B"/>
    <w:rsid w:val="007100D1"/>
    <w:rsid w:val="0071023A"/>
    <w:rsid w:val="00710296"/>
    <w:rsid w:val="007103E1"/>
    <w:rsid w:val="0071078F"/>
    <w:rsid w:val="0071081D"/>
    <w:rsid w:val="0071093D"/>
    <w:rsid w:val="00710991"/>
    <w:rsid w:val="00710C84"/>
    <w:rsid w:val="00710E38"/>
    <w:rsid w:val="00711088"/>
    <w:rsid w:val="00711293"/>
    <w:rsid w:val="0071171F"/>
    <w:rsid w:val="00711771"/>
    <w:rsid w:val="00711924"/>
    <w:rsid w:val="00711A74"/>
    <w:rsid w:val="00711BEE"/>
    <w:rsid w:val="00711C09"/>
    <w:rsid w:val="00711D75"/>
    <w:rsid w:val="00711E7C"/>
    <w:rsid w:val="00712134"/>
    <w:rsid w:val="00712208"/>
    <w:rsid w:val="00712264"/>
    <w:rsid w:val="007122D0"/>
    <w:rsid w:val="00712307"/>
    <w:rsid w:val="0071243E"/>
    <w:rsid w:val="00712677"/>
    <w:rsid w:val="007126E0"/>
    <w:rsid w:val="0071277F"/>
    <w:rsid w:val="00712984"/>
    <w:rsid w:val="007129E4"/>
    <w:rsid w:val="00712C2F"/>
    <w:rsid w:val="00712EA0"/>
    <w:rsid w:val="007131DC"/>
    <w:rsid w:val="00713529"/>
    <w:rsid w:val="007136E9"/>
    <w:rsid w:val="00713833"/>
    <w:rsid w:val="0071389C"/>
    <w:rsid w:val="0071397E"/>
    <w:rsid w:val="00713C1A"/>
    <w:rsid w:val="00713D7E"/>
    <w:rsid w:val="00713DF4"/>
    <w:rsid w:val="00713FEF"/>
    <w:rsid w:val="0071410D"/>
    <w:rsid w:val="0071428A"/>
    <w:rsid w:val="0071429C"/>
    <w:rsid w:val="0071433F"/>
    <w:rsid w:val="00714CE9"/>
    <w:rsid w:val="00714D15"/>
    <w:rsid w:val="00714DB7"/>
    <w:rsid w:val="00714DE9"/>
    <w:rsid w:val="00714E0C"/>
    <w:rsid w:val="00714E3F"/>
    <w:rsid w:val="007151D0"/>
    <w:rsid w:val="00715860"/>
    <w:rsid w:val="007158CB"/>
    <w:rsid w:val="007158EC"/>
    <w:rsid w:val="00715ADC"/>
    <w:rsid w:val="00715B12"/>
    <w:rsid w:val="00715B80"/>
    <w:rsid w:val="00716157"/>
    <w:rsid w:val="007161A1"/>
    <w:rsid w:val="007161CF"/>
    <w:rsid w:val="00716453"/>
    <w:rsid w:val="0071645D"/>
    <w:rsid w:val="007164B6"/>
    <w:rsid w:val="00716641"/>
    <w:rsid w:val="007167F6"/>
    <w:rsid w:val="00716854"/>
    <w:rsid w:val="007169F1"/>
    <w:rsid w:val="00716CC1"/>
    <w:rsid w:val="00716E16"/>
    <w:rsid w:val="00716ED4"/>
    <w:rsid w:val="00716F15"/>
    <w:rsid w:val="00717561"/>
    <w:rsid w:val="00717775"/>
    <w:rsid w:val="0071794A"/>
    <w:rsid w:val="00717AC7"/>
    <w:rsid w:val="00717DEF"/>
    <w:rsid w:val="00720003"/>
    <w:rsid w:val="0072013A"/>
    <w:rsid w:val="0072021C"/>
    <w:rsid w:val="00720421"/>
    <w:rsid w:val="00720721"/>
    <w:rsid w:val="00720772"/>
    <w:rsid w:val="007207B0"/>
    <w:rsid w:val="00720917"/>
    <w:rsid w:val="0072095D"/>
    <w:rsid w:val="00720AFF"/>
    <w:rsid w:val="00720C87"/>
    <w:rsid w:val="00720E03"/>
    <w:rsid w:val="00720F79"/>
    <w:rsid w:val="0072117E"/>
    <w:rsid w:val="00721570"/>
    <w:rsid w:val="007216C5"/>
    <w:rsid w:val="00721845"/>
    <w:rsid w:val="00721B20"/>
    <w:rsid w:val="00721CCF"/>
    <w:rsid w:val="00721D34"/>
    <w:rsid w:val="00721EF9"/>
    <w:rsid w:val="00721EFB"/>
    <w:rsid w:val="0072210D"/>
    <w:rsid w:val="007221B7"/>
    <w:rsid w:val="007222C5"/>
    <w:rsid w:val="007222D7"/>
    <w:rsid w:val="00722573"/>
    <w:rsid w:val="007226EE"/>
    <w:rsid w:val="007227BA"/>
    <w:rsid w:val="00722822"/>
    <w:rsid w:val="00722A3F"/>
    <w:rsid w:val="00722A6E"/>
    <w:rsid w:val="00722B91"/>
    <w:rsid w:val="00722C32"/>
    <w:rsid w:val="00722C6D"/>
    <w:rsid w:val="00722C76"/>
    <w:rsid w:val="00722DAF"/>
    <w:rsid w:val="00722F63"/>
    <w:rsid w:val="0072302B"/>
    <w:rsid w:val="0072334C"/>
    <w:rsid w:val="00723368"/>
    <w:rsid w:val="007233D9"/>
    <w:rsid w:val="00723544"/>
    <w:rsid w:val="007235DC"/>
    <w:rsid w:val="007235F2"/>
    <w:rsid w:val="007236E2"/>
    <w:rsid w:val="00723782"/>
    <w:rsid w:val="00723D02"/>
    <w:rsid w:val="00724107"/>
    <w:rsid w:val="007241AC"/>
    <w:rsid w:val="007242E7"/>
    <w:rsid w:val="007244B9"/>
    <w:rsid w:val="00724815"/>
    <w:rsid w:val="00724883"/>
    <w:rsid w:val="00724890"/>
    <w:rsid w:val="007248F4"/>
    <w:rsid w:val="00724B90"/>
    <w:rsid w:val="00724FCC"/>
    <w:rsid w:val="00724FCD"/>
    <w:rsid w:val="007250C7"/>
    <w:rsid w:val="0072527B"/>
    <w:rsid w:val="00725463"/>
    <w:rsid w:val="00725535"/>
    <w:rsid w:val="007255AA"/>
    <w:rsid w:val="007255BC"/>
    <w:rsid w:val="0072568B"/>
    <w:rsid w:val="007256C8"/>
    <w:rsid w:val="0072580C"/>
    <w:rsid w:val="00725AD4"/>
    <w:rsid w:val="00725C61"/>
    <w:rsid w:val="00725CB6"/>
    <w:rsid w:val="00725F84"/>
    <w:rsid w:val="00725FE0"/>
    <w:rsid w:val="00726088"/>
    <w:rsid w:val="0072609D"/>
    <w:rsid w:val="0072617D"/>
    <w:rsid w:val="007263AE"/>
    <w:rsid w:val="00726417"/>
    <w:rsid w:val="00726580"/>
    <w:rsid w:val="0072658A"/>
    <w:rsid w:val="00726A0A"/>
    <w:rsid w:val="00726A19"/>
    <w:rsid w:val="00726A82"/>
    <w:rsid w:val="00726ABC"/>
    <w:rsid w:val="00726CB2"/>
    <w:rsid w:val="00726F2A"/>
    <w:rsid w:val="00726F40"/>
    <w:rsid w:val="00726F46"/>
    <w:rsid w:val="007270A7"/>
    <w:rsid w:val="00727363"/>
    <w:rsid w:val="00727823"/>
    <w:rsid w:val="00727833"/>
    <w:rsid w:val="007278CA"/>
    <w:rsid w:val="00727927"/>
    <w:rsid w:val="007279D7"/>
    <w:rsid w:val="00727A07"/>
    <w:rsid w:val="00727A7B"/>
    <w:rsid w:val="00727D21"/>
    <w:rsid w:val="00727DA5"/>
    <w:rsid w:val="00727F2F"/>
    <w:rsid w:val="007303B9"/>
    <w:rsid w:val="007303E6"/>
    <w:rsid w:val="0073046A"/>
    <w:rsid w:val="007304C3"/>
    <w:rsid w:val="007305A3"/>
    <w:rsid w:val="007306FA"/>
    <w:rsid w:val="00730768"/>
    <w:rsid w:val="00730785"/>
    <w:rsid w:val="007308AE"/>
    <w:rsid w:val="00730B16"/>
    <w:rsid w:val="00730B47"/>
    <w:rsid w:val="00730C96"/>
    <w:rsid w:val="00730E0A"/>
    <w:rsid w:val="00730E2F"/>
    <w:rsid w:val="00731293"/>
    <w:rsid w:val="007316E7"/>
    <w:rsid w:val="00731C48"/>
    <w:rsid w:val="00731CE4"/>
    <w:rsid w:val="00731D1F"/>
    <w:rsid w:val="00731E08"/>
    <w:rsid w:val="00731EAA"/>
    <w:rsid w:val="00731FC0"/>
    <w:rsid w:val="00732486"/>
    <w:rsid w:val="0073255D"/>
    <w:rsid w:val="007327A8"/>
    <w:rsid w:val="00732801"/>
    <w:rsid w:val="00732862"/>
    <w:rsid w:val="00732A7A"/>
    <w:rsid w:val="00732C7E"/>
    <w:rsid w:val="00732D5D"/>
    <w:rsid w:val="0073316B"/>
    <w:rsid w:val="007331AA"/>
    <w:rsid w:val="007331F5"/>
    <w:rsid w:val="0073330B"/>
    <w:rsid w:val="007333D0"/>
    <w:rsid w:val="0073340F"/>
    <w:rsid w:val="007334CE"/>
    <w:rsid w:val="0073372C"/>
    <w:rsid w:val="0073382A"/>
    <w:rsid w:val="00733923"/>
    <w:rsid w:val="00733A2E"/>
    <w:rsid w:val="00733A54"/>
    <w:rsid w:val="00733B2D"/>
    <w:rsid w:val="00733B3F"/>
    <w:rsid w:val="00733B9B"/>
    <w:rsid w:val="00733BCB"/>
    <w:rsid w:val="00733DD5"/>
    <w:rsid w:val="00733DDC"/>
    <w:rsid w:val="00734081"/>
    <w:rsid w:val="007342B5"/>
    <w:rsid w:val="007347A2"/>
    <w:rsid w:val="00734A90"/>
    <w:rsid w:val="00734AB4"/>
    <w:rsid w:val="00734BDD"/>
    <w:rsid w:val="00734BE9"/>
    <w:rsid w:val="00734F60"/>
    <w:rsid w:val="00734F8A"/>
    <w:rsid w:val="0073528A"/>
    <w:rsid w:val="007352FD"/>
    <w:rsid w:val="00735732"/>
    <w:rsid w:val="00735969"/>
    <w:rsid w:val="00735977"/>
    <w:rsid w:val="00735A93"/>
    <w:rsid w:val="00735C76"/>
    <w:rsid w:val="00735D09"/>
    <w:rsid w:val="00735DDC"/>
    <w:rsid w:val="007360F9"/>
    <w:rsid w:val="007361F1"/>
    <w:rsid w:val="00736331"/>
    <w:rsid w:val="007364EE"/>
    <w:rsid w:val="0073653C"/>
    <w:rsid w:val="007366E0"/>
    <w:rsid w:val="007368C2"/>
    <w:rsid w:val="00736975"/>
    <w:rsid w:val="00736AE1"/>
    <w:rsid w:val="00736BB8"/>
    <w:rsid w:val="00736BE1"/>
    <w:rsid w:val="00736C0A"/>
    <w:rsid w:val="00736C12"/>
    <w:rsid w:val="00736CA6"/>
    <w:rsid w:val="00736E13"/>
    <w:rsid w:val="00736E62"/>
    <w:rsid w:val="0073707F"/>
    <w:rsid w:val="0073710F"/>
    <w:rsid w:val="007373E0"/>
    <w:rsid w:val="0073743F"/>
    <w:rsid w:val="00737485"/>
    <w:rsid w:val="00737715"/>
    <w:rsid w:val="007377C1"/>
    <w:rsid w:val="0073793D"/>
    <w:rsid w:val="007379D8"/>
    <w:rsid w:val="00737A54"/>
    <w:rsid w:val="00737AD5"/>
    <w:rsid w:val="00737C0E"/>
    <w:rsid w:val="00737F74"/>
    <w:rsid w:val="007400A0"/>
    <w:rsid w:val="007400B6"/>
    <w:rsid w:val="007400B9"/>
    <w:rsid w:val="007401DD"/>
    <w:rsid w:val="007403B8"/>
    <w:rsid w:val="00740507"/>
    <w:rsid w:val="00740714"/>
    <w:rsid w:val="0074086E"/>
    <w:rsid w:val="00740995"/>
    <w:rsid w:val="00740A6C"/>
    <w:rsid w:val="00740ED2"/>
    <w:rsid w:val="007411D9"/>
    <w:rsid w:val="007411F4"/>
    <w:rsid w:val="007411FE"/>
    <w:rsid w:val="00741294"/>
    <w:rsid w:val="007412C8"/>
    <w:rsid w:val="007414C9"/>
    <w:rsid w:val="00741588"/>
    <w:rsid w:val="007416A3"/>
    <w:rsid w:val="00741C42"/>
    <w:rsid w:val="00741D0C"/>
    <w:rsid w:val="00741E94"/>
    <w:rsid w:val="00741FCE"/>
    <w:rsid w:val="00741FD3"/>
    <w:rsid w:val="00742061"/>
    <w:rsid w:val="0074207B"/>
    <w:rsid w:val="0074223B"/>
    <w:rsid w:val="007424B0"/>
    <w:rsid w:val="007426EA"/>
    <w:rsid w:val="0074274D"/>
    <w:rsid w:val="00742778"/>
    <w:rsid w:val="007427D1"/>
    <w:rsid w:val="007429D7"/>
    <w:rsid w:val="00742A81"/>
    <w:rsid w:val="00742F66"/>
    <w:rsid w:val="00742F8F"/>
    <w:rsid w:val="007433DF"/>
    <w:rsid w:val="007435C4"/>
    <w:rsid w:val="00743715"/>
    <w:rsid w:val="00743800"/>
    <w:rsid w:val="00743810"/>
    <w:rsid w:val="00743934"/>
    <w:rsid w:val="00743AF6"/>
    <w:rsid w:val="00743DAF"/>
    <w:rsid w:val="00744123"/>
    <w:rsid w:val="00744286"/>
    <w:rsid w:val="00744294"/>
    <w:rsid w:val="00744517"/>
    <w:rsid w:val="00744625"/>
    <w:rsid w:val="00744A43"/>
    <w:rsid w:val="00744C68"/>
    <w:rsid w:val="00744CA6"/>
    <w:rsid w:val="00744E6E"/>
    <w:rsid w:val="00744F21"/>
    <w:rsid w:val="007452E2"/>
    <w:rsid w:val="00745305"/>
    <w:rsid w:val="00745374"/>
    <w:rsid w:val="007454F4"/>
    <w:rsid w:val="00745514"/>
    <w:rsid w:val="00745521"/>
    <w:rsid w:val="00745527"/>
    <w:rsid w:val="007456CC"/>
    <w:rsid w:val="007456D6"/>
    <w:rsid w:val="007457D1"/>
    <w:rsid w:val="00745932"/>
    <w:rsid w:val="00745971"/>
    <w:rsid w:val="007459AF"/>
    <w:rsid w:val="00745AC6"/>
    <w:rsid w:val="00745CF7"/>
    <w:rsid w:val="00745FCA"/>
    <w:rsid w:val="007460E6"/>
    <w:rsid w:val="00746102"/>
    <w:rsid w:val="0074621A"/>
    <w:rsid w:val="0074631B"/>
    <w:rsid w:val="00746634"/>
    <w:rsid w:val="00746781"/>
    <w:rsid w:val="00746913"/>
    <w:rsid w:val="0074695C"/>
    <w:rsid w:val="00746C27"/>
    <w:rsid w:val="00746C3A"/>
    <w:rsid w:val="00746DE8"/>
    <w:rsid w:val="00747065"/>
    <w:rsid w:val="007470E6"/>
    <w:rsid w:val="007471D3"/>
    <w:rsid w:val="0074727A"/>
    <w:rsid w:val="007476C2"/>
    <w:rsid w:val="0074799D"/>
    <w:rsid w:val="00747A8A"/>
    <w:rsid w:val="00747BAB"/>
    <w:rsid w:val="00747CEC"/>
    <w:rsid w:val="00747DC5"/>
    <w:rsid w:val="00747E53"/>
    <w:rsid w:val="00747F5B"/>
    <w:rsid w:val="00747FA5"/>
    <w:rsid w:val="00750246"/>
    <w:rsid w:val="00750344"/>
    <w:rsid w:val="00750527"/>
    <w:rsid w:val="00750741"/>
    <w:rsid w:val="00750911"/>
    <w:rsid w:val="00750A63"/>
    <w:rsid w:val="00750CBD"/>
    <w:rsid w:val="00750CC9"/>
    <w:rsid w:val="00750DA9"/>
    <w:rsid w:val="00750F6A"/>
    <w:rsid w:val="00751163"/>
    <w:rsid w:val="0075116F"/>
    <w:rsid w:val="007513EE"/>
    <w:rsid w:val="007514F5"/>
    <w:rsid w:val="00751A17"/>
    <w:rsid w:val="00751B90"/>
    <w:rsid w:val="00751E95"/>
    <w:rsid w:val="007521F4"/>
    <w:rsid w:val="007523A3"/>
    <w:rsid w:val="00752537"/>
    <w:rsid w:val="0075255C"/>
    <w:rsid w:val="00752696"/>
    <w:rsid w:val="00752782"/>
    <w:rsid w:val="00752995"/>
    <w:rsid w:val="00752B73"/>
    <w:rsid w:val="00752C87"/>
    <w:rsid w:val="00752D8F"/>
    <w:rsid w:val="00752E1F"/>
    <w:rsid w:val="0075307E"/>
    <w:rsid w:val="00753474"/>
    <w:rsid w:val="007537D6"/>
    <w:rsid w:val="00753847"/>
    <w:rsid w:val="0075396A"/>
    <w:rsid w:val="00753A1B"/>
    <w:rsid w:val="00753E30"/>
    <w:rsid w:val="0075402D"/>
    <w:rsid w:val="0075406C"/>
    <w:rsid w:val="00754181"/>
    <w:rsid w:val="00754299"/>
    <w:rsid w:val="0075434E"/>
    <w:rsid w:val="007543C0"/>
    <w:rsid w:val="0075459D"/>
    <w:rsid w:val="007546EE"/>
    <w:rsid w:val="007547B7"/>
    <w:rsid w:val="007547D5"/>
    <w:rsid w:val="00754AC7"/>
    <w:rsid w:val="00754BC4"/>
    <w:rsid w:val="00754DEE"/>
    <w:rsid w:val="00755061"/>
    <w:rsid w:val="00755341"/>
    <w:rsid w:val="00755372"/>
    <w:rsid w:val="0075548A"/>
    <w:rsid w:val="00755567"/>
    <w:rsid w:val="007556BA"/>
    <w:rsid w:val="00755764"/>
    <w:rsid w:val="007559D3"/>
    <w:rsid w:val="00755B56"/>
    <w:rsid w:val="00755D61"/>
    <w:rsid w:val="00755E33"/>
    <w:rsid w:val="00755F7B"/>
    <w:rsid w:val="0075604B"/>
    <w:rsid w:val="007560A7"/>
    <w:rsid w:val="007560EA"/>
    <w:rsid w:val="00756276"/>
    <w:rsid w:val="007562E6"/>
    <w:rsid w:val="0075630E"/>
    <w:rsid w:val="00756483"/>
    <w:rsid w:val="0075648D"/>
    <w:rsid w:val="00756833"/>
    <w:rsid w:val="00756A90"/>
    <w:rsid w:val="00756A96"/>
    <w:rsid w:val="00756ACE"/>
    <w:rsid w:val="00756AD6"/>
    <w:rsid w:val="00756B1D"/>
    <w:rsid w:val="00756C81"/>
    <w:rsid w:val="00756C93"/>
    <w:rsid w:val="00756E01"/>
    <w:rsid w:val="00756E8D"/>
    <w:rsid w:val="007576D8"/>
    <w:rsid w:val="007578DB"/>
    <w:rsid w:val="00757B5F"/>
    <w:rsid w:val="00757D23"/>
    <w:rsid w:val="00757D84"/>
    <w:rsid w:val="00757F41"/>
    <w:rsid w:val="00757F75"/>
    <w:rsid w:val="0076049E"/>
    <w:rsid w:val="00760683"/>
    <w:rsid w:val="00760702"/>
    <w:rsid w:val="00760733"/>
    <w:rsid w:val="00760850"/>
    <w:rsid w:val="007608E0"/>
    <w:rsid w:val="00760B0F"/>
    <w:rsid w:val="00760B7B"/>
    <w:rsid w:val="00760D2C"/>
    <w:rsid w:val="00761065"/>
    <w:rsid w:val="00761174"/>
    <w:rsid w:val="0076122F"/>
    <w:rsid w:val="007612C1"/>
    <w:rsid w:val="007612F6"/>
    <w:rsid w:val="007614F3"/>
    <w:rsid w:val="00761766"/>
    <w:rsid w:val="0076199A"/>
    <w:rsid w:val="00761A60"/>
    <w:rsid w:val="00761AC4"/>
    <w:rsid w:val="00761DCF"/>
    <w:rsid w:val="00761ED6"/>
    <w:rsid w:val="00761F23"/>
    <w:rsid w:val="007621A0"/>
    <w:rsid w:val="007622E8"/>
    <w:rsid w:val="00762582"/>
    <w:rsid w:val="007625FD"/>
    <w:rsid w:val="0076276C"/>
    <w:rsid w:val="0076278D"/>
    <w:rsid w:val="00762809"/>
    <w:rsid w:val="0076289A"/>
    <w:rsid w:val="0076296F"/>
    <w:rsid w:val="00762C66"/>
    <w:rsid w:val="00762CD7"/>
    <w:rsid w:val="00763056"/>
    <w:rsid w:val="0076328F"/>
    <w:rsid w:val="00763375"/>
    <w:rsid w:val="00763645"/>
    <w:rsid w:val="007639B9"/>
    <w:rsid w:val="00763BAB"/>
    <w:rsid w:val="00763CBB"/>
    <w:rsid w:val="00763FAE"/>
    <w:rsid w:val="0076425C"/>
    <w:rsid w:val="007649FB"/>
    <w:rsid w:val="00764B8B"/>
    <w:rsid w:val="00764D4E"/>
    <w:rsid w:val="00764F69"/>
    <w:rsid w:val="00765196"/>
    <w:rsid w:val="00765571"/>
    <w:rsid w:val="00765B7C"/>
    <w:rsid w:val="00765CE0"/>
    <w:rsid w:val="00765EAC"/>
    <w:rsid w:val="00765EE1"/>
    <w:rsid w:val="00765F01"/>
    <w:rsid w:val="00766047"/>
    <w:rsid w:val="00766103"/>
    <w:rsid w:val="00766126"/>
    <w:rsid w:val="00766251"/>
    <w:rsid w:val="00766348"/>
    <w:rsid w:val="007663A5"/>
    <w:rsid w:val="0076640D"/>
    <w:rsid w:val="00766582"/>
    <w:rsid w:val="007665EF"/>
    <w:rsid w:val="0076662C"/>
    <w:rsid w:val="007667ED"/>
    <w:rsid w:val="00766813"/>
    <w:rsid w:val="0076685D"/>
    <w:rsid w:val="007668B7"/>
    <w:rsid w:val="00766FB6"/>
    <w:rsid w:val="007673E7"/>
    <w:rsid w:val="007675E6"/>
    <w:rsid w:val="00767D86"/>
    <w:rsid w:val="00767DD5"/>
    <w:rsid w:val="00767E56"/>
    <w:rsid w:val="00767F14"/>
    <w:rsid w:val="00767F5E"/>
    <w:rsid w:val="00767F87"/>
    <w:rsid w:val="0077033E"/>
    <w:rsid w:val="007705D0"/>
    <w:rsid w:val="0077069E"/>
    <w:rsid w:val="00770781"/>
    <w:rsid w:val="00770925"/>
    <w:rsid w:val="0077096E"/>
    <w:rsid w:val="007709CA"/>
    <w:rsid w:val="00770A94"/>
    <w:rsid w:val="00770B61"/>
    <w:rsid w:val="00770F46"/>
    <w:rsid w:val="00770F5A"/>
    <w:rsid w:val="00770F9A"/>
    <w:rsid w:val="007710AB"/>
    <w:rsid w:val="007710B9"/>
    <w:rsid w:val="00771294"/>
    <w:rsid w:val="0077129C"/>
    <w:rsid w:val="00771306"/>
    <w:rsid w:val="00771331"/>
    <w:rsid w:val="007713D8"/>
    <w:rsid w:val="0077141C"/>
    <w:rsid w:val="00771643"/>
    <w:rsid w:val="007717F1"/>
    <w:rsid w:val="00771A77"/>
    <w:rsid w:val="00771AB4"/>
    <w:rsid w:val="00771B61"/>
    <w:rsid w:val="00771C52"/>
    <w:rsid w:val="00771D10"/>
    <w:rsid w:val="00771D7F"/>
    <w:rsid w:val="00771DB7"/>
    <w:rsid w:val="00771E4E"/>
    <w:rsid w:val="00771FAD"/>
    <w:rsid w:val="00771FB4"/>
    <w:rsid w:val="00771FFB"/>
    <w:rsid w:val="00772171"/>
    <w:rsid w:val="00772183"/>
    <w:rsid w:val="0077254D"/>
    <w:rsid w:val="007726DA"/>
    <w:rsid w:val="0077271F"/>
    <w:rsid w:val="007727D4"/>
    <w:rsid w:val="00772DDA"/>
    <w:rsid w:val="00772E09"/>
    <w:rsid w:val="00772E83"/>
    <w:rsid w:val="00772F71"/>
    <w:rsid w:val="00772FF8"/>
    <w:rsid w:val="007730A0"/>
    <w:rsid w:val="007731E0"/>
    <w:rsid w:val="007733F4"/>
    <w:rsid w:val="007734E3"/>
    <w:rsid w:val="0077374A"/>
    <w:rsid w:val="007739D5"/>
    <w:rsid w:val="00773D49"/>
    <w:rsid w:val="00773F0D"/>
    <w:rsid w:val="0077440E"/>
    <w:rsid w:val="00774425"/>
    <w:rsid w:val="00774661"/>
    <w:rsid w:val="007746F7"/>
    <w:rsid w:val="007747A8"/>
    <w:rsid w:val="00774880"/>
    <w:rsid w:val="007749BF"/>
    <w:rsid w:val="00774A02"/>
    <w:rsid w:val="00774EE9"/>
    <w:rsid w:val="00775099"/>
    <w:rsid w:val="00775174"/>
    <w:rsid w:val="00775274"/>
    <w:rsid w:val="00775387"/>
    <w:rsid w:val="007754AD"/>
    <w:rsid w:val="00775552"/>
    <w:rsid w:val="00775593"/>
    <w:rsid w:val="00775869"/>
    <w:rsid w:val="007759A5"/>
    <w:rsid w:val="00775B01"/>
    <w:rsid w:val="00775F2A"/>
    <w:rsid w:val="0077602D"/>
    <w:rsid w:val="0077615D"/>
    <w:rsid w:val="00776208"/>
    <w:rsid w:val="0077627C"/>
    <w:rsid w:val="0077630C"/>
    <w:rsid w:val="00776323"/>
    <w:rsid w:val="007765B2"/>
    <w:rsid w:val="00776636"/>
    <w:rsid w:val="00776667"/>
    <w:rsid w:val="0077670E"/>
    <w:rsid w:val="007767A4"/>
    <w:rsid w:val="00776950"/>
    <w:rsid w:val="0077697D"/>
    <w:rsid w:val="00776B36"/>
    <w:rsid w:val="00776DDA"/>
    <w:rsid w:val="00776F36"/>
    <w:rsid w:val="00776FC4"/>
    <w:rsid w:val="007770FA"/>
    <w:rsid w:val="007771FD"/>
    <w:rsid w:val="00777274"/>
    <w:rsid w:val="0077749D"/>
    <w:rsid w:val="00777867"/>
    <w:rsid w:val="00777AF5"/>
    <w:rsid w:val="00777B4C"/>
    <w:rsid w:val="00777EA9"/>
    <w:rsid w:val="00777F64"/>
    <w:rsid w:val="00777FD4"/>
    <w:rsid w:val="00780033"/>
    <w:rsid w:val="007800D0"/>
    <w:rsid w:val="007800DF"/>
    <w:rsid w:val="0078022E"/>
    <w:rsid w:val="007802D1"/>
    <w:rsid w:val="007802DF"/>
    <w:rsid w:val="0078055C"/>
    <w:rsid w:val="0078062E"/>
    <w:rsid w:val="007806AE"/>
    <w:rsid w:val="007806DB"/>
    <w:rsid w:val="007806FE"/>
    <w:rsid w:val="0078089D"/>
    <w:rsid w:val="00780C3E"/>
    <w:rsid w:val="00780C7E"/>
    <w:rsid w:val="00780CDF"/>
    <w:rsid w:val="00780CF6"/>
    <w:rsid w:val="00780F22"/>
    <w:rsid w:val="00781297"/>
    <w:rsid w:val="007813A8"/>
    <w:rsid w:val="00781452"/>
    <w:rsid w:val="007815E4"/>
    <w:rsid w:val="00781D6D"/>
    <w:rsid w:val="00781E01"/>
    <w:rsid w:val="00781EC2"/>
    <w:rsid w:val="00782439"/>
    <w:rsid w:val="00782569"/>
    <w:rsid w:val="00782577"/>
    <w:rsid w:val="0078265D"/>
    <w:rsid w:val="00782838"/>
    <w:rsid w:val="00782849"/>
    <w:rsid w:val="007829BF"/>
    <w:rsid w:val="00782A82"/>
    <w:rsid w:val="00782C69"/>
    <w:rsid w:val="00782F19"/>
    <w:rsid w:val="00783078"/>
    <w:rsid w:val="0078309A"/>
    <w:rsid w:val="007832FD"/>
    <w:rsid w:val="00783320"/>
    <w:rsid w:val="0078354D"/>
    <w:rsid w:val="007835EF"/>
    <w:rsid w:val="007838EF"/>
    <w:rsid w:val="00783A34"/>
    <w:rsid w:val="00783A3C"/>
    <w:rsid w:val="00783B2E"/>
    <w:rsid w:val="00783D69"/>
    <w:rsid w:val="00783D7C"/>
    <w:rsid w:val="00784283"/>
    <w:rsid w:val="00784344"/>
    <w:rsid w:val="007848AA"/>
    <w:rsid w:val="007848E2"/>
    <w:rsid w:val="00784B92"/>
    <w:rsid w:val="00784C04"/>
    <w:rsid w:val="00784C66"/>
    <w:rsid w:val="00784F91"/>
    <w:rsid w:val="00784FA7"/>
    <w:rsid w:val="00784FFA"/>
    <w:rsid w:val="007852F4"/>
    <w:rsid w:val="007855CA"/>
    <w:rsid w:val="0078576C"/>
    <w:rsid w:val="007858F9"/>
    <w:rsid w:val="00785BAE"/>
    <w:rsid w:val="00785D4F"/>
    <w:rsid w:val="00785DDA"/>
    <w:rsid w:val="00786135"/>
    <w:rsid w:val="007861C6"/>
    <w:rsid w:val="00786599"/>
    <w:rsid w:val="0078672F"/>
    <w:rsid w:val="00786974"/>
    <w:rsid w:val="00786A3D"/>
    <w:rsid w:val="00786B99"/>
    <w:rsid w:val="00786CDD"/>
    <w:rsid w:val="00786D9D"/>
    <w:rsid w:val="00786E5A"/>
    <w:rsid w:val="00787045"/>
    <w:rsid w:val="007875EB"/>
    <w:rsid w:val="0078764A"/>
    <w:rsid w:val="00787900"/>
    <w:rsid w:val="00787A58"/>
    <w:rsid w:val="00787EFE"/>
    <w:rsid w:val="00790380"/>
    <w:rsid w:val="00790494"/>
    <w:rsid w:val="007904C6"/>
    <w:rsid w:val="007905CF"/>
    <w:rsid w:val="00790656"/>
    <w:rsid w:val="007909A4"/>
    <w:rsid w:val="00790E85"/>
    <w:rsid w:val="00791129"/>
    <w:rsid w:val="007912EF"/>
    <w:rsid w:val="007914CA"/>
    <w:rsid w:val="00791723"/>
    <w:rsid w:val="00791FE4"/>
    <w:rsid w:val="0079215F"/>
    <w:rsid w:val="00792316"/>
    <w:rsid w:val="00792381"/>
    <w:rsid w:val="00792430"/>
    <w:rsid w:val="0079257B"/>
    <w:rsid w:val="00792750"/>
    <w:rsid w:val="007929F5"/>
    <w:rsid w:val="00792A74"/>
    <w:rsid w:val="00792A7D"/>
    <w:rsid w:val="00792BE8"/>
    <w:rsid w:val="00793016"/>
    <w:rsid w:val="007930E2"/>
    <w:rsid w:val="00793555"/>
    <w:rsid w:val="00793A32"/>
    <w:rsid w:val="00793F29"/>
    <w:rsid w:val="00794467"/>
    <w:rsid w:val="00794540"/>
    <w:rsid w:val="007945B0"/>
    <w:rsid w:val="0079468E"/>
    <w:rsid w:val="007946CF"/>
    <w:rsid w:val="00794708"/>
    <w:rsid w:val="00794943"/>
    <w:rsid w:val="007949C6"/>
    <w:rsid w:val="00794A6F"/>
    <w:rsid w:val="00794B45"/>
    <w:rsid w:val="00794EA8"/>
    <w:rsid w:val="00795219"/>
    <w:rsid w:val="007953BD"/>
    <w:rsid w:val="007955C2"/>
    <w:rsid w:val="007956FF"/>
    <w:rsid w:val="00795C87"/>
    <w:rsid w:val="00795CC7"/>
    <w:rsid w:val="00796106"/>
    <w:rsid w:val="00796210"/>
    <w:rsid w:val="007962C2"/>
    <w:rsid w:val="0079638D"/>
    <w:rsid w:val="00796A5A"/>
    <w:rsid w:val="00796D38"/>
    <w:rsid w:val="00796DD5"/>
    <w:rsid w:val="00796E27"/>
    <w:rsid w:val="00797012"/>
    <w:rsid w:val="00797065"/>
    <w:rsid w:val="00797178"/>
    <w:rsid w:val="00797731"/>
    <w:rsid w:val="00797A9A"/>
    <w:rsid w:val="00797AD5"/>
    <w:rsid w:val="00797B78"/>
    <w:rsid w:val="00797C95"/>
    <w:rsid w:val="00797E85"/>
    <w:rsid w:val="00797EA9"/>
    <w:rsid w:val="00797FF2"/>
    <w:rsid w:val="007A0020"/>
    <w:rsid w:val="007A00B0"/>
    <w:rsid w:val="007A02AC"/>
    <w:rsid w:val="007A0689"/>
    <w:rsid w:val="007A0716"/>
    <w:rsid w:val="007A0A0E"/>
    <w:rsid w:val="007A0A27"/>
    <w:rsid w:val="007A0A9D"/>
    <w:rsid w:val="007A0B3A"/>
    <w:rsid w:val="007A0D9E"/>
    <w:rsid w:val="007A0E31"/>
    <w:rsid w:val="007A0F24"/>
    <w:rsid w:val="007A130B"/>
    <w:rsid w:val="007A1496"/>
    <w:rsid w:val="007A1A42"/>
    <w:rsid w:val="007A1B2C"/>
    <w:rsid w:val="007A1BFB"/>
    <w:rsid w:val="007A2065"/>
    <w:rsid w:val="007A2A77"/>
    <w:rsid w:val="007A2BE8"/>
    <w:rsid w:val="007A2D5F"/>
    <w:rsid w:val="007A2E30"/>
    <w:rsid w:val="007A2E86"/>
    <w:rsid w:val="007A2ED2"/>
    <w:rsid w:val="007A3103"/>
    <w:rsid w:val="007A332B"/>
    <w:rsid w:val="007A35B5"/>
    <w:rsid w:val="007A35BE"/>
    <w:rsid w:val="007A37D0"/>
    <w:rsid w:val="007A386D"/>
    <w:rsid w:val="007A396F"/>
    <w:rsid w:val="007A3B54"/>
    <w:rsid w:val="007A3C3C"/>
    <w:rsid w:val="007A3E32"/>
    <w:rsid w:val="007A3F64"/>
    <w:rsid w:val="007A4135"/>
    <w:rsid w:val="007A418F"/>
    <w:rsid w:val="007A419D"/>
    <w:rsid w:val="007A439E"/>
    <w:rsid w:val="007A43BA"/>
    <w:rsid w:val="007A4413"/>
    <w:rsid w:val="007A4515"/>
    <w:rsid w:val="007A4827"/>
    <w:rsid w:val="007A4AED"/>
    <w:rsid w:val="007A4B09"/>
    <w:rsid w:val="007A4B0B"/>
    <w:rsid w:val="007A4BE1"/>
    <w:rsid w:val="007A4C32"/>
    <w:rsid w:val="007A556A"/>
    <w:rsid w:val="007A5797"/>
    <w:rsid w:val="007A5854"/>
    <w:rsid w:val="007A588D"/>
    <w:rsid w:val="007A58E9"/>
    <w:rsid w:val="007A58F4"/>
    <w:rsid w:val="007A5CAD"/>
    <w:rsid w:val="007A5D74"/>
    <w:rsid w:val="007A5E49"/>
    <w:rsid w:val="007A6143"/>
    <w:rsid w:val="007A61EB"/>
    <w:rsid w:val="007A61F1"/>
    <w:rsid w:val="007A62DB"/>
    <w:rsid w:val="007A630C"/>
    <w:rsid w:val="007A64A6"/>
    <w:rsid w:val="007A6602"/>
    <w:rsid w:val="007A66BF"/>
    <w:rsid w:val="007A685C"/>
    <w:rsid w:val="007A68EB"/>
    <w:rsid w:val="007A6A5E"/>
    <w:rsid w:val="007A6B6B"/>
    <w:rsid w:val="007A6DBA"/>
    <w:rsid w:val="007A6E86"/>
    <w:rsid w:val="007A6EC2"/>
    <w:rsid w:val="007A6ECA"/>
    <w:rsid w:val="007A71D6"/>
    <w:rsid w:val="007A733E"/>
    <w:rsid w:val="007A7661"/>
    <w:rsid w:val="007A76DC"/>
    <w:rsid w:val="007A7B70"/>
    <w:rsid w:val="007A7DE5"/>
    <w:rsid w:val="007B00C4"/>
    <w:rsid w:val="007B0197"/>
    <w:rsid w:val="007B0411"/>
    <w:rsid w:val="007B0645"/>
    <w:rsid w:val="007B073E"/>
    <w:rsid w:val="007B0A61"/>
    <w:rsid w:val="007B0E1A"/>
    <w:rsid w:val="007B0E54"/>
    <w:rsid w:val="007B0F49"/>
    <w:rsid w:val="007B0FD8"/>
    <w:rsid w:val="007B15A7"/>
    <w:rsid w:val="007B166F"/>
    <w:rsid w:val="007B1799"/>
    <w:rsid w:val="007B17B3"/>
    <w:rsid w:val="007B18CE"/>
    <w:rsid w:val="007B1A39"/>
    <w:rsid w:val="007B1A58"/>
    <w:rsid w:val="007B1C27"/>
    <w:rsid w:val="007B1EB9"/>
    <w:rsid w:val="007B1F9C"/>
    <w:rsid w:val="007B204B"/>
    <w:rsid w:val="007B2073"/>
    <w:rsid w:val="007B21D2"/>
    <w:rsid w:val="007B230E"/>
    <w:rsid w:val="007B2340"/>
    <w:rsid w:val="007B23C5"/>
    <w:rsid w:val="007B23E4"/>
    <w:rsid w:val="007B23EA"/>
    <w:rsid w:val="007B2743"/>
    <w:rsid w:val="007B2CFC"/>
    <w:rsid w:val="007B2D94"/>
    <w:rsid w:val="007B2EFB"/>
    <w:rsid w:val="007B2F76"/>
    <w:rsid w:val="007B3008"/>
    <w:rsid w:val="007B337D"/>
    <w:rsid w:val="007B3AB5"/>
    <w:rsid w:val="007B3DC8"/>
    <w:rsid w:val="007B421C"/>
    <w:rsid w:val="007B43B6"/>
    <w:rsid w:val="007B4538"/>
    <w:rsid w:val="007B496E"/>
    <w:rsid w:val="007B4A05"/>
    <w:rsid w:val="007B4A07"/>
    <w:rsid w:val="007B4E10"/>
    <w:rsid w:val="007B4E25"/>
    <w:rsid w:val="007B4E39"/>
    <w:rsid w:val="007B4FB5"/>
    <w:rsid w:val="007B50F1"/>
    <w:rsid w:val="007B517B"/>
    <w:rsid w:val="007B522E"/>
    <w:rsid w:val="007B5373"/>
    <w:rsid w:val="007B56C4"/>
    <w:rsid w:val="007B5760"/>
    <w:rsid w:val="007B57D3"/>
    <w:rsid w:val="007B5A4A"/>
    <w:rsid w:val="007B5B4B"/>
    <w:rsid w:val="007B5CA4"/>
    <w:rsid w:val="007B5CEC"/>
    <w:rsid w:val="007B5E50"/>
    <w:rsid w:val="007B5EE3"/>
    <w:rsid w:val="007B5F50"/>
    <w:rsid w:val="007B5FCD"/>
    <w:rsid w:val="007B600D"/>
    <w:rsid w:val="007B614D"/>
    <w:rsid w:val="007B65EA"/>
    <w:rsid w:val="007B6607"/>
    <w:rsid w:val="007B68CD"/>
    <w:rsid w:val="007B6935"/>
    <w:rsid w:val="007B6DF9"/>
    <w:rsid w:val="007B6FE4"/>
    <w:rsid w:val="007B7119"/>
    <w:rsid w:val="007B7177"/>
    <w:rsid w:val="007B71D4"/>
    <w:rsid w:val="007B727B"/>
    <w:rsid w:val="007B746F"/>
    <w:rsid w:val="007B764A"/>
    <w:rsid w:val="007B76CE"/>
    <w:rsid w:val="007B777B"/>
    <w:rsid w:val="007B7796"/>
    <w:rsid w:val="007C01FE"/>
    <w:rsid w:val="007C0258"/>
    <w:rsid w:val="007C04F4"/>
    <w:rsid w:val="007C0735"/>
    <w:rsid w:val="007C0741"/>
    <w:rsid w:val="007C07F5"/>
    <w:rsid w:val="007C0877"/>
    <w:rsid w:val="007C0920"/>
    <w:rsid w:val="007C0D16"/>
    <w:rsid w:val="007C0F71"/>
    <w:rsid w:val="007C1017"/>
    <w:rsid w:val="007C10C8"/>
    <w:rsid w:val="007C11B2"/>
    <w:rsid w:val="007C13DD"/>
    <w:rsid w:val="007C18AF"/>
    <w:rsid w:val="007C19F8"/>
    <w:rsid w:val="007C1AB5"/>
    <w:rsid w:val="007C1B36"/>
    <w:rsid w:val="007C1C63"/>
    <w:rsid w:val="007C1D2D"/>
    <w:rsid w:val="007C1D93"/>
    <w:rsid w:val="007C1E15"/>
    <w:rsid w:val="007C1F83"/>
    <w:rsid w:val="007C217A"/>
    <w:rsid w:val="007C22B6"/>
    <w:rsid w:val="007C246F"/>
    <w:rsid w:val="007C248D"/>
    <w:rsid w:val="007C2671"/>
    <w:rsid w:val="007C26FC"/>
    <w:rsid w:val="007C28AB"/>
    <w:rsid w:val="007C2B62"/>
    <w:rsid w:val="007C2CA4"/>
    <w:rsid w:val="007C3131"/>
    <w:rsid w:val="007C314D"/>
    <w:rsid w:val="007C31DD"/>
    <w:rsid w:val="007C3294"/>
    <w:rsid w:val="007C33C8"/>
    <w:rsid w:val="007C33C9"/>
    <w:rsid w:val="007C38DC"/>
    <w:rsid w:val="007C3AE4"/>
    <w:rsid w:val="007C3B61"/>
    <w:rsid w:val="007C3B72"/>
    <w:rsid w:val="007C3BA2"/>
    <w:rsid w:val="007C3F12"/>
    <w:rsid w:val="007C434E"/>
    <w:rsid w:val="007C439E"/>
    <w:rsid w:val="007C446E"/>
    <w:rsid w:val="007C44E7"/>
    <w:rsid w:val="007C45D3"/>
    <w:rsid w:val="007C465D"/>
    <w:rsid w:val="007C479B"/>
    <w:rsid w:val="007C495B"/>
    <w:rsid w:val="007C49A6"/>
    <w:rsid w:val="007C49BE"/>
    <w:rsid w:val="007C4A50"/>
    <w:rsid w:val="007C4AC5"/>
    <w:rsid w:val="007C4B9D"/>
    <w:rsid w:val="007C4BA7"/>
    <w:rsid w:val="007C4C00"/>
    <w:rsid w:val="007C4D59"/>
    <w:rsid w:val="007C4E40"/>
    <w:rsid w:val="007C4FB9"/>
    <w:rsid w:val="007C5628"/>
    <w:rsid w:val="007C5987"/>
    <w:rsid w:val="007C59AE"/>
    <w:rsid w:val="007C60F9"/>
    <w:rsid w:val="007C6160"/>
    <w:rsid w:val="007C625C"/>
    <w:rsid w:val="007C665E"/>
    <w:rsid w:val="007C695E"/>
    <w:rsid w:val="007C6968"/>
    <w:rsid w:val="007C6AB3"/>
    <w:rsid w:val="007C6FEA"/>
    <w:rsid w:val="007C7259"/>
    <w:rsid w:val="007C7262"/>
    <w:rsid w:val="007C746D"/>
    <w:rsid w:val="007C767E"/>
    <w:rsid w:val="007C7786"/>
    <w:rsid w:val="007C7843"/>
    <w:rsid w:val="007C7859"/>
    <w:rsid w:val="007C7DF7"/>
    <w:rsid w:val="007C7E96"/>
    <w:rsid w:val="007D00AB"/>
    <w:rsid w:val="007D00B4"/>
    <w:rsid w:val="007D03B3"/>
    <w:rsid w:val="007D043D"/>
    <w:rsid w:val="007D0502"/>
    <w:rsid w:val="007D0600"/>
    <w:rsid w:val="007D0734"/>
    <w:rsid w:val="007D076C"/>
    <w:rsid w:val="007D0831"/>
    <w:rsid w:val="007D0902"/>
    <w:rsid w:val="007D0980"/>
    <w:rsid w:val="007D1589"/>
    <w:rsid w:val="007D18B2"/>
    <w:rsid w:val="007D1962"/>
    <w:rsid w:val="007D1ADB"/>
    <w:rsid w:val="007D1C53"/>
    <w:rsid w:val="007D2060"/>
    <w:rsid w:val="007D208D"/>
    <w:rsid w:val="007D21C0"/>
    <w:rsid w:val="007D2716"/>
    <w:rsid w:val="007D29BB"/>
    <w:rsid w:val="007D2B68"/>
    <w:rsid w:val="007D2CBC"/>
    <w:rsid w:val="007D2D8D"/>
    <w:rsid w:val="007D2E64"/>
    <w:rsid w:val="007D3235"/>
    <w:rsid w:val="007D333F"/>
    <w:rsid w:val="007D3418"/>
    <w:rsid w:val="007D380F"/>
    <w:rsid w:val="007D386D"/>
    <w:rsid w:val="007D3931"/>
    <w:rsid w:val="007D3A83"/>
    <w:rsid w:val="007D3C39"/>
    <w:rsid w:val="007D3EBD"/>
    <w:rsid w:val="007D3F4E"/>
    <w:rsid w:val="007D4154"/>
    <w:rsid w:val="007D4183"/>
    <w:rsid w:val="007D41BA"/>
    <w:rsid w:val="007D422F"/>
    <w:rsid w:val="007D42BD"/>
    <w:rsid w:val="007D4464"/>
    <w:rsid w:val="007D449C"/>
    <w:rsid w:val="007D4669"/>
    <w:rsid w:val="007D4714"/>
    <w:rsid w:val="007D4754"/>
    <w:rsid w:val="007D4B47"/>
    <w:rsid w:val="007D4D65"/>
    <w:rsid w:val="007D4E3F"/>
    <w:rsid w:val="007D4F1B"/>
    <w:rsid w:val="007D4F9C"/>
    <w:rsid w:val="007D4FAA"/>
    <w:rsid w:val="007D540E"/>
    <w:rsid w:val="007D54B0"/>
    <w:rsid w:val="007D5674"/>
    <w:rsid w:val="007D57C6"/>
    <w:rsid w:val="007D57D5"/>
    <w:rsid w:val="007D596F"/>
    <w:rsid w:val="007D598D"/>
    <w:rsid w:val="007D5A54"/>
    <w:rsid w:val="007D5B25"/>
    <w:rsid w:val="007D5D14"/>
    <w:rsid w:val="007D60FD"/>
    <w:rsid w:val="007D612C"/>
    <w:rsid w:val="007D62A8"/>
    <w:rsid w:val="007D6353"/>
    <w:rsid w:val="007D6415"/>
    <w:rsid w:val="007D6520"/>
    <w:rsid w:val="007D6760"/>
    <w:rsid w:val="007D67A3"/>
    <w:rsid w:val="007D68FD"/>
    <w:rsid w:val="007D6A53"/>
    <w:rsid w:val="007D6A96"/>
    <w:rsid w:val="007D6AE4"/>
    <w:rsid w:val="007D6AE6"/>
    <w:rsid w:val="007D6C03"/>
    <w:rsid w:val="007D6CB5"/>
    <w:rsid w:val="007D70CF"/>
    <w:rsid w:val="007D7632"/>
    <w:rsid w:val="007D777D"/>
    <w:rsid w:val="007D77B8"/>
    <w:rsid w:val="007D7F35"/>
    <w:rsid w:val="007D7FF4"/>
    <w:rsid w:val="007E00B6"/>
    <w:rsid w:val="007E0270"/>
    <w:rsid w:val="007E04A8"/>
    <w:rsid w:val="007E05B2"/>
    <w:rsid w:val="007E07CB"/>
    <w:rsid w:val="007E07FA"/>
    <w:rsid w:val="007E0917"/>
    <w:rsid w:val="007E095A"/>
    <w:rsid w:val="007E0BAB"/>
    <w:rsid w:val="007E0C95"/>
    <w:rsid w:val="007E0D06"/>
    <w:rsid w:val="007E1116"/>
    <w:rsid w:val="007E11F8"/>
    <w:rsid w:val="007E132F"/>
    <w:rsid w:val="007E1437"/>
    <w:rsid w:val="007E1857"/>
    <w:rsid w:val="007E1936"/>
    <w:rsid w:val="007E1A89"/>
    <w:rsid w:val="007E1A94"/>
    <w:rsid w:val="007E1F36"/>
    <w:rsid w:val="007E2061"/>
    <w:rsid w:val="007E20D2"/>
    <w:rsid w:val="007E23C2"/>
    <w:rsid w:val="007E243B"/>
    <w:rsid w:val="007E24CE"/>
    <w:rsid w:val="007E25F3"/>
    <w:rsid w:val="007E29C6"/>
    <w:rsid w:val="007E2A8F"/>
    <w:rsid w:val="007E2AE1"/>
    <w:rsid w:val="007E2B77"/>
    <w:rsid w:val="007E2DD7"/>
    <w:rsid w:val="007E2E26"/>
    <w:rsid w:val="007E2F58"/>
    <w:rsid w:val="007E2F9C"/>
    <w:rsid w:val="007E300B"/>
    <w:rsid w:val="007E3259"/>
    <w:rsid w:val="007E3561"/>
    <w:rsid w:val="007E3765"/>
    <w:rsid w:val="007E3965"/>
    <w:rsid w:val="007E39DF"/>
    <w:rsid w:val="007E3E6C"/>
    <w:rsid w:val="007E3F88"/>
    <w:rsid w:val="007E407E"/>
    <w:rsid w:val="007E41F0"/>
    <w:rsid w:val="007E4390"/>
    <w:rsid w:val="007E4471"/>
    <w:rsid w:val="007E478A"/>
    <w:rsid w:val="007E4899"/>
    <w:rsid w:val="007E4A85"/>
    <w:rsid w:val="007E4B19"/>
    <w:rsid w:val="007E4C4A"/>
    <w:rsid w:val="007E4E2F"/>
    <w:rsid w:val="007E4EE9"/>
    <w:rsid w:val="007E50E8"/>
    <w:rsid w:val="007E52A5"/>
    <w:rsid w:val="007E53DA"/>
    <w:rsid w:val="007E5427"/>
    <w:rsid w:val="007E5574"/>
    <w:rsid w:val="007E55FA"/>
    <w:rsid w:val="007E569A"/>
    <w:rsid w:val="007E58A0"/>
    <w:rsid w:val="007E5AB6"/>
    <w:rsid w:val="007E60F4"/>
    <w:rsid w:val="007E612F"/>
    <w:rsid w:val="007E6168"/>
    <w:rsid w:val="007E63B4"/>
    <w:rsid w:val="007E63C3"/>
    <w:rsid w:val="007E6425"/>
    <w:rsid w:val="007E6487"/>
    <w:rsid w:val="007E6530"/>
    <w:rsid w:val="007E6667"/>
    <w:rsid w:val="007E67F3"/>
    <w:rsid w:val="007E6926"/>
    <w:rsid w:val="007E6A72"/>
    <w:rsid w:val="007E6AB9"/>
    <w:rsid w:val="007E6B33"/>
    <w:rsid w:val="007E6D09"/>
    <w:rsid w:val="007E7082"/>
    <w:rsid w:val="007E7090"/>
    <w:rsid w:val="007E71FD"/>
    <w:rsid w:val="007E734D"/>
    <w:rsid w:val="007E7478"/>
    <w:rsid w:val="007E74EA"/>
    <w:rsid w:val="007E74F3"/>
    <w:rsid w:val="007E77D6"/>
    <w:rsid w:val="007E77EE"/>
    <w:rsid w:val="007E79A0"/>
    <w:rsid w:val="007E7F4F"/>
    <w:rsid w:val="007E7FFC"/>
    <w:rsid w:val="007F0135"/>
    <w:rsid w:val="007F02B6"/>
    <w:rsid w:val="007F03F6"/>
    <w:rsid w:val="007F0690"/>
    <w:rsid w:val="007F080B"/>
    <w:rsid w:val="007F088C"/>
    <w:rsid w:val="007F0966"/>
    <w:rsid w:val="007F0D85"/>
    <w:rsid w:val="007F0E6D"/>
    <w:rsid w:val="007F0E92"/>
    <w:rsid w:val="007F106E"/>
    <w:rsid w:val="007F173D"/>
    <w:rsid w:val="007F1876"/>
    <w:rsid w:val="007F189C"/>
    <w:rsid w:val="007F1C40"/>
    <w:rsid w:val="007F1C5B"/>
    <w:rsid w:val="007F1C7D"/>
    <w:rsid w:val="007F1CBD"/>
    <w:rsid w:val="007F1E11"/>
    <w:rsid w:val="007F20AC"/>
    <w:rsid w:val="007F20F0"/>
    <w:rsid w:val="007F217F"/>
    <w:rsid w:val="007F230A"/>
    <w:rsid w:val="007F2741"/>
    <w:rsid w:val="007F2843"/>
    <w:rsid w:val="007F2A74"/>
    <w:rsid w:val="007F2D04"/>
    <w:rsid w:val="007F2D63"/>
    <w:rsid w:val="007F2E45"/>
    <w:rsid w:val="007F2E4C"/>
    <w:rsid w:val="007F306E"/>
    <w:rsid w:val="007F311A"/>
    <w:rsid w:val="007F3139"/>
    <w:rsid w:val="007F32B5"/>
    <w:rsid w:val="007F3507"/>
    <w:rsid w:val="007F359B"/>
    <w:rsid w:val="007F3658"/>
    <w:rsid w:val="007F3779"/>
    <w:rsid w:val="007F399F"/>
    <w:rsid w:val="007F3A54"/>
    <w:rsid w:val="007F3AA0"/>
    <w:rsid w:val="007F3ACF"/>
    <w:rsid w:val="007F3BCD"/>
    <w:rsid w:val="007F3FB9"/>
    <w:rsid w:val="007F40D5"/>
    <w:rsid w:val="007F419B"/>
    <w:rsid w:val="007F41F8"/>
    <w:rsid w:val="007F4339"/>
    <w:rsid w:val="007F4556"/>
    <w:rsid w:val="007F45ED"/>
    <w:rsid w:val="007F49D8"/>
    <w:rsid w:val="007F4A31"/>
    <w:rsid w:val="007F4BA8"/>
    <w:rsid w:val="007F4BB2"/>
    <w:rsid w:val="007F4D24"/>
    <w:rsid w:val="007F4E5D"/>
    <w:rsid w:val="007F5185"/>
    <w:rsid w:val="007F51A0"/>
    <w:rsid w:val="007F51B5"/>
    <w:rsid w:val="007F549C"/>
    <w:rsid w:val="007F558E"/>
    <w:rsid w:val="007F5592"/>
    <w:rsid w:val="007F565F"/>
    <w:rsid w:val="007F56A1"/>
    <w:rsid w:val="007F56BD"/>
    <w:rsid w:val="007F5845"/>
    <w:rsid w:val="007F5878"/>
    <w:rsid w:val="007F596C"/>
    <w:rsid w:val="007F5F41"/>
    <w:rsid w:val="007F5F86"/>
    <w:rsid w:val="007F63D8"/>
    <w:rsid w:val="007F648C"/>
    <w:rsid w:val="007F6A5B"/>
    <w:rsid w:val="007F6C55"/>
    <w:rsid w:val="007F6CE5"/>
    <w:rsid w:val="007F6E30"/>
    <w:rsid w:val="007F7188"/>
    <w:rsid w:val="007F71C9"/>
    <w:rsid w:val="007F7408"/>
    <w:rsid w:val="007F7415"/>
    <w:rsid w:val="007F7539"/>
    <w:rsid w:val="007F76F8"/>
    <w:rsid w:val="007F78D3"/>
    <w:rsid w:val="007F79CD"/>
    <w:rsid w:val="007F7BC6"/>
    <w:rsid w:val="007F7C27"/>
    <w:rsid w:val="008000A9"/>
    <w:rsid w:val="00800253"/>
    <w:rsid w:val="0080032C"/>
    <w:rsid w:val="00800615"/>
    <w:rsid w:val="00800665"/>
    <w:rsid w:val="008006A5"/>
    <w:rsid w:val="0080085D"/>
    <w:rsid w:val="00800996"/>
    <w:rsid w:val="008009A6"/>
    <w:rsid w:val="00800A2E"/>
    <w:rsid w:val="00800B17"/>
    <w:rsid w:val="00800E2A"/>
    <w:rsid w:val="00800EB8"/>
    <w:rsid w:val="00800F09"/>
    <w:rsid w:val="00800FB6"/>
    <w:rsid w:val="00800FEC"/>
    <w:rsid w:val="0080118D"/>
    <w:rsid w:val="008014CF"/>
    <w:rsid w:val="0080160D"/>
    <w:rsid w:val="00801686"/>
    <w:rsid w:val="00801832"/>
    <w:rsid w:val="00801ECB"/>
    <w:rsid w:val="00801F97"/>
    <w:rsid w:val="00802010"/>
    <w:rsid w:val="0080225F"/>
    <w:rsid w:val="00802265"/>
    <w:rsid w:val="00802418"/>
    <w:rsid w:val="008024F9"/>
    <w:rsid w:val="0080266D"/>
    <w:rsid w:val="008026C8"/>
    <w:rsid w:val="008028F1"/>
    <w:rsid w:val="0080299D"/>
    <w:rsid w:val="00802A37"/>
    <w:rsid w:val="00802C14"/>
    <w:rsid w:val="00802C1E"/>
    <w:rsid w:val="00802CA7"/>
    <w:rsid w:val="00802E6C"/>
    <w:rsid w:val="00803157"/>
    <w:rsid w:val="008031F0"/>
    <w:rsid w:val="0080323C"/>
    <w:rsid w:val="008032FC"/>
    <w:rsid w:val="008033C1"/>
    <w:rsid w:val="008035D2"/>
    <w:rsid w:val="0080371A"/>
    <w:rsid w:val="00803749"/>
    <w:rsid w:val="00803872"/>
    <w:rsid w:val="008038BC"/>
    <w:rsid w:val="00803C3B"/>
    <w:rsid w:val="00803C54"/>
    <w:rsid w:val="00803C5E"/>
    <w:rsid w:val="0080403E"/>
    <w:rsid w:val="008040F9"/>
    <w:rsid w:val="008042F6"/>
    <w:rsid w:val="0080462F"/>
    <w:rsid w:val="00804708"/>
    <w:rsid w:val="0080475A"/>
    <w:rsid w:val="00804C02"/>
    <w:rsid w:val="00804C94"/>
    <w:rsid w:val="00804F7D"/>
    <w:rsid w:val="00804FF1"/>
    <w:rsid w:val="0080564E"/>
    <w:rsid w:val="00805BFC"/>
    <w:rsid w:val="00805CA5"/>
    <w:rsid w:val="00805D5E"/>
    <w:rsid w:val="0080624A"/>
    <w:rsid w:val="00806558"/>
    <w:rsid w:val="008066F1"/>
    <w:rsid w:val="00806715"/>
    <w:rsid w:val="00806A8E"/>
    <w:rsid w:val="00806C38"/>
    <w:rsid w:val="00806CF2"/>
    <w:rsid w:val="00806DD4"/>
    <w:rsid w:val="0080713E"/>
    <w:rsid w:val="008073FC"/>
    <w:rsid w:val="00807780"/>
    <w:rsid w:val="00807851"/>
    <w:rsid w:val="00807951"/>
    <w:rsid w:val="00807AF2"/>
    <w:rsid w:val="00807D72"/>
    <w:rsid w:val="00807F5D"/>
    <w:rsid w:val="00807F66"/>
    <w:rsid w:val="008102CF"/>
    <w:rsid w:val="008104FA"/>
    <w:rsid w:val="008106BD"/>
    <w:rsid w:val="0081095F"/>
    <w:rsid w:val="008109E2"/>
    <w:rsid w:val="00810A95"/>
    <w:rsid w:val="00810D85"/>
    <w:rsid w:val="00810F75"/>
    <w:rsid w:val="0081100E"/>
    <w:rsid w:val="0081108D"/>
    <w:rsid w:val="008110BE"/>
    <w:rsid w:val="00811283"/>
    <w:rsid w:val="00811450"/>
    <w:rsid w:val="008115FB"/>
    <w:rsid w:val="00811808"/>
    <w:rsid w:val="00811C99"/>
    <w:rsid w:val="00811FBE"/>
    <w:rsid w:val="008120C2"/>
    <w:rsid w:val="008122D5"/>
    <w:rsid w:val="008124C4"/>
    <w:rsid w:val="008124DF"/>
    <w:rsid w:val="008126F5"/>
    <w:rsid w:val="008127AD"/>
    <w:rsid w:val="0081287E"/>
    <w:rsid w:val="008128D2"/>
    <w:rsid w:val="008129E0"/>
    <w:rsid w:val="00812CB5"/>
    <w:rsid w:val="00812F93"/>
    <w:rsid w:val="0081305F"/>
    <w:rsid w:val="00813074"/>
    <w:rsid w:val="008132D8"/>
    <w:rsid w:val="00813365"/>
    <w:rsid w:val="00813964"/>
    <w:rsid w:val="00813ADD"/>
    <w:rsid w:val="00813AFF"/>
    <w:rsid w:val="00813C3C"/>
    <w:rsid w:val="00813CEF"/>
    <w:rsid w:val="00813E6B"/>
    <w:rsid w:val="008140F0"/>
    <w:rsid w:val="0081416A"/>
    <w:rsid w:val="00814216"/>
    <w:rsid w:val="00814331"/>
    <w:rsid w:val="00814410"/>
    <w:rsid w:val="0081443E"/>
    <w:rsid w:val="008145F3"/>
    <w:rsid w:val="0081474E"/>
    <w:rsid w:val="00814754"/>
    <w:rsid w:val="00814812"/>
    <w:rsid w:val="00814889"/>
    <w:rsid w:val="008149D3"/>
    <w:rsid w:val="00814A6B"/>
    <w:rsid w:val="00814A79"/>
    <w:rsid w:val="00814C5E"/>
    <w:rsid w:val="00814DBE"/>
    <w:rsid w:val="00814E31"/>
    <w:rsid w:val="0081504E"/>
    <w:rsid w:val="00815408"/>
    <w:rsid w:val="008158BB"/>
    <w:rsid w:val="008159A8"/>
    <w:rsid w:val="008159BC"/>
    <w:rsid w:val="008159DA"/>
    <w:rsid w:val="00815A95"/>
    <w:rsid w:val="00815B39"/>
    <w:rsid w:val="00815B4B"/>
    <w:rsid w:val="00815B4F"/>
    <w:rsid w:val="00815C37"/>
    <w:rsid w:val="00815C5B"/>
    <w:rsid w:val="00815C99"/>
    <w:rsid w:val="00816337"/>
    <w:rsid w:val="0081633E"/>
    <w:rsid w:val="008163CC"/>
    <w:rsid w:val="008163E4"/>
    <w:rsid w:val="00816727"/>
    <w:rsid w:val="00816741"/>
    <w:rsid w:val="008167FE"/>
    <w:rsid w:val="00816C5A"/>
    <w:rsid w:val="00816CEB"/>
    <w:rsid w:val="00816F37"/>
    <w:rsid w:val="00816FAE"/>
    <w:rsid w:val="00817024"/>
    <w:rsid w:val="0081745F"/>
    <w:rsid w:val="00817462"/>
    <w:rsid w:val="0081754B"/>
    <w:rsid w:val="00817677"/>
    <w:rsid w:val="00817CD8"/>
    <w:rsid w:val="00817D2A"/>
    <w:rsid w:val="00817DC2"/>
    <w:rsid w:val="00817E88"/>
    <w:rsid w:val="00820191"/>
    <w:rsid w:val="00820270"/>
    <w:rsid w:val="008204D4"/>
    <w:rsid w:val="008204FF"/>
    <w:rsid w:val="008205BD"/>
    <w:rsid w:val="00820B69"/>
    <w:rsid w:val="00820FD7"/>
    <w:rsid w:val="0082144C"/>
    <w:rsid w:val="008215A4"/>
    <w:rsid w:val="008218DE"/>
    <w:rsid w:val="00821A14"/>
    <w:rsid w:val="00821A50"/>
    <w:rsid w:val="00821ACE"/>
    <w:rsid w:val="00821B5D"/>
    <w:rsid w:val="00821D2C"/>
    <w:rsid w:val="00821F5A"/>
    <w:rsid w:val="00821FD7"/>
    <w:rsid w:val="00821FE7"/>
    <w:rsid w:val="00822289"/>
    <w:rsid w:val="008223D3"/>
    <w:rsid w:val="00822445"/>
    <w:rsid w:val="00822617"/>
    <w:rsid w:val="0082263A"/>
    <w:rsid w:val="008227B9"/>
    <w:rsid w:val="00822D6A"/>
    <w:rsid w:val="00822DBD"/>
    <w:rsid w:val="00822E80"/>
    <w:rsid w:val="0082341F"/>
    <w:rsid w:val="0082349C"/>
    <w:rsid w:val="008234DD"/>
    <w:rsid w:val="008237C8"/>
    <w:rsid w:val="00823813"/>
    <w:rsid w:val="00823C42"/>
    <w:rsid w:val="0082406E"/>
    <w:rsid w:val="00824688"/>
    <w:rsid w:val="008246B8"/>
    <w:rsid w:val="008246FF"/>
    <w:rsid w:val="0082476E"/>
    <w:rsid w:val="008248D9"/>
    <w:rsid w:val="00824955"/>
    <w:rsid w:val="00824BCD"/>
    <w:rsid w:val="00824CA9"/>
    <w:rsid w:val="00824E64"/>
    <w:rsid w:val="00824ED4"/>
    <w:rsid w:val="00824F59"/>
    <w:rsid w:val="0082529A"/>
    <w:rsid w:val="00825318"/>
    <w:rsid w:val="008255D8"/>
    <w:rsid w:val="00825EF3"/>
    <w:rsid w:val="008260DA"/>
    <w:rsid w:val="008262B8"/>
    <w:rsid w:val="00826373"/>
    <w:rsid w:val="0082639B"/>
    <w:rsid w:val="008264EB"/>
    <w:rsid w:val="008268AC"/>
    <w:rsid w:val="00826B1C"/>
    <w:rsid w:val="00826CA4"/>
    <w:rsid w:val="00826D87"/>
    <w:rsid w:val="00826E6D"/>
    <w:rsid w:val="00826EE2"/>
    <w:rsid w:val="00826FEF"/>
    <w:rsid w:val="008270CB"/>
    <w:rsid w:val="0082743F"/>
    <w:rsid w:val="00827623"/>
    <w:rsid w:val="008277C6"/>
    <w:rsid w:val="00827AE5"/>
    <w:rsid w:val="00827D98"/>
    <w:rsid w:val="00827E08"/>
    <w:rsid w:val="00827F33"/>
    <w:rsid w:val="00827FB5"/>
    <w:rsid w:val="008300AA"/>
    <w:rsid w:val="00830219"/>
    <w:rsid w:val="00830352"/>
    <w:rsid w:val="00830448"/>
    <w:rsid w:val="008304C7"/>
    <w:rsid w:val="00830580"/>
    <w:rsid w:val="00830885"/>
    <w:rsid w:val="0083098B"/>
    <w:rsid w:val="00830B28"/>
    <w:rsid w:val="00830D8A"/>
    <w:rsid w:val="00830F60"/>
    <w:rsid w:val="0083113D"/>
    <w:rsid w:val="00831145"/>
    <w:rsid w:val="0083115C"/>
    <w:rsid w:val="008312BF"/>
    <w:rsid w:val="00831492"/>
    <w:rsid w:val="00831526"/>
    <w:rsid w:val="008315EC"/>
    <w:rsid w:val="00831691"/>
    <w:rsid w:val="0083174F"/>
    <w:rsid w:val="008317BF"/>
    <w:rsid w:val="00831820"/>
    <w:rsid w:val="008318D9"/>
    <w:rsid w:val="00831A9D"/>
    <w:rsid w:val="00831B3D"/>
    <w:rsid w:val="00831B41"/>
    <w:rsid w:val="00831B8C"/>
    <w:rsid w:val="0083205B"/>
    <w:rsid w:val="0083213E"/>
    <w:rsid w:val="008322DD"/>
    <w:rsid w:val="00832308"/>
    <w:rsid w:val="00832653"/>
    <w:rsid w:val="008327B5"/>
    <w:rsid w:val="008328E0"/>
    <w:rsid w:val="00832969"/>
    <w:rsid w:val="00832BCA"/>
    <w:rsid w:val="00832C3D"/>
    <w:rsid w:val="00832D22"/>
    <w:rsid w:val="00832E20"/>
    <w:rsid w:val="00832F8F"/>
    <w:rsid w:val="008330D8"/>
    <w:rsid w:val="008331BF"/>
    <w:rsid w:val="00833307"/>
    <w:rsid w:val="008337FA"/>
    <w:rsid w:val="00833819"/>
    <w:rsid w:val="00833BAB"/>
    <w:rsid w:val="00833DE3"/>
    <w:rsid w:val="00834138"/>
    <w:rsid w:val="008343BA"/>
    <w:rsid w:val="008345A7"/>
    <w:rsid w:val="00834699"/>
    <w:rsid w:val="00834A84"/>
    <w:rsid w:val="00834EA4"/>
    <w:rsid w:val="00835285"/>
    <w:rsid w:val="00835305"/>
    <w:rsid w:val="008354B6"/>
    <w:rsid w:val="00835635"/>
    <w:rsid w:val="0083595C"/>
    <w:rsid w:val="00835E99"/>
    <w:rsid w:val="00835FBD"/>
    <w:rsid w:val="00836127"/>
    <w:rsid w:val="008361D8"/>
    <w:rsid w:val="008363AA"/>
    <w:rsid w:val="008366DF"/>
    <w:rsid w:val="00836949"/>
    <w:rsid w:val="00836C24"/>
    <w:rsid w:val="00837109"/>
    <w:rsid w:val="008373C6"/>
    <w:rsid w:val="0083764A"/>
    <w:rsid w:val="0083771F"/>
    <w:rsid w:val="008378EE"/>
    <w:rsid w:val="00837923"/>
    <w:rsid w:val="00837A8D"/>
    <w:rsid w:val="00837AF1"/>
    <w:rsid w:val="00837B22"/>
    <w:rsid w:val="008401A8"/>
    <w:rsid w:val="008406A9"/>
    <w:rsid w:val="008406B8"/>
    <w:rsid w:val="00840723"/>
    <w:rsid w:val="0084076D"/>
    <w:rsid w:val="008408BB"/>
    <w:rsid w:val="00840DF1"/>
    <w:rsid w:val="00840E3F"/>
    <w:rsid w:val="00840F11"/>
    <w:rsid w:val="00840F3B"/>
    <w:rsid w:val="00841247"/>
    <w:rsid w:val="008414AF"/>
    <w:rsid w:val="008414DD"/>
    <w:rsid w:val="00841700"/>
    <w:rsid w:val="00841F90"/>
    <w:rsid w:val="008420C8"/>
    <w:rsid w:val="008420DE"/>
    <w:rsid w:val="008421A5"/>
    <w:rsid w:val="00842258"/>
    <w:rsid w:val="00842422"/>
    <w:rsid w:val="00842467"/>
    <w:rsid w:val="00842784"/>
    <w:rsid w:val="00842BA7"/>
    <w:rsid w:val="00842D6C"/>
    <w:rsid w:val="0084333F"/>
    <w:rsid w:val="00843CAF"/>
    <w:rsid w:val="00843DE6"/>
    <w:rsid w:val="00843E8B"/>
    <w:rsid w:val="00843F59"/>
    <w:rsid w:val="00844087"/>
    <w:rsid w:val="00844318"/>
    <w:rsid w:val="0084449D"/>
    <w:rsid w:val="008445FC"/>
    <w:rsid w:val="00844669"/>
    <w:rsid w:val="008449AB"/>
    <w:rsid w:val="008449E6"/>
    <w:rsid w:val="00844B91"/>
    <w:rsid w:val="00844DB1"/>
    <w:rsid w:val="00845343"/>
    <w:rsid w:val="00845412"/>
    <w:rsid w:val="0084560D"/>
    <w:rsid w:val="00845762"/>
    <w:rsid w:val="008458FD"/>
    <w:rsid w:val="00845B0A"/>
    <w:rsid w:val="00845F7D"/>
    <w:rsid w:val="00846000"/>
    <w:rsid w:val="008460D6"/>
    <w:rsid w:val="00846348"/>
    <w:rsid w:val="00846387"/>
    <w:rsid w:val="00846424"/>
    <w:rsid w:val="0084647E"/>
    <w:rsid w:val="0084670A"/>
    <w:rsid w:val="0084674F"/>
    <w:rsid w:val="008467DA"/>
    <w:rsid w:val="00846A7E"/>
    <w:rsid w:val="00846CD4"/>
    <w:rsid w:val="00846E69"/>
    <w:rsid w:val="0084721B"/>
    <w:rsid w:val="00847478"/>
    <w:rsid w:val="008479D5"/>
    <w:rsid w:val="008479DD"/>
    <w:rsid w:val="00847C39"/>
    <w:rsid w:val="00847F2D"/>
    <w:rsid w:val="00850128"/>
    <w:rsid w:val="0085013A"/>
    <w:rsid w:val="0085023A"/>
    <w:rsid w:val="008503E3"/>
    <w:rsid w:val="00850513"/>
    <w:rsid w:val="00850517"/>
    <w:rsid w:val="00850545"/>
    <w:rsid w:val="0085094E"/>
    <w:rsid w:val="00850A09"/>
    <w:rsid w:val="00850C1D"/>
    <w:rsid w:val="00850FDB"/>
    <w:rsid w:val="00851164"/>
    <w:rsid w:val="00851383"/>
    <w:rsid w:val="00851633"/>
    <w:rsid w:val="0085167A"/>
    <w:rsid w:val="008516B6"/>
    <w:rsid w:val="00851AF6"/>
    <w:rsid w:val="00851CA4"/>
    <w:rsid w:val="008522BC"/>
    <w:rsid w:val="00852580"/>
    <w:rsid w:val="00852772"/>
    <w:rsid w:val="00852789"/>
    <w:rsid w:val="008528D5"/>
    <w:rsid w:val="00852AA1"/>
    <w:rsid w:val="00852F2F"/>
    <w:rsid w:val="008530BE"/>
    <w:rsid w:val="00853107"/>
    <w:rsid w:val="0085311F"/>
    <w:rsid w:val="008532F0"/>
    <w:rsid w:val="008532F3"/>
    <w:rsid w:val="0085335B"/>
    <w:rsid w:val="008533C2"/>
    <w:rsid w:val="00853616"/>
    <w:rsid w:val="0085372D"/>
    <w:rsid w:val="00853ABF"/>
    <w:rsid w:val="00853CED"/>
    <w:rsid w:val="00853EF3"/>
    <w:rsid w:val="00854052"/>
    <w:rsid w:val="00854312"/>
    <w:rsid w:val="00854375"/>
    <w:rsid w:val="00854881"/>
    <w:rsid w:val="008548E9"/>
    <w:rsid w:val="00854BAD"/>
    <w:rsid w:val="00854CB3"/>
    <w:rsid w:val="00854D83"/>
    <w:rsid w:val="00854DDC"/>
    <w:rsid w:val="00854E41"/>
    <w:rsid w:val="00854EF9"/>
    <w:rsid w:val="00855121"/>
    <w:rsid w:val="00855234"/>
    <w:rsid w:val="00855256"/>
    <w:rsid w:val="00855274"/>
    <w:rsid w:val="00855325"/>
    <w:rsid w:val="008553AA"/>
    <w:rsid w:val="00855643"/>
    <w:rsid w:val="008556C4"/>
    <w:rsid w:val="00855A46"/>
    <w:rsid w:val="00855B2B"/>
    <w:rsid w:val="00855CD2"/>
    <w:rsid w:val="00855CE5"/>
    <w:rsid w:val="00855D6F"/>
    <w:rsid w:val="00855EB6"/>
    <w:rsid w:val="00855FA1"/>
    <w:rsid w:val="008560B8"/>
    <w:rsid w:val="008561D8"/>
    <w:rsid w:val="008563C2"/>
    <w:rsid w:val="008565E8"/>
    <w:rsid w:val="0085660D"/>
    <w:rsid w:val="0085663F"/>
    <w:rsid w:val="0085665D"/>
    <w:rsid w:val="00856846"/>
    <w:rsid w:val="008568AF"/>
    <w:rsid w:val="0085692C"/>
    <w:rsid w:val="00856940"/>
    <w:rsid w:val="00856DB9"/>
    <w:rsid w:val="00856EB3"/>
    <w:rsid w:val="00856F4A"/>
    <w:rsid w:val="00856FBF"/>
    <w:rsid w:val="0085715D"/>
    <w:rsid w:val="0085760D"/>
    <w:rsid w:val="0085779E"/>
    <w:rsid w:val="00857B74"/>
    <w:rsid w:val="00857BF6"/>
    <w:rsid w:val="00857E53"/>
    <w:rsid w:val="00857F1B"/>
    <w:rsid w:val="008602D5"/>
    <w:rsid w:val="00860301"/>
    <w:rsid w:val="008605BE"/>
    <w:rsid w:val="0086063D"/>
    <w:rsid w:val="008606D1"/>
    <w:rsid w:val="0086098F"/>
    <w:rsid w:val="008609B7"/>
    <w:rsid w:val="00860A4E"/>
    <w:rsid w:val="00860A79"/>
    <w:rsid w:val="00860B5A"/>
    <w:rsid w:val="00860BC7"/>
    <w:rsid w:val="00860C03"/>
    <w:rsid w:val="00861058"/>
    <w:rsid w:val="008611F2"/>
    <w:rsid w:val="00861206"/>
    <w:rsid w:val="00861755"/>
    <w:rsid w:val="008617BA"/>
    <w:rsid w:val="00861858"/>
    <w:rsid w:val="00861CE1"/>
    <w:rsid w:val="00861E6B"/>
    <w:rsid w:val="00861F35"/>
    <w:rsid w:val="00861F52"/>
    <w:rsid w:val="00862073"/>
    <w:rsid w:val="00862241"/>
    <w:rsid w:val="00862351"/>
    <w:rsid w:val="008623C2"/>
    <w:rsid w:val="00862838"/>
    <w:rsid w:val="0086290E"/>
    <w:rsid w:val="00862911"/>
    <w:rsid w:val="00862A54"/>
    <w:rsid w:val="00862BB5"/>
    <w:rsid w:val="00862E9E"/>
    <w:rsid w:val="00862FB5"/>
    <w:rsid w:val="00863032"/>
    <w:rsid w:val="008631A3"/>
    <w:rsid w:val="008632B5"/>
    <w:rsid w:val="0086339E"/>
    <w:rsid w:val="0086376F"/>
    <w:rsid w:val="008637A1"/>
    <w:rsid w:val="008637CB"/>
    <w:rsid w:val="008637D8"/>
    <w:rsid w:val="008637EA"/>
    <w:rsid w:val="00863863"/>
    <w:rsid w:val="00863AA4"/>
    <w:rsid w:val="00863B53"/>
    <w:rsid w:val="00863EBE"/>
    <w:rsid w:val="00863F5C"/>
    <w:rsid w:val="008642AD"/>
    <w:rsid w:val="008642BB"/>
    <w:rsid w:val="008643FE"/>
    <w:rsid w:val="00864498"/>
    <w:rsid w:val="00864676"/>
    <w:rsid w:val="008646A1"/>
    <w:rsid w:val="008646D4"/>
    <w:rsid w:val="0086472D"/>
    <w:rsid w:val="00864A98"/>
    <w:rsid w:val="00864B5A"/>
    <w:rsid w:val="00864B86"/>
    <w:rsid w:val="00864F5B"/>
    <w:rsid w:val="00864F7C"/>
    <w:rsid w:val="00864FFD"/>
    <w:rsid w:val="00865022"/>
    <w:rsid w:val="00865107"/>
    <w:rsid w:val="00865176"/>
    <w:rsid w:val="00865308"/>
    <w:rsid w:val="00865451"/>
    <w:rsid w:val="008654F5"/>
    <w:rsid w:val="00865592"/>
    <w:rsid w:val="00865AC7"/>
    <w:rsid w:val="00865C48"/>
    <w:rsid w:val="00865E57"/>
    <w:rsid w:val="00865EB3"/>
    <w:rsid w:val="0086628E"/>
    <w:rsid w:val="00866459"/>
    <w:rsid w:val="008665F3"/>
    <w:rsid w:val="0086666B"/>
    <w:rsid w:val="008667E0"/>
    <w:rsid w:val="008667FA"/>
    <w:rsid w:val="00866806"/>
    <w:rsid w:val="0086687D"/>
    <w:rsid w:val="00866B38"/>
    <w:rsid w:val="00866BFC"/>
    <w:rsid w:val="00866C60"/>
    <w:rsid w:val="00866CA2"/>
    <w:rsid w:val="00866D6D"/>
    <w:rsid w:val="00866DAB"/>
    <w:rsid w:val="00866DD5"/>
    <w:rsid w:val="00866E2F"/>
    <w:rsid w:val="00866F26"/>
    <w:rsid w:val="0086717D"/>
    <w:rsid w:val="0086735D"/>
    <w:rsid w:val="008673DA"/>
    <w:rsid w:val="00867498"/>
    <w:rsid w:val="00867692"/>
    <w:rsid w:val="00867846"/>
    <w:rsid w:val="0086791C"/>
    <w:rsid w:val="00867FB1"/>
    <w:rsid w:val="0087006D"/>
    <w:rsid w:val="008700E9"/>
    <w:rsid w:val="008701ED"/>
    <w:rsid w:val="00870542"/>
    <w:rsid w:val="008707C6"/>
    <w:rsid w:val="00870844"/>
    <w:rsid w:val="008708DA"/>
    <w:rsid w:val="00870A5F"/>
    <w:rsid w:val="00870B42"/>
    <w:rsid w:val="00870FE6"/>
    <w:rsid w:val="008714AA"/>
    <w:rsid w:val="008714CA"/>
    <w:rsid w:val="0087162E"/>
    <w:rsid w:val="00871703"/>
    <w:rsid w:val="00871803"/>
    <w:rsid w:val="00871C1A"/>
    <w:rsid w:val="00871DD0"/>
    <w:rsid w:val="00871E33"/>
    <w:rsid w:val="00871E8F"/>
    <w:rsid w:val="00871EB0"/>
    <w:rsid w:val="00871F1D"/>
    <w:rsid w:val="008720AB"/>
    <w:rsid w:val="00872214"/>
    <w:rsid w:val="00872495"/>
    <w:rsid w:val="008727D6"/>
    <w:rsid w:val="00872841"/>
    <w:rsid w:val="008729F8"/>
    <w:rsid w:val="00872DC0"/>
    <w:rsid w:val="008736EA"/>
    <w:rsid w:val="00873799"/>
    <w:rsid w:val="008738C5"/>
    <w:rsid w:val="0087390F"/>
    <w:rsid w:val="008739EA"/>
    <w:rsid w:val="008739F1"/>
    <w:rsid w:val="00873AC9"/>
    <w:rsid w:val="00873BA2"/>
    <w:rsid w:val="00873CE5"/>
    <w:rsid w:val="00873E9C"/>
    <w:rsid w:val="0087430D"/>
    <w:rsid w:val="008744FC"/>
    <w:rsid w:val="0087455B"/>
    <w:rsid w:val="00874573"/>
    <w:rsid w:val="008746CC"/>
    <w:rsid w:val="0087486A"/>
    <w:rsid w:val="008749BB"/>
    <w:rsid w:val="00874AD9"/>
    <w:rsid w:val="00874C4D"/>
    <w:rsid w:val="00874C50"/>
    <w:rsid w:val="00874C82"/>
    <w:rsid w:val="00874CD9"/>
    <w:rsid w:val="00874D1E"/>
    <w:rsid w:val="00874DEC"/>
    <w:rsid w:val="00874FBD"/>
    <w:rsid w:val="00875084"/>
    <w:rsid w:val="0087525E"/>
    <w:rsid w:val="008756C4"/>
    <w:rsid w:val="008756F4"/>
    <w:rsid w:val="0087571F"/>
    <w:rsid w:val="0087583F"/>
    <w:rsid w:val="00875896"/>
    <w:rsid w:val="008759E8"/>
    <w:rsid w:val="00875DCC"/>
    <w:rsid w:val="00875F87"/>
    <w:rsid w:val="0087601B"/>
    <w:rsid w:val="00876174"/>
    <w:rsid w:val="0087625A"/>
    <w:rsid w:val="00876288"/>
    <w:rsid w:val="008762CA"/>
    <w:rsid w:val="008762CE"/>
    <w:rsid w:val="008763FD"/>
    <w:rsid w:val="00876410"/>
    <w:rsid w:val="0087677D"/>
    <w:rsid w:val="00876867"/>
    <w:rsid w:val="0087707D"/>
    <w:rsid w:val="008774DA"/>
    <w:rsid w:val="0087757D"/>
    <w:rsid w:val="00877B30"/>
    <w:rsid w:val="00877C43"/>
    <w:rsid w:val="00877C4B"/>
    <w:rsid w:val="00877C77"/>
    <w:rsid w:val="00877E14"/>
    <w:rsid w:val="00877E54"/>
    <w:rsid w:val="00877FC1"/>
    <w:rsid w:val="00877FDE"/>
    <w:rsid w:val="008803BA"/>
    <w:rsid w:val="0088063B"/>
    <w:rsid w:val="0088067B"/>
    <w:rsid w:val="0088080C"/>
    <w:rsid w:val="00880825"/>
    <w:rsid w:val="008808AF"/>
    <w:rsid w:val="00880AEF"/>
    <w:rsid w:val="00880B77"/>
    <w:rsid w:val="00880C57"/>
    <w:rsid w:val="008814B5"/>
    <w:rsid w:val="008814FF"/>
    <w:rsid w:val="008815F0"/>
    <w:rsid w:val="0088190B"/>
    <w:rsid w:val="00881990"/>
    <w:rsid w:val="00881BFA"/>
    <w:rsid w:val="00881CE1"/>
    <w:rsid w:val="00881EE9"/>
    <w:rsid w:val="0088219D"/>
    <w:rsid w:val="008823A9"/>
    <w:rsid w:val="008823F4"/>
    <w:rsid w:val="00882671"/>
    <w:rsid w:val="0088274D"/>
    <w:rsid w:val="008827C6"/>
    <w:rsid w:val="0088297B"/>
    <w:rsid w:val="00882B2E"/>
    <w:rsid w:val="00882DA7"/>
    <w:rsid w:val="00882DD7"/>
    <w:rsid w:val="00882F42"/>
    <w:rsid w:val="00883083"/>
    <w:rsid w:val="008832AE"/>
    <w:rsid w:val="0088333F"/>
    <w:rsid w:val="0088379A"/>
    <w:rsid w:val="00883812"/>
    <w:rsid w:val="0088394E"/>
    <w:rsid w:val="00883B05"/>
    <w:rsid w:val="00883E15"/>
    <w:rsid w:val="00883EFD"/>
    <w:rsid w:val="00884015"/>
    <w:rsid w:val="00884144"/>
    <w:rsid w:val="00884331"/>
    <w:rsid w:val="008844E1"/>
    <w:rsid w:val="008847B3"/>
    <w:rsid w:val="008847D6"/>
    <w:rsid w:val="00884C16"/>
    <w:rsid w:val="00884E23"/>
    <w:rsid w:val="00884F48"/>
    <w:rsid w:val="00884F9B"/>
    <w:rsid w:val="00885070"/>
    <w:rsid w:val="008852C1"/>
    <w:rsid w:val="008858E9"/>
    <w:rsid w:val="008859E7"/>
    <w:rsid w:val="00885AD2"/>
    <w:rsid w:val="00885BD4"/>
    <w:rsid w:val="00885BEC"/>
    <w:rsid w:val="00885CA2"/>
    <w:rsid w:val="00885F31"/>
    <w:rsid w:val="0088614D"/>
    <w:rsid w:val="00886232"/>
    <w:rsid w:val="0088626A"/>
    <w:rsid w:val="008865C4"/>
    <w:rsid w:val="00886708"/>
    <w:rsid w:val="00886958"/>
    <w:rsid w:val="00886AE2"/>
    <w:rsid w:val="00886CA6"/>
    <w:rsid w:val="00886DEA"/>
    <w:rsid w:val="00887A0E"/>
    <w:rsid w:val="00887D79"/>
    <w:rsid w:val="008900EB"/>
    <w:rsid w:val="00890175"/>
    <w:rsid w:val="00890238"/>
    <w:rsid w:val="00890332"/>
    <w:rsid w:val="00890377"/>
    <w:rsid w:val="00890531"/>
    <w:rsid w:val="00890563"/>
    <w:rsid w:val="008907AC"/>
    <w:rsid w:val="0089090F"/>
    <w:rsid w:val="008909C2"/>
    <w:rsid w:val="00890A6F"/>
    <w:rsid w:val="00890AFE"/>
    <w:rsid w:val="00890B5A"/>
    <w:rsid w:val="00890BD2"/>
    <w:rsid w:val="00891002"/>
    <w:rsid w:val="00891080"/>
    <w:rsid w:val="00891119"/>
    <w:rsid w:val="0089145E"/>
    <w:rsid w:val="008915BA"/>
    <w:rsid w:val="008916D7"/>
    <w:rsid w:val="008917D6"/>
    <w:rsid w:val="008918C7"/>
    <w:rsid w:val="0089191A"/>
    <w:rsid w:val="0089191D"/>
    <w:rsid w:val="00891A0C"/>
    <w:rsid w:val="00891B40"/>
    <w:rsid w:val="00891D78"/>
    <w:rsid w:val="00891DF8"/>
    <w:rsid w:val="00891E4E"/>
    <w:rsid w:val="00891E97"/>
    <w:rsid w:val="0089222F"/>
    <w:rsid w:val="00892696"/>
    <w:rsid w:val="008927B4"/>
    <w:rsid w:val="0089288D"/>
    <w:rsid w:val="008929B6"/>
    <w:rsid w:val="00892A00"/>
    <w:rsid w:val="00892A84"/>
    <w:rsid w:val="00892E5D"/>
    <w:rsid w:val="00892FCB"/>
    <w:rsid w:val="00893113"/>
    <w:rsid w:val="00893413"/>
    <w:rsid w:val="00893524"/>
    <w:rsid w:val="00893987"/>
    <w:rsid w:val="00893A1A"/>
    <w:rsid w:val="00893C16"/>
    <w:rsid w:val="00894186"/>
    <w:rsid w:val="00894203"/>
    <w:rsid w:val="0089431D"/>
    <w:rsid w:val="00894397"/>
    <w:rsid w:val="00894447"/>
    <w:rsid w:val="00894596"/>
    <w:rsid w:val="0089472D"/>
    <w:rsid w:val="0089473A"/>
    <w:rsid w:val="008947A5"/>
    <w:rsid w:val="0089490A"/>
    <w:rsid w:val="008951FA"/>
    <w:rsid w:val="0089535A"/>
    <w:rsid w:val="00895588"/>
    <w:rsid w:val="00895724"/>
    <w:rsid w:val="008958A4"/>
    <w:rsid w:val="00895D66"/>
    <w:rsid w:val="00895D6D"/>
    <w:rsid w:val="00895DEA"/>
    <w:rsid w:val="008960A2"/>
    <w:rsid w:val="008960A9"/>
    <w:rsid w:val="008960E2"/>
    <w:rsid w:val="00896166"/>
    <w:rsid w:val="00896282"/>
    <w:rsid w:val="0089672C"/>
    <w:rsid w:val="00896AFD"/>
    <w:rsid w:val="00896CA1"/>
    <w:rsid w:val="00896D47"/>
    <w:rsid w:val="00896D5C"/>
    <w:rsid w:val="00896DAA"/>
    <w:rsid w:val="00896FD5"/>
    <w:rsid w:val="00896FF5"/>
    <w:rsid w:val="0089719E"/>
    <w:rsid w:val="0089767F"/>
    <w:rsid w:val="008976A8"/>
    <w:rsid w:val="00897779"/>
    <w:rsid w:val="00897B75"/>
    <w:rsid w:val="00897D48"/>
    <w:rsid w:val="008A0066"/>
    <w:rsid w:val="008A0463"/>
    <w:rsid w:val="008A051B"/>
    <w:rsid w:val="008A078C"/>
    <w:rsid w:val="008A0AF4"/>
    <w:rsid w:val="008A0BB4"/>
    <w:rsid w:val="008A0BD3"/>
    <w:rsid w:val="008A0E0C"/>
    <w:rsid w:val="008A0E34"/>
    <w:rsid w:val="008A0E74"/>
    <w:rsid w:val="008A0FA5"/>
    <w:rsid w:val="008A1214"/>
    <w:rsid w:val="008A14D1"/>
    <w:rsid w:val="008A153F"/>
    <w:rsid w:val="008A1734"/>
    <w:rsid w:val="008A1A56"/>
    <w:rsid w:val="008A1A86"/>
    <w:rsid w:val="008A1B1F"/>
    <w:rsid w:val="008A1B60"/>
    <w:rsid w:val="008A1C46"/>
    <w:rsid w:val="008A1EB6"/>
    <w:rsid w:val="008A21F2"/>
    <w:rsid w:val="008A265F"/>
    <w:rsid w:val="008A2863"/>
    <w:rsid w:val="008A28FC"/>
    <w:rsid w:val="008A29AB"/>
    <w:rsid w:val="008A29FE"/>
    <w:rsid w:val="008A2A59"/>
    <w:rsid w:val="008A2B42"/>
    <w:rsid w:val="008A2F7D"/>
    <w:rsid w:val="008A2F8D"/>
    <w:rsid w:val="008A30DA"/>
    <w:rsid w:val="008A31A9"/>
    <w:rsid w:val="008A31E8"/>
    <w:rsid w:val="008A3359"/>
    <w:rsid w:val="008A353A"/>
    <w:rsid w:val="008A35F1"/>
    <w:rsid w:val="008A37BB"/>
    <w:rsid w:val="008A37E9"/>
    <w:rsid w:val="008A3803"/>
    <w:rsid w:val="008A3961"/>
    <w:rsid w:val="008A3CCA"/>
    <w:rsid w:val="008A3D5F"/>
    <w:rsid w:val="008A436E"/>
    <w:rsid w:val="008A45D7"/>
    <w:rsid w:val="008A46D1"/>
    <w:rsid w:val="008A49EB"/>
    <w:rsid w:val="008A4A71"/>
    <w:rsid w:val="008A4AD4"/>
    <w:rsid w:val="008A4C27"/>
    <w:rsid w:val="008A4CE3"/>
    <w:rsid w:val="008A5094"/>
    <w:rsid w:val="008A50FE"/>
    <w:rsid w:val="008A53A6"/>
    <w:rsid w:val="008A562E"/>
    <w:rsid w:val="008A572B"/>
    <w:rsid w:val="008A5846"/>
    <w:rsid w:val="008A5A48"/>
    <w:rsid w:val="008A5A91"/>
    <w:rsid w:val="008A5BE6"/>
    <w:rsid w:val="008A6065"/>
    <w:rsid w:val="008A6070"/>
    <w:rsid w:val="008A617A"/>
    <w:rsid w:val="008A6239"/>
    <w:rsid w:val="008A62BE"/>
    <w:rsid w:val="008A6441"/>
    <w:rsid w:val="008A6871"/>
    <w:rsid w:val="008A699D"/>
    <w:rsid w:val="008A6A96"/>
    <w:rsid w:val="008A6B01"/>
    <w:rsid w:val="008A6BE2"/>
    <w:rsid w:val="008A6BF8"/>
    <w:rsid w:val="008A6D01"/>
    <w:rsid w:val="008A6DF3"/>
    <w:rsid w:val="008A7264"/>
    <w:rsid w:val="008A73A1"/>
    <w:rsid w:val="008A75D8"/>
    <w:rsid w:val="008A762D"/>
    <w:rsid w:val="008A781E"/>
    <w:rsid w:val="008A7869"/>
    <w:rsid w:val="008A7BA0"/>
    <w:rsid w:val="008A7FD0"/>
    <w:rsid w:val="008B0292"/>
    <w:rsid w:val="008B059B"/>
    <w:rsid w:val="008B0692"/>
    <w:rsid w:val="008B06D3"/>
    <w:rsid w:val="008B0779"/>
    <w:rsid w:val="008B0868"/>
    <w:rsid w:val="008B0888"/>
    <w:rsid w:val="008B0B29"/>
    <w:rsid w:val="008B0BED"/>
    <w:rsid w:val="008B0DC5"/>
    <w:rsid w:val="008B0EC3"/>
    <w:rsid w:val="008B0FDF"/>
    <w:rsid w:val="008B0FE6"/>
    <w:rsid w:val="008B11A4"/>
    <w:rsid w:val="008B1246"/>
    <w:rsid w:val="008B12F6"/>
    <w:rsid w:val="008B15C4"/>
    <w:rsid w:val="008B15E7"/>
    <w:rsid w:val="008B16E7"/>
    <w:rsid w:val="008B17FD"/>
    <w:rsid w:val="008B1815"/>
    <w:rsid w:val="008B1A2B"/>
    <w:rsid w:val="008B1AAE"/>
    <w:rsid w:val="008B1CDB"/>
    <w:rsid w:val="008B1EA9"/>
    <w:rsid w:val="008B1FDA"/>
    <w:rsid w:val="008B2095"/>
    <w:rsid w:val="008B2495"/>
    <w:rsid w:val="008B2819"/>
    <w:rsid w:val="008B28F0"/>
    <w:rsid w:val="008B2BF8"/>
    <w:rsid w:val="008B2C9A"/>
    <w:rsid w:val="008B2E51"/>
    <w:rsid w:val="008B2F43"/>
    <w:rsid w:val="008B2F57"/>
    <w:rsid w:val="008B308D"/>
    <w:rsid w:val="008B3132"/>
    <w:rsid w:val="008B3329"/>
    <w:rsid w:val="008B33C7"/>
    <w:rsid w:val="008B3444"/>
    <w:rsid w:val="008B35A5"/>
    <w:rsid w:val="008B3B93"/>
    <w:rsid w:val="008B3D01"/>
    <w:rsid w:val="008B3E0B"/>
    <w:rsid w:val="008B3F15"/>
    <w:rsid w:val="008B418B"/>
    <w:rsid w:val="008B426B"/>
    <w:rsid w:val="008B436E"/>
    <w:rsid w:val="008B436F"/>
    <w:rsid w:val="008B4511"/>
    <w:rsid w:val="008B463F"/>
    <w:rsid w:val="008B4916"/>
    <w:rsid w:val="008B494D"/>
    <w:rsid w:val="008B4A61"/>
    <w:rsid w:val="008B4A74"/>
    <w:rsid w:val="008B4CC8"/>
    <w:rsid w:val="008B4E34"/>
    <w:rsid w:val="008B5030"/>
    <w:rsid w:val="008B5219"/>
    <w:rsid w:val="008B53B0"/>
    <w:rsid w:val="008B55FE"/>
    <w:rsid w:val="008B572A"/>
    <w:rsid w:val="008B5C85"/>
    <w:rsid w:val="008B5E69"/>
    <w:rsid w:val="008B615D"/>
    <w:rsid w:val="008B64B6"/>
    <w:rsid w:val="008B65C3"/>
    <w:rsid w:val="008B6703"/>
    <w:rsid w:val="008B67F6"/>
    <w:rsid w:val="008B6A91"/>
    <w:rsid w:val="008B6AA2"/>
    <w:rsid w:val="008B6C32"/>
    <w:rsid w:val="008B6DAE"/>
    <w:rsid w:val="008B6DDD"/>
    <w:rsid w:val="008B6EB0"/>
    <w:rsid w:val="008B71E1"/>
    <w:rsid w:val="008B7318"/>
    <w:rsid w:val="008B732B"/>
    <w:rsid w:val="008B7346"/>
    <w:rsid w:val="008B758D"/>
    <w:rsid w:val="008B7691"/>
    <w:rsid w:val="008B78B6"/>
    <w:rsid w:val="008B7934"/>
    <w:rsid w:val="008B79CF"/>
    <w:rsid w:val="008B7C4C"/>
    <w:rsid w:val="008C03F9"/>
    <w:rsid w:val="008C04D2"/>
    <w:rsid w:val="008C0599"/>
    <w:rsid w:val="008C06AB"/>
    <w:rsid w:val="008C06C9"/>
    <w:rsid w:val="008C073F"/>
    <w:rsid w:val="008C0941"/>
    <w:rsid w:val="008C0AA7"/>
    <w:rsid w:val="008C0AFF"/>
    <w:rsid w:val="008C0F18"/>
    <w:rsid w:val="008C109A"/>
    <w:rsid w:val="008C12E9"/>
    <w:rsid w:val="008C13C3"/>
    <w:rsid w:val="008C165A"/>
    <w:rsid w:val="008C1AD7"/>
    <w:rsid w:val="008C1CA6"/>
    <w:rsid w:val="008C1E92"/>
    <w:rsid w:val="008C1FA0"/>
    <w:rsid w:val="008C2049"/>
    <w:rsid w:val="008C2079"/>
    <w:rsid w:val="008C2323"/>
    <w:rsid w:val="008C2408"/>
    <w:rsid w:val="008C24B6"/>
    <w:rsid w:val="008C259F"/>
    <w:rsid w:val="008C27C4"/>
    <w:rsid w:val="008C2854"/>
    <w:rsid w:val="008C2BBD"/>
    <w:rsid w:val="008C2D09"/>
    <w:rsid w:val="008C2EB5"/>
    <w:rsid w:val="008C2F40"/>
    <w:rsid w:val="008C312D"/>
    <w:rsid w:val="008C3134"/>
    <w:rsid w:val="008C315A"/>
    <w:rsid w:val="008C31A1"/>
    <w:rsid w:val="008C31C7"/>
    <w:rsid w:val="008C31FE"/>
    <w:rsid w:val="008C32EE"/>
    <w:rsid w:val="008C36D0"/>
    <w:rsid w:val="008C3A35"/>
    <w:rsid w:val="008C3AE6"/>
    <w:rsid w:val="008C3B40"/>
    <w:rsid w:val="008C3B57"/>
    <w:rsid w:val="008C3DCC"/>
    <w:rsid w:val="008C3E3A"/>
    <w:rsid w:val="008C4081"/>
    <w:rsid w:val="008C40AC"/>
    <w:rsid w:val="008C414A"/>
    <w:rsid w:val="008C46FA"/>
    <w:rsid w:val="008C4863"/>
    <w:rsid w:val="008C4BA2"/>
    <w:rsid w:val="008C4BB6"/>
    <w:rsid w:val="008C4C6C"/>
    <w:rsid w:val="008C4CE1"/>
    <w:rsid w:val="008C4D77"/>
    <w:rsid w:val="008C52E9"/>
    <w:rsid w:val="008C54DE"/>
    <w:rsid w:val="008C5798"/>
    <w:rsid w:val="008C59A5"/>
    <w:rsid w:val="008C5E3F"/>
    <w:rsid w:val="008C5EBE"/>
    <w:rsid w:val="008C5F2D"/>
    <w:rsid w:val="008C5FB0"/>
    <w:rsid w:val="008C6112"/>
    <w:rsid w:val="008C6128"/>
    <w:rsid w:val="008C612B"/>
    <w:rsid w:val="008C61DF"/>
    <w:rsid w:val="008C6223"/>
    <w:rsid w:val="008C63D0"/>
    <w:rsid w:val="008C656D"/>
    <w:rsid w:val="008C67C4"/>
    <w:rsid w:val="008C6888"/>
    <w:rsid w:val="008C689D"/>
    <w:rsid w:val="008C69A1"/>
    <w:rsid w:val="008C6A66"/>
    <w:rsid w:val="008C6B1D"/>
    <w:rsid w:val="008C6CDF"/>
    <w:rsid w:val="008C6EB3"/>
    <w:rsid w:val="008C72B0"/>
    <w:rsid w:val="008C73E1"/>
    <w:rsid w:val="008C7726"/>
    <w:rsid w:val="008C78FA"/>
    <w:rsid w:val="008C7919"/>
    <w:rsid w:val="008C79F3"/>
    <w:rsid w:val="008C7C05"/>
    <w:rsid w:val="008C7D55"/>
    <w:rsid w:val="008C7FB1"/>
    <w:rsid w:val="008D016B"/>
    <w:rsid w:val="008D0197"/>
    <w:rsid w:val="008D0383"/>
    <w:rsid w:val="008D03FA"/>
    <w:rsid w:val="008D08DB"/>
    <w:rsid w:val="008D08E6"/>
    <w:rsid w:val="008D094B"/>
    <w:rsid w:val="008D0A65"/>
    <w:rsid w:val="008D0C1C"/>
    <w:rsid w:val="008D122C"/>
    <w:rsid w:val="008D13A8"/>
    <w:rsid w:val="008D140B"/>
    <w:rsid w:val="008D17AE"/>
    <w:rsid w:val="008D186A"/>
    <w:rsid w:val="008D18F6"/>
    <w:rsid w:val="008D1EC4"/>
    <w:rsid w:val="008D2050"/>
    <w:rsid w:val="008D209F"/>
    <w:rsid w:val="008D2144"/>
    <w:rsid w:val="008D2335"/>
    <w:rsid w:val="008D24CA"/>
    <w:rsid w:val="008D256B"/>
    <w:rsid w:val="008D2642"/>
    <w:rsid w:val="008D27CC"/>
    <w:rsid w:val="008D281C"/>
    <w:rsid w:val="008D28A4"/>
    <w:rsid w:val="008D2930"/>
    <w:rsid w:val="008D2981"/>
    <w:rsid w:val="008D2D66"/>
    <w:rsid w:val="008D2F7A"/>
    <w:rsid w:val="008D2FB4"/>
    <w:rsid w:val="008D2FC2"/>
    <w:rsid w:val="008D3051"/>
    <w:rsid w:val="008D3280"/>
    <w:rsid w:val="008D37BA"/>
    <w:rsid w:val="008D3AB8"/>
    <w:rsid w:val="008D3BE4"/>
    <w:rsid w:val="008D3C35"/>
    <w:rsid w:val="008D3FFB"/>
    <w:rsid w:val="008D402C"/>
    <w:rsid w:val="008D41A0"/>
    <w:rsid w:val="008D42B1"/>
    <w:rsid w:val="008D4329"/>
    <w:rsid w:val="008D441D"/>
    <w:rsid w:val="008D45E7"/>
    <w:rsid w:val="008D4919"/>
    <w:rsid w:val="008D4C43"/>
    <w:rsid w:val="008D4CEF"/>
    <w:rsid w:val="008D4F8C"/>
    <w:rsid w:val="008D4FD7"/>
    <w:rsid w:val="008D5147"/>
    <w:rsid w:val="008D5280"/>
    <w:rsid w:val="008D543A"/>
    <w:rsid w:val="008D545B"/>
    <w:rsid w:val="008D5768"/>
    <w:rsid w:val="008D57C1"/>
    <w:rsid w:val="008D5805"/>
    <w:rsid w:val="008D5A27"/>
    <w:rsid w:val="008D5C8C"/>
    <w:rsid w:val="008D5D1C"/>
    <w:rsid w:val="008D5E94"/>
    <w:rsid w:val="008D5F7A"/>
    <w:rsid w:val="008D608E"/>
    <w:rsid w:val="008D63DD"/>
    <w:rsid w:val="008D65A7"/>
    <w:rsid w:val="008D6630"/>
    <w:rsid w:val="008D6B9B"/>
    <w:rsid w:val="008D6D71"/>
    <w:rsid w:val="008D6F79"/>
    <w:rsid w:val="008D7212"/>
    <w:rsid w:val="008D76B1"/>
    <w:rsid w:val="008D76E6"/>
    <w:rsid w:val="008D7997"/>
    <w:rsid w:val="008D7B28"/>
    <w:rsid w:val="008D7CCF"/>
    <w:rsid w:val="008D7DDE"/>
    <w:rsid w:val="008E0179"/>
    <w:rsid w:val="008E03D9"/>
    <w:rsid w:val="008E03E8"/>
    <w:rsid w:val="008E0526"/>
    <w:rsid w:val="008E08F5"/>
    <w:rsid w:val="008E0966"/>
    <w:rsid w:val="008E1084"/>
    <w:rsid w:val="008E10C4"/>
    <w:rsid w:val="008E1154"/>
    <w:rsid w:val="008E1236"/>
    <w:rsid w:val="008E12AC"/>
    <w:rsid w:val="008E136E"/>
    <w:rsid w:val="008E16C7"/>
    <w:rsid w:val="008E19F4"/>
    <w:rsid w:val="008E1C0C"/>
    <w:rsid w:val="008E1C1B"/>
    <w:rsid w:val="008E1DA4"/>
    <w:rsid w:val="008E1DD3"/>
    <w:rsid w:val="008E1F3D"/>
    <w:rsid w:val="008E26DB"/>
    <w:rsid w:val="008E28C1"/>
    <w:rsid w:val="008E28C2"/>
    <w:rsid w:val="008E28C7"/>
    <w:rsid w:val="008E291B"/>
    <w:rsid w:val="008E2A3E"/>
    <w:rsid w:val="008E2AAF"/>
    <w:rsid w:val="008E2F9E"/>
    <w:rsid w:val="008E3084"/>
    <w:rsid w:val="008E321C"/>
    <w:rsid w:val="008E32E6"/>
    <w:rsid w:val="008E351E"/>
    <w:rsid w:val="008E35FA"/>
    <w:rsid w:val="008E3725"/>
    <w:rsid w:val="008E375E"/>
    <w:rsid w:val="008E3826"/>
    <w:rsid w:val="008E38B1"/>
    <w:rsid w:val="008E3A9F"/>
    <w:rsid w:val="008E3AC1"/>
    <w:rsid w:val="008E3C55"/>
    <w:rsid w:val="008E3CBD"/>
    <w:rsid w:val="008E3D0B"/>
    <w:rsid w:val="008E409C"/>
    <w:rsid w:val="008E40F8"/>
    <w:rsid w:val="008E4196"/>
    <w:rsid w:val="008E43BB"/>
    <w:rsid w:val="008E45BC"/>
    <w:rsid w:val="008E46F6"/>
    <w:rsid w:val="008E4733"/>
    <w:rsid w:val="008E4987"/>
    <w:rsid w:val="008E4CE6"/>
    <w:rsid w:val="008E4D7E"/>
    <w:rsid w:val="008E4DE9"/>
    <w:rsid w:val="008E4EC2"/>
    <w:rsid w:val="008E51A7"/>
    <w:rsid w:val="008E5244"/>
    <w:rsid w:val="008E546F"/>
    <w:rsid w:val="008E5688"/>
    <w:rsid w:val="008E569F"/>
    <w:rsid w:val="008E578E"/>
    <w:rsid w:val="008E581E"/>
    <w:rsid w:val="008E5882"/>
    <w:rsid w:val="008E6335"/>
    <w:rsid w:val="008E63EF"/>
    <w:rsid w:val="008E64B6"/>
    <w:rsid w:val="008E6605"/>
    <w:rsid w:val="008E6617"/>
    <w:rsid w:val="008E6867"/>
    <w:rsid w:val="008E68C6"/>
    <w:rsid w:val="008E69BE"/>
    <w:rsid w:val="008E69E0"/>
    <w:rsid w:val="008E6BBC"/>
    <w:rsid w:val="008E6D79"/>
    <w:rsid w:val="008E7009"/>
    <w:rsid w:val="008E70CB"/>
    <w:rsid w:val="008E72E3"/>
    <w:rsid w:val="008E7461"/>
    <w:rsid w:val="008E74AA"/>
    <w:rsid w:val="008E754F"/>
    <w:rsid w:val="008E7581"/>
    <w:rsid w:val="008E75D6"/>
    <w:rsid w:val="008E77F9"/>
    <w:rsid w:val="008E7D66"/>
    <w:rsid w:val="008F0167"/>
    <w:rsid w:val="008F04FE"/>
    <w:rsid w:val="008F050A"/>
    <w:rsid w:val="008F0689"/>
    <w:rsid w:val="008F07AE"/>
    <w:rsid w:val="008F082B"/>
    <w:rsid w:val="008F09A9"/>
    <w:rsid w:val="008F0A64"/>
    <w:rsid w:val="008F0A89"/>
    <w:rsid w:val="008F0C7D"/>
    <w:rsid w:val="008F0E11"/>
    <w:rsid w:val="008F0F26"/>
    <w:rsid w:val="008F0FF0"/>
    <w:rsid w:val="008F130D"/>
    <w:rsid w:val="008F13A2"/>
    <w:rsid w:val="008F13E8"/>
    <w:rsid w:val="008F1493"/>
    <w:rsid w:val="008F1499"/>
    <w:rsid w:val="008F158F"/>
    <w:rsid w:val="008F15C0"/>
    <w:rsid w:val="008F15F6"/>
    <w:rsid w:val="008F18E6"/>
    <w:rsid w:val="008F1E49"/>
    <w:rsid w:val="008F1EB6"/>
    <w:rsid w:val="008F203B"/>
    <w:rsid w:val="008F208D"/>
    <w:rsid w:val="008F212F"/>
    <w:rsid w:val="008F224F"/>
    <w:rsid w:val="008F22D8"/>
    <w:rsid w:val="008F2331"/>
    <w:rsid w:val="008F246A"/>
    <w:rsid w:val="008F28A8"/>
    <w:rsid w:val="008F2AA2"/>
    <w:rsid w:val="008F2CCF"/>
    <w:rsid w:val="008F2EFD"/>
    <w:rsid w:val="008F31B6"/>
    <w:rsid w:val="008F33F6"/>
    <w:rsid w:val="008F35FA"/>
    <w:rsid w:val="008F36B9"/>
    <w:rsid w:val="008F3DE1"/>
    <w:rsid w:val="008F3EF4"/>
    <w:rsid w:val="008F3F39"/>
    <w:rsid w:val="008F3F7E"/>
    <w:rsid w:val="008F4196"/>
    <w:rsid w:val="008F42C8"/>
    <w:rsid w:val="008F43A7"/>
    <w:rsid w:val="008F43DB"/>
    <w:rsid w:val="008F44FB"/>
    <w:rsid w:val="008F48CE"/>
    <w:rsid w:val="008F491D"/>
    <w:rsid w:val="008F4D90"/>
    <w:rsid w:val="008F523B"/>
    <w:rsid w:val="008F524D"/>
    <w:rsid w:val="008F5314"/>
    <w:rsid w:val="008F54DC"/>
    <w:rsid w:val="008F5536"/>
    <w:rsid w:val="008F557E"/>
    <w:rsid w:val="008F5950"/>
    <w:rsid w:val="008F5AA6"/>
    <w:rsid w:val="008F5C32"/>
    <w:rsid w:val="008F5D53"/>
    <w:rsid w:val="008F6068"/>
    <w:rsid w:val="008F6419"/>
    <w:rsid w:val="008F655A"/>
    <w:rsid w:val="008F6755"/>
    <w:rsid w:val="008F6760"/>
    <w:rsid w:val="008F67AD"/>
    <w:rsid w:val="008F6BD0"/>
    <w:rsid w:val="008F6C42"/>
    <w:rsid w:val="008F6D50"/>
    <w:rsid w:val="008F6E03"/>
    <w:rsid w:val="008F6EB5"/>
    <w:rsid w:val="008F6EF1"/>
    <w:rsid w:val="008F70C5"/>
    <w:rsid w:val="008F70F9"/>
    <w:rsid w:val="008F7174"/>
    <w:rsid w:val="008F7383"/>
    <w:rsid w:val="008F7463"/>
    <w:rsid w:val="008F749E"/>
    <w:rsid w:val="008F74DC"/>
    <w:rsid w:val="008F750C"/>
    <w:rsid w:val="008F76C2"/>
    <w:rsid w:val="008F7764"/>
    <w:rsid w:val="008F7833"/>
    <w:rsid w:val="008F78CE"/>
    <w:rsid w:val="008F797E"/>
    <w:rsid w:val="008F7B8C"/>
    <w:rsid w:val="008F7B9C"/>
    <w:rsid w:val="008F7DCE"/>
    <w:rsid w:val="008F7DFD"/>
    <w:rsid w:val="008F7F6A"/>
    <w:rsid w:val="008F7FAC"/>
    <w:rsid w:val="008F7FE1"/>
    <w:rsid w:val="00900033"/>
    <w:rsid w:val="00900211"/>
    <w:rsid w:val="00900331"/>
    <w:rsid w:val="00900506"/>
    <w:rsid w:val="00900584"/>
    <w:rsid w:val="009005FD"/>
    <w:rsid w:val="00900640"/>
    <w:rsid w:val="00900643"/>
    <w:rsid w:val="00900693"/>
    <w:rsid w:val="0090070F"/>
    <w:rsid w:val="009007A0"/>
    <w:rsid w:val="009007FE"/>
    <w:rsid w:val="0090090A"/>
    <w:rsid w:val="00900BA2"/>
    <w:rsid w:val="00900C60"/>
    <w:rsid w:val="00900D83"/>
    <w:rsid w:val="00900E4D"/>
    <w:rsid w:val="00901012"/>
    <w:rsid w:val="0090103D"/>
    <w:rsid w:val="00901148"/>
    <w:rsid w:val="009012EA"/>
    <w:rsid w:val="0090138C"/>
    <w:rsid w:val="0090159F"/>
    <w:rsid w:val="009015D4"/>
    <w:rsid w:val="00901668"/>
    <w:rsid w:val="00901739"/>
    <w:rsid w:val="0090187B"/>
    <w:rsid w:val="009019F4"/>
    <w:rsid w:val="00901BFF"/>
    <w:rsid w:val="00901C10"/>
    <w:rsid w:val="00901C7C"/>
    <w:rsid w:val="00901CB2"/>
    <w:rsid w:val="00901DB6"/>
    <w:rsid w:val="00901F80"/>
    <w:rsid w:val="00901F8B"/>
    <w:rsid w:val="0090207E"/>
    <w:rsid w:val="0090241E"/>
    <w:rsid w:val="0090246D"/>
    <w:rsid w:val="00902949"/>
    <w:rsid w:val="009029D4"/>
    <w:rsid w:val="00902ABE"/>
    <w:rsid w:val="00902B3A"/>
    <w:rsid w:val="00902B8A"/>
    <w:rsid w:val="00902C89"/>
    <w:rsid w:val="00902DEC"/>
    <w:rsid w:val="00902E52"/>
    <w:rsid w:val="0090301B"/>
    <w:rsid w:val="009031FA"/>
    <w:rsid w:val="0090324A"/>
    <w:rsid w:val="009036B7"/>
    <w:rsid w:val="00903770"/>
    <w:rsid w:val="0090389E"/>
    <w:rsid w:val="0090392D"/>
    <w:rsid w:val="00903A3D"/>
    <w:rsid w:val="00903ABD"/>
    <w:rsid w:val="00903D4F"/>
    <w:rsid w:val="00903F00"/>
    <w:rsid w:val="00904080"/>
    <w:rsid w:val="009042AC"/>
    <w:rsid w:val="0090469F"/>
    <w:rsid w:val="00904A9D"/>
    <w:rsid w:val="00904AA6"/>
    <w:rsid w:val="00904D02"/>
    <w:rsid w:val="00904D87"/>
    <w:rsid w:val="00904EDD"/>
    <w:rsid w:val="009050E0"/>
    <w:rsid w:val="00905265"/>
    <w:rsid w:val="00905290"/>
    <w:rsid w:val="009052BE"/>
    <w:rsid w:val="009052C2"/>
    <w:rsid w:val="009053AB"/>
    <w:rsid w:val="00905724"/>
    <w:rsid w:val="00905B94"/>
    <w:rsid w:val="009063A2"/>
    <w:rsid w:val="009065FF"/>
    <w:rsid w:val="009068CD"/>
    <w:rsid w:val="00906936"/>
    <w:rsid w:val="00906996"/>
    <w:rsid w:val="00906B0E"/>
    <w:rsid w:val="00906DBB"/>
    <w:rsid w:val="00906DBE"/>
    <w:rsid w:val="00906DC5"/>
    <w:rsid w:val="00907168"/>
    <w:rsid w:val="00907357"/>
    <w:rsid w:val="0090737E"/>
    <w:rsid w:val="00907393"/>
    <w:rsid w:val="009075D7"/>
    <w:rsid w:val="009077F3"/>
    <w:rsid w:val="00907814"/>
    <w:rsid w:val="00907817"/>
    <w:rsid w:val="009079D4"/>
    <w:rsid w:val="00907C45"/>
    <w:rsid w:val="00907E23"/>
    <w:rsid w:val="00907F40"/>
    <w:rsid w:val="00907F67"/>
    <w:rsid w:val="00907FCB"/>
    <w:rsid w:val="00907FCE"/>
    <w:rsid w:val="009103B3"/>
    <w:rsid w:val="00910498"/>
    <w:rsid w:val="009104EA"/>
    <w:rsid w:val="0091054B"/>
    <w:rsid w:val="00910648"/>
    <w:rsid w:val="0091098B"/>
    <w:rsid w:val="00910A18"/>
    <w:rsid w:val="00910CC9"/>
    <w:rsid w:val="00910D5B"/>
    <w:rsid w:val="00910DFB"/>
    <w:rsid w:val="00910EB1"/>
    <w:rsid w:val="0091113A"/>
    <w:rsid w:val="009112E7"/>
    <w:rsid w:val="009112FB"/>
    <w:rsid w:val="009113EA"/>
    <w:rsid w:val="0091145B"/>
    <w:rsid w:val="00911569"/>
    <w:rsid w:val="009115EE"/>
    <w:rsid w:val="00911A3A"/>
    <w:rsid w:val="00911AB2"/>
    <w:rsid w:val="00911D0E"/>
    <w:rsid w:val="00911E2C"/>
    <w:rsid w:val="00911F18"/>
    <w:rsid w:val="00911F50"/>
    <w:rsid w:val="00911FC7"/>
    <w:rsid w:val="0091203A"/>
    <w:rsid w:val="00912076"/>
    <w:rsid w:val="009120A3"/>
    <w:rsid w:val="0091226D"/>
    <w:rsid w:val="00912696"/>
    <w:rsid w:val="009127D8"/>
    <w:rsid w:val="00912870"/>
    <w:rsid w:val="009129D0"/>
    <w:rsid w:val="00912D6C"/>
    <w:rsid w:val="00912E3A"/>
    <w:rsid w:val="009134D8"/>
    <w:rsid w:val="009135B6"/>
    <w:rsid w:val="009136D6"/>
    <w:rsid w:val="00913705"/>
    <w:rsid w:val="009138CF"/>
    <w:rsid w:val="00913B15"/>
    <w:rsid w:val="00913D0D"/>
    <w:rsid w:val="00913DBB"/>
    <w:rsid w:val="009142A1"/>
    <w:rsid w:val="00914326"/>
    <w:rsid w:val="00914328"/>
    <w:rsid w:val="009143B7"/>
    <w:rsid w:val="009144AE"/>
    <w:rsid w:val="0091450E"/>
    <w:rsid w:val="00914770"/>
    <w:rsid w:val="0091491D"/>
    <w:rsid w:val="00914A02"/>
    <w:rsid w:val="00914D59"/>
    <w:rsid w:val="00914EE9"/>
    <w:rsid w:val="00914FE3"/>
    <w:rsid w:val="009152CC"/>
    <w:rsid w:val="0091535E"/>
    <w:rsid w:val="0091564E"/>
    <w:rsid w:val="0091570F"/>
    <w:rsid w:val="00915B53"/>
    <w:rsid w:val="00915D49"/>
    <w:rsid w:val="00915DE4"/>
    <w:rsid w:val="00915FA4"/>
    <w:rsid w:val="009160F0"/>
    <w:rsid w:val="00916401"/>
    <w:rsid w:val="00916849"/>
    <w:rsid w:val="009168B0"/>
    <w:rsid w:val="00916A03"/>
    <w:rsid w:val="00916A22"/>
    <w:rsid w:val="00916B60"/>
    <w:rsid w:val="00916B99"/>
    <w:rsid w:val="00916C96"/>
    <w:rsid w:val="00916CA5"/>
    <w:rsid w:val="00916F14"/>
    <w:rsid w:val="00916F43"/>
    <w:rsid w:val="00916F93"/>
    <w:rsid w:val="00916FE0"/>
    <w:rsid w:val="009170A2"/>
    <w:rsid w:val="00917176"/>
    <w:rsid w:val="009173EA"/>
    <w:rsid w:val="009173FF"/>
    <w:rsid w:val="009174C8"/>
    <w:rsid w:val="0091757B"/>
    <w:rsid w:val="00917609"/>
    <w:rsid w:val="009177FB"/>
    <w:rsid w:val="009179DE"/>
    <w:rsid w:val="00917E2B"/>
    <w:rsid w:val="00917EE2"/>
    <w:rsid w:val="00917F31"/>
    <w:rsid w:val="00917F8F"/>
    <w:rsid w:val="00920083"/>
    <w:rsid w:val="0092009D"/>
    <w:rsid w:val="009201AC"/>
    <w:rsid w:val="0092039A"/>
    <w:rsid w:val="009203B7"/>
    <w:rsid w:val="00920413"/>
    <w:rsid w:val="00920507"/>
    <w:rsid w:val="009207FA"/>
    <w:rsid w:val="00920CE3"/>
    <w:rsid w:val="00920D4A"/>
    <w:rsid w:val="00920D71"/>
    <w:rsid w:val="00920EBD"/>
    <w:rsid w:val="00921155"/>
    <w:rsid w:val="0092129A"/>
    <w:rsid w:val="00921426"/>
    <w:rsid w:val="00921779"/>
    <w:rsid w:val="00921966"/>
    <w:rsid w:val="00921A3F"/>
    <w:rsid w:val="00921A6C"/>
    <w:rsid w:val="00921CF3"/>
    <w:rsid w:val="00921CF9"/>
    <w:rsid w:val="00922089"/>
    <w:rsid w:val="009223CA"/>
    <w:rsid w:val="00922B60"/>
    <w:rsid w:val="009230F2"/>
    <w:rsid w:val="00923164"/>
    <w:rsid w:val="00923301"/>
    <w:rsid w:val="00923476"/>
    <w:rsid w:val="009234F7"/>
    <w:rsid w:val="00923682"/>
    <w:rsid w:val="009236AB"/>
    <w:rsid w:val="00923B41"/>
    <w:rsid w:val="00923E21"/>
    <w:rsid w:val="00923E56"/>
    <w:rsid w:val="00924034"/>
    <w:rsid w:val="0092409C"/>
    <w:rsid w:val="0092486D"/>
    <w:rsid w:val="00924931"/>
    <w:rsid w:val="00924AC5"/>
    <w:rsid w:val="00924E7A"/>
    <w:rsid w:val="009253F9"/>
    <w:rsid w:val="009254FB"/>
    <w:rsid w:val="009256C8"/>
    <w:rsid w:val="009256D8"/>
    <w:rsid w:val="00925782"/>
    <w:rsid w:val="00925859"/>
    <w:rsid w:val="00925A54"/>
    <w:rsid w:val="00925DAB"/>
    <w:rsid w:val="00925DED"/>
    <w:rsid w:val="00925E32"/>
    <w:rsid w:val="00926361"/>
    <w:rsid w:val="0092643E"/>
    <w:rsid w:val="00926455"/>
    <w:rsid w:val="00926ED1"/>
    <w:rsid w:val="00926F70"/>
    <w:rsid w:val="00926F73"/>
    <w:rsid w:val="00926F80"/>
    <w:rsid w:val="00926FAA"/>
    <w:rsid w:val="009272F9"/>
    <w:rsid w:val="0092748B"/>
    <w:rsid w:val="009274AF"/>
    <w:rsid w:val="0092759D"/>
    <w:rsid w:val="009277D6"/>
    <w:rsid w:val="009277DA"/>
    <w:rsid w:val="0092789E"/>
    <w:rsid w:val="00927996"/>
    <w:rsid w:val="00927B3A"/>
    <w:rsid w:val="00927BF1"/>
    <w:rsid w:val="00927CB2"/>
    <w:rsid w:val="00927CF6"/>
    <w:rsid w:val="00927D31"/>
    <w:rsid w:val="00927DF9"/>
    <w:rsid w:val="00930471"/>
    <w:rsid w:val="009304B1"/>
    <w:rsid w:val="0093055A"/>
    <w:rsid w:val="009306EE"/>
    <w:rsid w:val="009307D5"/>
    <w:rsid w:val="009307D9"/>
    <w:rsid w:val="009307FB"/>
    <w:rsid w:val="00930B06"/>
    <w:rsid w:val="00930B86"/>
    <w:rsid w:val="00930EDE"/>
    <w:rsid w:val="00930F99"/>
    <w:rsid w:val="00930FA9"/>
    <w:rsid w:val="009310D6"/>
    <w:rsid w:val="009311B4"/>
    <w:rsid w:val="00931245"/>
    <w:rsid w:val="0093125D"/>
    <w:rsid w:val="00931268"/>
    <w:rsid w:val="00931287"/>
    <w:rsid w:val="009313BA"/>
    <w:rsid w:val="00931444"/>
    <w:rsid w:val="00931445"/>
    <w:rsid w:val="0093164E"/>
    <w:rsid w:val="009316EA"/>
    <w:rsid w:val="0093196A"/>
    <w:rsid w:val="00931A97"/>
    <w:rsid w:val="00931B09"/>
    <w:rsid w:val="00931EF4"/>
    <w:rsid w:val="009322EB"/>
    <w:rsid w:val="00932640"/>
    <w:rsid w:val="009326A6"/>
    <w:rsid w:val="00932C53"/>
    <w:rsid w:val="00932C6E"/>
    <w:rsid w:val="00932CC7"/>
    <w:rsid w:val="00932DBD"/>
    <w:rsid w:val="009330DB"/>
    <w:rsid w:val="009330FF"/>
    <w:rsid w:val="0093322C"/>
    <w:rsid w:val="00933329"/>
    <w:rsid w:val="0093352F"/>
    <w:rsid w:val="00933A08"/>
    <w:rsid w:val="00933BB1"/>
    <w:rsid w:val="00933F1E"/>
    <w:rsid w:val="00933F8A"/>
    <w:rsid w:val="00934075"/>
    <w:rsid w:val="00934357"/>
    <w:rsid w:val="00934554"/>
    <w:rsid w:val="0093469D"/>
    <w:rsid w:val="009346A8"/>
    <w:rsid w:val="009348BD"/>
    <w:rsid w:val="00934923"/>
    <w:rsid w:val="00934A2C"/>
    <w:rsid w:val="00934B95"/>
    <w:rsid w:val="00934CC0"/>
    <w:rsid w:val="009350FF"/>
    <w:rsid w:val="0093535F"/>
    <w:rsid w:val="0093574C"/>
    <w:rsid w:val="009357FB"/>
    <w:rsid w:val="00935889"/>
    <w:rsid w:val="009358BC"/>
    <w:rsid w:val="00935933"/>
    <w:rsid w:val="00935A3D"/>
    <w:rsid w:val="00935A88"/>
    <w:rsid w:val="00935AAC"/>
    <w:rsid w:val="00935B82"/>
    <w:rsid w:val="00935C40"/>
    <w:rsid w:val="00935CCD"/>
    <w:rsid w:val="00935F97"/>
    <w:rsid w:val="0093608E"/>
    <w:rsid w:val="009361E7"/>
    <w:rsid w:val="0093631D"/>
    <w:rsid w:val="00936517"/>
    <w:rsid w:val="00936561"/>
    <w:rsid w:val="009366CE"/>
    <w:rsid w:val="00936C08"/>
    <w:rsid w:val="00936D4A"/>
    <w:rsid w:val="00936D70"/>
    <w:rsid w:val="0093706F"/>
    <w:rsid w:val="0093707D"/>
    <w:rsid w:val="0093721C"/>
    <w:rsid w:val="0093732D"/>
    <w:rsid w:val="009376AF"/>
    <w:rsid w:val="00937770"/>
    <w:rsid w:val="0093779A"/>
    <w:rsid w:val="00937980"/>
    <w:rsid w:val="00937C31"/>
    <w:rsid w:val="00937E24"/>
    <w:rsid w:val="00937F14"/>
    <w:rsid w:val="00937F2B"/>
    <w:rsid w:val="00940151"/>
    <w:rsid w:val="0094041E"/>
    <w:rsid w:val="0094042A"/>
    <w:rsid w:val="00940618"/>
    <w:rsid w:val="009406D9"/>
    <w:rsid w:val="00940D96"/>
    <w:rsid w:val="00941079"/>
    <w:rsid w:val="0094118D"/>
    <w:rsid w:val="009411D2"/>
    <w:rsid w:val="009411E4"/>
    <w:rsid w:val="0094127C"/>
    <w:rsid w:val="00941282"/>
    <w:rsid w:val="009412E9"/>
    <w:rsid w:val="0094148D"/>
    <w:rsid w:val="00941871"/>
    <w:rsid w:val="00941933"/>
    <w:rsid w:val="00941B1C"/>
    <w:rsid w:val="00941CB7"/>
    <w:rsid w:val="00941CD8"/>
    <w:rsid w:val="00941F45"/>
    <w:rsid w:val="0094204A"/>
    <w:rsid w:val="00942129"/>
    <w:rsid w:val="00942473"/>
    <w:rsid w:val="00942581"/>
    <w:rsid w:val="009426AA"/>
    <w:rsid w:val="00942B97"/>
    <w:rsid w:val="00942D78"/>
    <w:rsid w:val="00942E0C"/>
    <w:rsid w:val="00942F38"/>
    <w:rsid w:val="00943042"/>
    <w:rsid w:val="00943282"/>
    <w:rsid w:val="009432B1"/>
    <w:rsid w:val="009432D0"/>
    <w:rsid w:val="009432ED"/>
    <w:rsid w:val="009434E3"/>
    <w:rsid w:val="009437EE"/>
    <w:rsid w:val="00943815"/>
    <w:rsid w:val="0094384E"/>
    <w:rsid w:val="009438A0"/>
    <w:rsid w:val="00943976"/>
    <w:rsid w:val="00943CA9"/>
    <w:rsid w:val="00943DA0"/>
    <w:rsid w:val="00943E7C"/>
    <w:rsid w:val="009443D3"/>
    <w:rsid w:val="009444B1"/>
    <w:rsid w:val="009444BD"/>
    <w:rsid w:val="0094452F"/>
    <w:rsid w:val="0094459E"/>
    <w:rsid w:val="0094470B"/>
    <w:rsid w:val="00944940"/>
    <w:rsid w:val="009449B7"/>
    <w:rsid w:val="00944B02"/>
    <w:rsid w:val="00944B4A"/>
    <w:rsid w:val="00944DD9"/>
    <w:rsid w:val="00944FFD"/>
    <w:rsid w:val="009452E3"/>
    <w:rsid w:val="0094543C"/>
    <w:rsid w:val="009456F7"/>
    <w:rsid w:val="0094599A"/>
    <w:rsid w:val="00945C67"/>
    <w:rsid w:val="00945CD7"/>
    <w:rsid w:val="00945E80"/>
    <w:rsid w:val="00946041"/>
    <w:rsid w:val="009460A0"/>
    <w:rsid w:val="0094614C"/>
    <w:rsid w:val="00946421"/>
    <w:rsid w:val="0094649F"/>
    <w:rsid w:val="009464B6"/>
    <w:rsid w:val="009464FD"/>
    <w:rsid w:val="0094659A"/>
    <w:rsid w:val="009466C1"/>
    <w:rsid w:val="0094696A"/>
    <w:rsid w:val="00946A07"/>
    <w:rsid w:val="00946B68"/>
    <w:rsid w:val="00946BB0"/>
    <w:rsid w:val="00946C79"/>
    <w:rsid w:val="00947126"/>
    <w:rsid w:val="00947152"/>
    <w:rsid w:val="00947180"/>
    <w:rsid w:val="009471DA"/>
    <w:rsid w:val="00947201"/>
    <w:rsid w:val="0094726F"/>
    <w:rsid w:val="009475ED"/>
    <w:rsid w:val="009478D9"/>
    <w:rsid w:val="00947BA2"/>
    <w:rsid w:val="0095004B"/>
    <w:rsid w:val="0095004D"/>
    <w:rsid w:val="00950100"/>
    <w:rsid w:val="00950172"/>
    <w:rsid w:val="00950212"/>
    <w:rsid w:val="00950341"/>
    <w:rsid w:val="00950523"/>
    <w:rsid w:val="00950555"/>
    <w:rsid w:val="00950577"/>
    <w:rsid w:val="009507A1"/>
    <w:rsid w:val="009509BB"/>
    <w:rsid w:val="00950CB6"/>
    <w:rsid w:val="0095107B"/>
    <w:rsid w:val="009510DF"/>
    <w:rsid w:val="009511F5"/>
    <w:rsid w:val="009513C7"/>
    <w:rsid w:val="00951415"/>
    <w:rsid w:val="00951581"/>
    <w:rsid w:val="009516B2"/>
    <w:rsid w:val="009519F4"/>
    <w:rsid w:val="00951AF6"/>
    <w:rsid w:val="00951B1C"/>
    <w:rsid w:val="00951CEE"/>
    <w:rsid w:val="00951DF7"/>
    <w:rsid w:val="00951EBE"/>
    <w:rsid w:val="00951EBF"/>
    <w:rsid w:val="00952027"/>
    <w:rsid w:val="009522EF"/>
    <w:rsid w:val="0095234B"/>
    <w:rsid w:val="0095246F"/>
    <w:rsid w:val="0095263E"/>
    <w:rsid w:val="009527A2"/>
    <w:rsid w:val="00952906"/>
    <w:rsid w:val="009529F2"/>
    <w:rsid w:val="00952C42"/>
    <w:rsid w:val="00952D4B"/>
    <w:rsid w:val="00952D75"/>
    <w:rsid w:val="00952EE9"/>
    <w:rsid w:val="00953A80"/>
    <w:rsid w:val="00953B05"/>
    <w:rsid w:val="00953D49"/>
    <w:rsid w:val="0095406F"/>
    <w:rsid w:val="0095454F"/>
    <w:rsid w:val="00954882"/>
    <w:rsid w:val="00954BE3"/>
    <w:rsid w:val="00955118"/>
    <w:rsid w:val="0095556A"/>
    <w:rsid w:val="00955571"/>
    <w:rsid w:val="0095565F"/>
    <w:rsid w:val="00955880"/>
    <w:rsid w:val="00955ACC"/>
    <w:rsid w:val="00955DBC"/>
    <w:rsid w:val="0095615B"/>
    <w:rsid w:val="009561C3"/>
    <w:rsid w:val="009562AA"/>
    <w:rsid w:val="00956310"/>
    <w:rsid w:val="009565BC"/>
    <w:rsid w:val="009567AC"/>
    <w:rsid w:val="009567FE"/>
    <w:rsid w:val="0095686C"/>
    <w:rsid w:val="009568D0"/>
    <w:rsid w:val="00956919"/>
    <w:rsid w:val="00956A1D"/>
    <w:rsid w:val="00956A30"/>
    <w:rsid w:val="00956A44"/>
    <w:rsid w:val="00956A8A"/>
    <w:rsid w:val="00956AA0"/>
    <w:rsid w:val="00957050"/>
    <w:rsid w:val="00957558"/>
    <w:rsid w:val="009576DF"/>
    <w:rsid w:val="0095794E"/>
    <w:rsid w:val="00957996"/>
    <w:rsid w:val="00957E4B"/>
    <w:rsid w:val="00957FE2"/>
    <w:rsid w:val="00960212"/>
    <w:rsid w:val="0096038B"/>
    <w:rsid w:val="0096038D"/>
    <w:rsid w:val="009603A0"/>
    <w:rsid w:val="009604FC"/>
    <w:rsid w:val="0096083B"/>
    <w:rsid w:val="00960886"/>
    <w:rsid w:val="0096090C"/>
    <w:rsid w:val="00960C74"/>
    <w:rsid w:val="00960D14"/>
    <w:rsid w:val="00960D75"/>
    <w:rsid w:val="00960F0A"/>
    <w:rsid w:val="00960FA0"/>
    <w:rsid w:val="009610C1"/>
    <w:rsid w:val="00961141"/>
    <w:rsid w:val="009612F9"/>
    <w:rsid w:val="00961580"/>
    <w:rsid w:val="009615FC"/>
    <w:rsid w:val="00961C17"/>
    <w:rsid w:val="00961D99"/>
    <w:rsid w:val="00961DA1"/>
    <w:rsid w:val="00961DA8"/>
    <w:rsid w:val="00961E4B"/>
    <w:rsid w:val="00961EE3"/>
    <w:rsid w:val="00962098"/>
    <w:rsid w:val="00962395"/>
    <w:rsid w:val="00962414"/>
    <w:rsid w:val="00962658"/>
    <w:rsid w:val="00962839"/>
    <w:rsid w:val="00962AA8"/>
    <w:rsid w:val="00962B79"/>
    <w:rsid w:val="00962E79"/>
    <w:rsid w:val="00962EA0"/>
    <w:rsid w:val="00962F01"/>
    <w:rsid w:val="00962FB8"/>
    <w:rsid w:val="0096301C"/>
    <w:rsid w:val="009633B5"/>
    <w:rsid w:val="00963614"/>
    <w:rsid w:val="0096375B"/>
    <w:rsid w:val="00963784"/>
    <w:rsid w:val="00963973"/>
    <w:rsid w:val="009639E4"/>
    <w:rsid w:val="00963AAB"/>
    <w:rsid w:val="00963D1F"/>
    <w:rsid w:val="00963F4C"/>
    <w:rsid w:val="00964012"/>
    <w:rsid w:val="0096401F"/>
    <w:rsid w:val="00964196"/>
    <w:rsid w:val="00964450"/>
    <w:rsid w:val="0096465A"/>
    <w:rsid w:val="009646E6"/>
    <w:rsid w:val="00964B04"/>
    <w:rsid w:val="00964C0B"/>
    <w:rsid w:val="00964D1D"/>
    <w:rsid w:val="00964FA0"/>
    <w:rsid w:val="00965012"/>
    <w:rsid w:val="00965120"/>
    <w:rsid w:val="00965345"/>
    <w:rsid w:val="00965410"/>
    <w:rsid w:val="009655E1"/>
    <w:rsid w:val="00965633"/>
    <w:rsid w:val="009656EF"/>
    <w:rsid w:val="009656F2"/>
    <w:rsid w:val="00965A03"/>
    <w:rsid w:val="00965A24"/>
    <w:rsid w:val="00965CC1"/>
    <w:rsid w:val="00965D52"/>
    <w:rsid w:val="00965E5E"/>
    <w:rsid w:val="00965E6A"/>
    <w:rsid w:val="00966318"/>
    <w:rsid w:val="00966640"/>
    <w:rsid w:val="00966759"/>
    <w:rsid w:val="00966771"/>
    <w:rsid w:val="009669B7"/>
    <w:rsid w:val="00966AAA"/>
    <w:rsid w:val="00966B48"/>
    <w:rsid w:val="00966C20"/>
    <w:rsid w:val="00966F2C"/>
    <w:rsid w:val="00967006"/>
    <w:rsid w:val="009671BE"/>
    <w:rsid w:val="00967275"/>
    <w:rsid w:val="0096728C"/>
    <w:rsid w:val="00967332"/>
    <w:rsid w:val="00967479"/>
    <w:rsid w:val="00967543"/>
    <w:rsid w:val="0096788B"/>
    <w:rsid w:val="00967CB7"/>
    <w:rsid w:val="00967F5C"/>
    <w:rsid w:val="00970049"/>
    <w:rsid w:val="0097008F"/>
    <w:rsid w:val="009700D2"/>
    <w:rsid w:val="00970272"/>
    <w:rsid w:val="00970290"/>
    <w:rsid w:val="0097040C"/>
    <w:rsid w:val="0097066E"/>
    <w:rsid w:val="00970752"/>
    <w:rsid w:val="00970983"/>
    <w:rsid w:val="00970DF7"/>
    <w:rsid w:val="00970E00"/>
    <w:rsid w:val="0097151E"/>
    <w:rsid w:val="00971540"/>
    <w:rsid w:val="009716CE"/>
    <w:rsid w:val="009716D3"/>
    <w:rsid w:val="0097170F"/>
    <w:rsid w:val="00971865"/>
    <w:rsid w:val="009718F6"/>
    <w:rsid w:val="0097197E"/>
    <w:rsid w:val="00971B02"/>
    <w:rsid w:val="00971B9E"/>
    <w:rsid w:val="00971F66"/>
    <w:rsid w:val="009720FC"/>
    <w:rsid w:val="009721A3"/>
    <w:rsid w:val="00972383"/>
    <w:rsid w:val="0097265F"/>
    <w:rsid w:val="00972815"/>
    <w:rsid w:val="009728EA"/>
    <w:rsid w:val="0097290F"/>
    <w:rsid w:val="00972A86"/>
    <w:rsid w:val="00972F4C"/>
    <w:rsid w:val="009731D9"/>
    <w:rsid w:val="00973376"/>
    <w:rsid w:val="009735E3"/>
    <w:rsid w:val="00973A2C"/>
    <w:rsid w:val="00973A86"/>
    <w:rsid w:val="00973B53"/>
    <w:rsid w:val="00973CE1"/>
    <w:rsid w:val="00973D20"/>
    <w:rsid w:val="00973DC6"/>
    <w:rsid w:val="00973EF1"/>
    <w:rsid w:val="00973F30"/>
    <w:rsid w:val="009741E0"/>
    <w:rsid w:val="0097432A"/>
    <w:rsid w:val="0097432C"/>
    <w:rsid w:val="009743E0"/>
    <w:rsid w:val="009744A8"/>
    <w:rsid w:val="00974585"/>
    <w:rsid w:val="00974670"/>
    <w:rsid w:val="009746B7"/>
    <w:rsid w:val="009746DB"/>
    <w:rsid w:val="0097493A"/>
    <w:rsid w:val="00974B25"/>
    <w:rsid w:val="00974C5F"/>
    <w:rsid w:val="00974C61"/>
    <w:rsid w:val="00974E5D"/>
    <w:rsid w:val="009751E3"/>
    <w:rsid w:val="0097520A"/>
    <w:rsid w:val="00975213"/>
    <w:rsid w:val="00975261"/>
    <w:rsid w:val="009752C3"/>
    <w:rsid w:val="0097545E"/>
    <w:rsid w:val="00975469"/>
    <w:rsid w:val="009756B8"/>
    <w:rsid w:val="00975723"/>
    <w:rsid w:val="00975A46"/>
    <w:rsid w:val="00975C84"/>
    <w:rsid w:val="00975E32"/>
    <w:rsid w:val="0097611E"/>
    <w:rsid w:val="009762EE"/>
    <w:rsid w:val="00976327"/>
    <w:rsid w:val="009766B3"/>
    <w:rsid w:val="0097683F"/>
    <w:rsid w:val="00976A8D"/>
    <w:rsid w:val="00976CCE"/>
    <w:rsid w:val="00976E7E"/>
    <w:rsid w:val="00977081"/>
    <w:rsid w:val="009770AD"/>
    <w:rsid w:val="00977281"/>
    <w:rsid w:val="009772AC"/>
    <w:rsid w:val="009773F0"/>
    <w:rsid w:val="0097795D"/>
    <w:rsid w:val="00977C5B"/>
    <w:rsid w:val="00977D2A"/>
    <w:rsid w:val="00977E09"/>
    <w:rsid w:val="00980572"/>
    <w:rsid w:val="009807F7"/>
    <w:rsid w:val="00980845"/>
    <w:rsid w:val="00980CED"/>
    <w:rsid w:val="00980EFF"/>
    <w:rsid w:val="00980FC7"/>
    <w:rsid w:val="009812FE"/>
    <w:rsid w:val="0098132F"/>
    <w:rsid w:val="009814D6"/>
    <w:rsid w:val="00981859"/>
    <w:rsid w:val="009818BD"/>
    <w:rsid w:val="009818F0"/>
    <w:rsid w:val="00981A11"/>
    <w:rsid w:val="00981A35"/>
    <w:rsid w:val="00981C7A"/>
    <w:rsid w:val="00981E44"/>
    <w:rsid w:val="00982100"/>
    <w:rsid w:val="00982186"/>
    <w:rsid w:val="00982194"/>
    <w:rsid w:val="009824BD"/>
    <w:rsid w:val="00982582"/>
    <w:rsid w:val="009826D5"/>
    <w:rsid w:val="00982899"/>
    <w:rsid w:val="00982940"/>
    <w:rsid w:val="00982971"/>
    <w:rsid w:val="00982B2B"/>
    <w:rsid w:val="00983230"/>
    <w:rsid w:val="009836F0"/>
    <w:rsid w:val="00983713"/>
    <w:rsid w:val="0098391A"/>
    <w:rsid w:val="009839DD"/>
    <w:rsid w:val="00983A99"/>
    <w:rsid w:val="00983B5B"/>
    <w:rsid w:val="00983F0B"/>
    <w:rsid w:val="00984060"/>
    <w:rsid w:val="009842B2"/>
    <w:rsid w:val="0098438D"/>
    <w:rsid w:val="009843D9"/>
    <w:rsid w:val="009844C7"/>
    <w:rsid w:val="0098464E"/>
    <w:rsid w:val="00984719"/>
    <w:rsid w:val="0098476F"/>
    <w:rsid w:val="009849D0"/>
    <w:rsid w:val="00984A6B"/>
    <w:rsid w:val="00984D1F"/>
    <w:rsid w:val="00984D2A"/>
    <w:rsid w:val="00984E49"/>
    <w:rsid w:val="00984F72"/>
    <w:rsid w:val="009851F4"/>
    <w:rsid w:val="0098521F"/>
    <w:rsid w:val="00985246"/>
    <w:rsid w:val="009856B4"/>
    <w:rsid w:val="00985B97"/>
    <w:rsid w:val="00985BA9"/>
    <w:rsid w:val="00985C2E"/>
    <w:rsid w:val="0098606F"/>
    <w:rsid w:val="009862AE"/>
    <w:rsid w:val="00986332"/>
    <w:rsid w:val="00986C98"/>
    <w:rsid w:val="00986E0E"/>
    <w:rsid w:val="00986ECB"/>
    <w:rsid w:val="00986EE2"/>
    <w:rsid w:val="00987236"/>
    <w:rsid w:val="009872FE"/>
    <w:rsid w:val="00987327"/>
    <w:rsid w:val="00987F0B"/>
    <w:rsid w:val="00987F2E"/>
    <w:rsid w:val="00987FBE"/>
    <w:rsid w:val="00990021"/>
    <w:rsid w:val="009900E1"/>
    <w:rsid w:val="00990842"/>
    <w:rsid w:val="00990A93"/>
    <w:rsid w:val="00990D75"/>
    <w:rsid w:val="00990E2A"/>
    <w:rsid w:val="009911AF"/>
    <w:rsid w:val="0099138E"/>
    <w:rsid w:val="00991692"/>
    <w:rsid w:val="0099172F"/>
    <w:rsid w:val="009917E2"/>
    <w:rsid w:val="009917E5"/>
    <w:rsid w:val="009917F4"/>
    <w:rsid w:val="009918A6"/>
    <w:rsid w:val="00991D91"/>
    <w:rsid w:val="00991F88"/>
    <w:rsid w:val="0099202A"/>
    <w:rsid w:val="0099207E"/>
    <w:rsid w:val="009920D2"/>
    <w:rsid w:val="0099210A"/>
    <w:rsid w:val="009921AA"/>
    <w:rsid w:val="00992306"/>
    <w:rsid w:val="009924BC"/>
    <w:rsid w:val="0099263C"/>
    <w:rsid w:val="009928CF"/>
    <w:rsid w:val="0099293A"/>
    <w:rsid w:val="00992B15"/>
    <w:rsid w:val="00992C33"/>
    <w:rsid w:val="00992F86"/>
    <w:rsid w:val="00993336"/>
    <w:rsid w:val="00993442"/>
    <w:rsid w:val="009934BB"/>
    <w:rsid w:val="009937D2"/>
    <w:rsid w:val="0099380E"/>
    <w:rsid w:val="00993814"/>
    <w:rsid w:val="00993867"/>
    <w:rsid w:val="00993ADF"/>
    <w:rsid w:val="00993CC8"/>
    <w:rsid w:val="00993E47"/>
    <w:rsid w:val="00993F5D"/>
    <w:rsid w:val="009940E5"/>
    <w:rsid w:val="009940EF"/>
    <w:rsid w:val="009940F8"/>
    <w:rsid w:val="009942D5"/>
    <w:rsid w:val="009942E4"/>
    <w:rsid w:val="00994384"/>
    <w:rsid w:val="009943FD"/>
    <w:rsid w:val="009944EF"/>
    <w:rsid w:val="0099456A"/>
    <w:rsid w:val="0099472B"/>
    <w:rsid w:val="00994863"/>
    <w:rsid w:val="00994A4B"/>
    <w:rsid w:val="00994C4A"/>
    <w:rsid w:val="00994D21"/>
    <w:rsid w:val="00994F62"/>
    <w:rsid w:val="00995014"/>
    <w:rsid w:val="009954AD"/>
    <w:rsid w:val="009955A5"/>
    <w:rsid w:val="00995B7B"/>
    <w:rsid w:val="00995F7C"/>
    <w:rsid w:val="00996294"/>
    <w:rsid w:val="0099629E"/>
    <w:rsid w:val="00996480"/>
    <w:rsid w:val="00996571"/>
    <w:rsid w:val="00996DB2"/>
    <w:rsid w:val="00996F4E"/>
    <w:rsid w:val="0099716A"/>
    <w:rsid w:val="00997418"/>
    <w:rsid w:val="00997663"/>
    <w:rsid w:val="009976B3"/>
    <w:rsid w:val="00997735"/>
    <w:rsid w:val="009977AB"/>
    <w:rsid w:val="00997824"/>
    <w:rsid w:val="00997B75"/>
    <w:rsid w:val="00997C9A"/>
    <w:rsid w:val="00997D22"/>
    <w:rsid w:val="009A00F8"/>
    <w:rsid w:val="009A0191"/>
    <w:rsid w:val="009A0254"/>
    <w:rsid w:val="009A0288"/>
    <w:rsid w:val="009A056C"/>
    <w:rsid w:val="009A05F3"/>
    <w:rsid w:val="009A0661"/>
    <w:rsid w:val="009A0BF4"/>
    <w:rsid w:val="009A0C31"/>
    <w:rsid w:val="009A0D6A"/>
    <w:rsid w:val="009A0FC4"/>
    <w:rsid w:val="009A0FE4"/>
    <w:rsid w:val="009A108C"/>
    <w:rsid w:val="009A13FC"/>
    <w:rsid w:val="009A149D"/>
    <w:rsid w:val="009A188E"/>
    <w:rsid w:val="009A18B6"/>
    <w:rsid w:val="009A18F3"/>
    <w:rsid w:val="009A1B95"/>
    <w:rsid w:val="009A1C5A"/>
    <w:rsid w:val="009A1F84"/>
    <w:rsid w:val="009A1F95"/>
    <w:rsid w:val="009A206F"/>
    <w:rsid w:val="009A2279"/>
    <w:rsid w:val="009A22CC"/>
    <w:rsid w:val="009A2390"/>
    <w:rsid w:val="009A2403"/>
    <w:rsid w:val="009A24B4"/>
    <w:rsid w:val="009A25B4"/>
    <w:rsid w:val="009A2786"/>
    <w:rsid w:val="009A2957"/>
    <w:rsid w:val="009A29CD"/>
    <w:rsid w:val="009A2D33"/>
    <w:rsid w:val="009A3060"/>
    <w:rsid w:val="009A332D"/>
    <w:rsid w:val="009A336D"/>
    <w:rsid w:val="009A34A3"/>
    <w:rsid w:val="009A364A"/>
    <w:rsid w:val="009A3715"/>
    <w:rsid w:val="009A399C"/>
    <w:rsid w:val="009A3B2D"/>
    <w:rsid w:val="009A3BF7"/>
    <w:rsid w:val="009A3D44"/>
    <w:rsid w:val="009A3FDF"/>
    <w:rsid w:val="009A4632"/>
    <w:rsid w:val="009A485E"/>
    <w:rsid w:val="009A48E7"/>
    <w:rsid w:val="009A4B6D"/>
    <w:rsid w:val="009A4FCB"/>
    <w:rsid w:val="009A4FFD"/>
    <w:rsid w:val="009A5028"/>
    <w:rsid w:val="009A50D3"/>
    <w:rsid w:val="009A50E2"/>
    <w:rsid w:val="009A53B2"/>
    <w:rsid w:val="009A55AC"/>
    <w:rsid w:val="009A5702"/>
    <w:rsid w:val="009A5845"/>
    <w:rsid w:val="009A58FE"/>
    <w:rsid w:val="009A5F16"/>
    <w:rsid w:val="009A6284"/>
    <w:rsid w:val="009A63AE"/>
    <w:rsid w:val="009A6461"/>
    <w:rsid w:val="009A65B3"/>
    <w:rsid w:val="009A669D"/>
    <w:rsid w:val="009A66BB"/>
    <w:rsid w:val="009A678F"/>
    <w:rsid w:val="009A68E3"/>
    <w:rsid w:val="009A68F7"/>
    <w:rsid w:val="009A6AF8"/>
    <w:rsid w:val="009A6B58"/>
    <w:rsid w:val="009A6B74"/>
    <w:rsid w:val="009A6B7D"/>
    <w:rsid w:val="009A6CCE"/>
    <w:rsid w:val="009A6E3D"/>
    <w:rsid w:val="009A6FC3"/>
    <w:rsid w:val="009A7021"/>
    <w:rsid w:val="009A721E"/>
    <w:rsid w:val="009A723F"/>
    <w:rsid w:val="009A7351"/>
    <w:rsid w:val="009A73CA"/>
    <w:rsid w:val="009A75B1"/>
    <w:rsid w:val="009A768B"/>
    <w:rsid w:val="009A770A"/>
    <w:rsid w:val="009A7726"/>
    <w:rsid w:val="009A7784"/>
    <w:rsid w:val="009A77A7"/>
    <w:rsid w:val="009A77DB"/>
    <w:rsid w:val="009A7D35"/>
    <w:rsid w:val="009A7D73"/>
    <w:rsid w:val="009A7E25"/>
    <w:rsid w:val="009B00B2"/>
    <w:rsid w:val="009B0184"/>
    <w:rsid w:val="009B0766"/>
    <w:rsid w:val="009B07A5"/>
    <w:rsid w:val="009B0839"/>
    <w:rsid w:val="009B089B"/>
    <w:rsid w:val="009B0A5C"/>
    <w:rsid w:val="009B0A81"/>
    <w:rsid w:val="009B0C48"/>
    <w:rsid w:val="009B0D67"/>
    <w:rsid w:val="009B0F62"/>
    <w:rsid w:val="009B0FCC"/>
    <w:rsid w:val="009B1042"/>
    <w:rsid w:val="009B10AC"/>
    <w:rsid w:val="009B1292"/>
    <w:rsid w:val="009B1424"/>
    <w:rsid w:val="009B14D4"/>
    <w:rsid w:val="009B15A5"/>
    <w:rsid w:val="009B1768"/>
    <w:rsid w:val="009B1FAB"/>
    <w:rsid w:val="009B2169"/>
    <w:rsid w:val="009B2422"/>
    <w:rsid w:val="009B243B"/>
    <w:rsid w:val="009B2704"/>
    <w:rsid w:val="009B27E8"/>
    <w:rsid w:val="009B27F2"/>
    <w:rsid w:val="009B2862"/>
    <w:rsid w:val="009B28A4"/>
    <w:rsid w:val="009B292D"/>
    <w:rsid w:val="009B2943"/>
    <w:rsid w:val="009B29AB"/>
    <w:rsid w:val="009B29F6"/>
    <w:rsid w:val="009B2C38"/>
    <w:rsid w:val="009B2C51"/>
    <w:rsid w:val="009B2DCB"/>
    <w:rsid w:val="009B2E14"/>
    <w:rsid w:val="009B2E7B"/>
    <w:rsid w:val="009B2EB4"/>
    <w:rsid w:val="009B3069"/>
    <w:rsid w:val="009B30DA"/>
    <w:rsid w:val="009B3193"/>
    <w:rsid w:val="009B31BF"/>
    <w:rsid w:val="009B3526"/>
    <w:rsid w:val="009B3553"/>
    <w:rsid w:val="009B366A"/>
    <w:rsid w:val="009B368C"/>
    <w:rsid w:val="009B36D3"/>
    <w:rsid w:val="009B38E4"/>
    <w:rsid w:val="009B3A4D"/>
    <w:rsid w:val="009B3B68"/>
    <w:rsid w:val="009B3CB2"/>
    <w:rsid w:val="009B41FB"/>
    <w:rsid w:val="009B427D"/>
    <w:rsid w:val="009B442A"/>
    <w:rsid w:val="009B46DC"/>
    <w:rsid w:val="009B46FA"/>
    <w:rsid w:val="009B473C"/>
    <w:rsid w:val="009B5691"/>
    <w:rsid w:val="009B56C0"/>
    <w:rsid w:val="009B57CE"/>
    <w:rsid w:val="009B5AD6"/>
    <w:rsid w:val="009B6042"/>
    <w:rsid w:val="009B6160"/>
    <w:rsid w:val="009B63E7"/>
    <w:rsid w:val="009B6593"/>
    <w:rsid w:val="009B6643"/>
    <w:rsid w:val="009B6721"/>
    <w:rsid w:val="009B6786"/>
    <w:rsid w:val="009B6C9F"/>
    <w:rsid w:val="009B6DAD"/>
    <w:rsid w:val="009B7262"/>
    <w:rsid w:val="009B7441"/>
    <w:rsid w:val="009B747A"/>
    <w:rsid w:val="009B74B7"/>
    <w:rsid w:val="009B7718"/>
    <w:rsid w:val="009B7874"/>
    <w:rsid w:val="009B7A6D"/>
    <w:rsid w:val="009B7BD3"/>
    <w:rsid w:val="009B7DB9"/>
    <w:rsid w:val="009B7F4F"/>
    <w:rsid w:val="009B7F62"/>
    <w:rsid w:val="009C003C"/>
    <w:rsid w:val="009C0127"/>
    <w:rsid w:val="009C02CD"/>
    <w:rsid w:val="009C08E2"/>
    <w:rsid w:val="009C0932"/>
    <w:rsid w:val="009C0B39"/>
    <w:rsid w:val="009C0B71"/>
    <w:rsid w:val="009C0D2B"/>
    <w:rsid w:val="009C1055"/>
    <w:rsid w:val="009C1191"/>
    <w:rsid w:val="009C12D1"/>
    <w:rsid w:val="009C1448"/>
    <w:rsid w:val="009C18D7"/>
    <w:rsid w:val="009C197A"/>
    <w:rsid w:val="009C19E7"/>
    <w:rsid w:val="009C1A4F"/>
    <w:rsid w:val="009C1ABC"/>
    <w:rsid w:val="009C1BFF"/>
    <w:rsid w:val="009C1C8B"/>
    <w:rsid w:val="009C1FD1"/>
    <w:rsid w:val="009C2415"/>
    <w:rsid w:val="009C25AD"/>
    <w:rsid w:val="009C25D4"/>
    <w:rsid w:val="009C26D4"/>
    <w:rsid w:val="009C26FB"/>
    <w:rsid w:val="009C27ED"/>
    <w:rsid w:val="009C2998"/>
    <w:rsid w:val="009C29A7"/>
    <w:rsid w:val="009C2A3A"/>
    <w:rsid w:val="009C2B15"/>
    <w:rsid w:val="009C2D58"/>
    <w:rsid w:val="009C3148"/>
    <w:rsid w:val="009C3232"/>
    <w:rsid w:val="009C337E"/>
    <w:rsid w:val="009C33B6"/>
    <w:rsid w:val="009C3769"/>
    <w:rsid w:val="009C37D6"/>
    <w:rsid w:val="009C3817"/>
    <w:rsid w:val="009C3A1C"/>
    <w:rsid w:val="009C3E99"/>
    <w:rsid w:val="009C3FD0"/>
    <w:rsid w:val="009C411B"/>
    <w:rsid w:val="009C4126"/>
    <w:rsid w:val="009C416B"/>
    <w:rsid w:val="009C418C"/>
    <w:rsid w:val="009C42E7"/>
    <w:rsid w:val="009C4477"/>
    <w:rsid w:val="009C46FC"/>
    <w:rsid w:val="009C4764"/>
    <w:rsid w:val="009C482C"/>
    <w:rsid w:val="009C4896"/>
    <w:rsid w:val="009C4AAE"/>
    <w:rsid w:val="009C4AD7"/>
    <w:rsid w:val="009C4CD2"/>
    <w:rsid w:val="009C4F49"/>
    <w:rsid w:val="009C4FB5"/>
    <w:rsid w:val="009C517F"/>
    <w:rsid w:val="009C51A0"/>
    <w:rsid w:val="009C5294"/>
    <w:rsid w:val="009C53C1"/>
    <w:rsid w:val="009C5559"/>
    <w:rsid w:val="009C5790"/>
    <w:rsid w:val="009C5848"/>
    <w:rsid w:val="009C59F2"/>
    <w:rsid w:val="009C5C22"/>
    <w:rsid w:val="009C5DB1"/>
    <w:rsid w:val="009C5E9B"/>
    <w:rsid w:val="009C5EC0"/>
    <w:rsid w:val="009C60DA"/>
    <w:rsid w:val="009C6268"/>
    <w:rsid w:val="009C6395"/>
    <w:rsid w:val="009C6398"/>
    <w:rsid w:val="009C655E"/>
    <w:rsid w:val="009C6887"/>
    <w:rsid w:val="009C6899"/>
    <w:rsid w:val="009C6963"/>
    <w:rsid w:val="009C6A66"/>
    <w:rsid w:val="009C70BF"/>
    <w:rsid w:val="009C7184"/>
    <w:rsid w:val="009C739D"/>
    <w:rsid w:val="009C73A5"/>
    <w:rsid w:val="009C753A"/>
    <w:rsid w:val="009C7573"/>
    <w:rsid w:val="009C7662"/>
    <w:rsid w:val="009C7C66"/>
    <w:rsid w:val="009C7C9D"/>
    <w:rsid w:val="009C7CFF"/>
    <w:rsid w:val="009C7E09"/>
    <w:rsid w:val="009D0110"/>
    <w:rsid w:val="009D03C8"/>
    <w:rsid w:val="009D042B"/>
    <w:rsid w:val="009D051B"/>
    <w:rsid w:val="009D0551"/>
    <w:rsid w:val="009D05B0"/>
    <w:rsid w:val="009D0685"/>
    <w:rsid w:val="009D0707"/>
    <w:rsid w:val="009D0739"/>
    <w:rsid w:val="009D077B"/>
    <w:rsid w:val="009D07F2"/>
    <w:rsid w:val="009D0994"/>
    <w:rsid w:val="009D0B93"/>
    <w:rsid w:val="009D0C77"/>
    <w:rsid w:val="009D1075"/>
    <w:rsid w:val="009D1694"/>
    <w:rsid w:val="009D1B50"/>
    <w:rsid w:val="009D1DC1"/>
    <w:rsid w:val="009D1E17"/>
    <w:rsid w:val="009D1EC4"/>
    <w:rsid w:val="009D1EDF"/>
    <w:rsid w:val="009D1F0F"/>
    <w:rsid w:val="009D2561"/>
    <w:rsid w:val="009D25F3"/>
    <w:rsid w:val="009D26D7"/>
    <w:rsid w:val="009D290B"/>
    <w:rsid w:val="009D2BEE"/>
    <w:rsid w:val="009D2CCB"/>
    <w:rsid w:val="009D2DF5"/>
    <w:rsid w:val="009D2EF7"/>
    <w:rsid w:val="009D2F7D"/>
    <w:rsid w:val="009D3077"/>
    <w:rsid w:val="009D326A"/>
    <w:rsid w:val="009D354E"/>
    <w:rsid w:val="009D35C7"/>
    <w:rsid w:val="009D3757"/>
    <w:rsid w:val="009D37B7"/>
    <w:rsid w:val="009D393F"/>
    <w:rsid w:val="009D39C0"/>
    <w:rsid w:val="009D3A88"/>
    <w:rsid w:val="009D3C13"/>
    <w:rsid w:val="009D3E70"/>
    <w:rsid w:val="009D3FBF"/>
    <w:rsid w:val="009D4068"/>
    <w:rsid w:val="009D40D4"/>
    <w:rsid w:val="009D4124"/>
    <w:rsid w:val="009D434F"/>
    <w:rsid w:val="009D442A"/>
    <w:rsid w:val="009D45A2"/>
    <w:rsid w:val="009D47EA"/>
    <w:rsid w:val="009D500C"/>
    <w:rsid w:val="009D51E3"/>
    <w:rsid w:val="009D530C"/>
    <w:rsid w:val="009D5328"/>
    <w:rsid w:val="009D543C"/>
    <w:rsid w:val="009D5725"/>
    <w:rsid w:val="009D581B"/>
    <w:rsid w:val="009D5975"/>
    <w:rsid w:val="009D5AA5"/>
    <w:rsid w:val="009D5B0D"/>
    <w:rsid w:val="009D5C81"/>
    <w:rsid w:val="009D5DD4"/>
    <w:rsid w:val="009D5E6C"/>
    <w:rsid w:val="009D5EE0"/>
    <w:rsid w:val="009D5F18"/>
    <w:rsid w:val="009D5FE6"/>
    <w:rsid w:val="009D60ED"/>
    <w:rsid w:val="009D6204"/>
    <w:rsid w:val="009D623E"/>
    <w:rsid w:val="009D6738"/>
    <w:rsid w:val="009D6852"/>
    <w:rsid w:val="009D696E"/>
    <w:rsid w:val="009D6992"/>
    <w:rsid w:val="009D6A9F"/>
    <w:rsid w:val="009D6BB5"/>
    <w:rsid w:val="009D6D34"/>
    <w:rsid w:val="009D6D60"/>
    <w:rsid w:val="009D6E31"/>
    <w:rsid w:val="009D6E3A"/>
    <w:rsid w:val="009D7043"/>
    <w:rsid w:val="009D72D0"/>
    <w:rsid w:val="009D73D1"/>
    <w:rsid w:val="009D73EE"/>
    <w:rsid w:val="009D75EE"/>
    <w:rsid w:val="009D78A6"/>
    <w:rsid w:val="009D7B41"/>
    <w:rsid w:val="009D7BA2"/>
    <w:rsid w:val="009D7D25"/>
    <w:rsid w:val="009D7D83"/>
    <w:rsid w:val="009D7DF7"/>
    <w:rsid w:val="009D7EC7"/>
    <w:rsid w:val="009D7EFB"/>
    <w:rsid w:val="009E0048"/>
    <w:rsid w:val="009E0106"/>
    <w:rsid w:val="009E022B"/>
    <w:rsid w:val="009E04D7"/>
    <w:rsid w:val="009E062B"/>
    <w:rsid w:val="009E0637"/>
    <w:rsid w:val="009E068A"/>
    <w:rsid w:val="009E06F8"/>
    <w:rsid w:val="009E0808"/>
    <w:rsid w:val="009E0AC0"/>
    <w:rsid w:val="009E0C90"/>
    <w:rsid w:val="009E0D03"/>
    <w:rsid w:val="009E0F81"/>
    <w:rsid w:val="009E0FD5"/>
    <w:rsid w:val="009E10F8"/>
    <w:rsid w:val="009E1114"/>
    <w:rsid w:val="009E1155"/>
    <w:rsid w:val="009E11B6"/>
    <w:rsid w:val="009E1352"/>
    <w:rsid w:val="009E1370"/>
    <w:rsid w:val="009E1421"/>
    <w:rsid w:val="009E159D"/>
    <w:rsid w:val="009E15E2"/>
    <w:rsid w:val="009E161E"/>
    <w:rsid w:val="009E197C"/>
    <w:rsid w:val="009E1AC6"/>
    <w:rsid w:val="009E1D77"/>
    <w:rsid w:val="009E1EAE"/>
    <w:rsid w:val="009E1F56"/>
    <w:rsid w:val="009E25BE"/>
    <w:rsid w:val="009E2656"/>
    <w:rsid w:val="009E268B"/>
    <w:rsid w:val="009E26C7"/>
    <w:rsid w:val="009E2984"/>
    <w:rsid w:val="009E2D1E"/>
    <w:rsid w:val="009E2DA6"/>
    <w:rsid w:val="009E307E"/>
    <w:rsid w:val="009E321B"/>
    <w:rsid w:val="009E3257"/>
    <w:rsid w:val="009E35A5"/>
    <w:rsid w:val="009E36AB"/>
    <w:rsid w:val="009E36B6"/>
    <w:rsid w:val="009E391B"/>
    <w:rsid w:val="009E395D"/>
    <w:rsid w:val="009E39B4"/>
    <w:rsid w:val="009E3BEA"/>
    <w:rsid w:val="009E3CC9"/>
    <w:rsid w:val="009E3CD8"/>
    <w:rsid w:val="009E3E68"/>
    <w:rsid w:val="009E406F"/>
    <w:rsid w:val="009E4188"/>
    <w:rsid w:val="009E41F2"/>
    <w:rsid w:val="009E445E"/>
    <w:rsid w:val="009E45F5"/>
    <w:rsid w:val="009E4B0E"/>
    <w:rsid w:val="009E4B98"/>
    <w:rsid w:val="009E4C62"/>
    <w:rsid w:val="009E4F25"/>
    <w:rsid w:val="009E5143"/>
    <w:rsid w:val="009E529E"/>
    <w:rsid w:val="009E52FB"/>
    <w:rsid w:val="009E5673"/>
    <w:rsid w:val="009E5838"/>
    <w:rsid w:val="009E5C74"/>
    <w:rsid w:val="009E5E38"/>
    <w:rsid w:val="009E5F20"/>
    <w:rsid w:val="009E615B"/>
    <w:rsid w:val="009E63F7"/>
    <w:rsid w:val="009E64DF"/>
    <w:rsid w:val="009E6723"/>
    <w:rsid w:val="009E6741"/>
    <w:rsid w:val="009E677C"/>
    <w:rsid w:val="009E67F4"/>
    <w:rsid w:val="009E69EA"/>
    <w:rsid w:val="009E69F4"/>
    <w:rsid w:val="009E6B6C"/>
    <w:rsid w:val="009E6EF8"/>
    <w:rsid w:val="009E733F"/>
    <w:rsid w:val="009E7473"/>
    <w:rsid w:val="009E7479"/>
    <w:rsid w:val="009E7625"/>
    <w:rsid w:val="009E7843"/>
    <w:rsid w:val="009E7844"/>
    <w:rsid w:val="009E7934"/>
    <w:rsid w:val="009E7B08"/>
    <w:rsid w:val="009E7E79"/>
    <w:rsid w:val="009E7F7D"/>
    <w:rsid w:val="009F0062"/>
    <w:rsid w:val="009F0111"/>
    <w:rsid w:val="009F0122"/>
    <w:rsid w:val="009F016B"/>
    <w:rsid w:val="009F0427"/>
    <w:rsid w:val="009F055C"/>
    <w:rsid w:val="009F05A5"/>
    <w:rsid w:val="009F063D"/>
    <w:rsid w:val="009F0844"/>
    <w:rsid w:val="009F08CF"/>
    <w:rsid w:val="009F0927"/>
    <w:rsid w:val="009F0A2C"/>
    <w:rsid w:val="009F0B02"/>
    <w:rsid w:val="009F0B03"/>
    <w:rsid w:val="009F0C1C"/>
    <w:rsid w:val="009F0E2B"/>
    <w:rsid w:val="009F0F84"/>
    <w:rsid w:val="009F0FAC"/>
    <w:rsid w:val="009F0FC5"/>
    <w:rsid w:val="009F127A"/>
    <w:rsid w:val="009F1497"/>
    <w:rsid w:val="009F1643"/>
    <w:rsid w:val="009F1658"/>
    <w:rsid w:val="009F16F9"/>
    <w:rsid w:val="009F19C9"/>
    <w:rsid w:val="009F1CBD"/>
    <w:rsid w:val="009F22B3"/>
    <w:rsid w:val="009F233E"/>
    <w:rsid w:val="009F244F"/>
    <w:rsid w:val="009F2534"/>
    <w:rsid w:val="009F25E2"/>
    <w:rsid w:val="009F282C"/>
    <w:rsid w:val="009F284A"/>
    <w:rsid w:val="009F2A6A"/>
    <w:rsid w:val="009F2C81"/>
    <w:rsid w:val="009F2D5D"/>
    <w:rsid w:val="009F2E4B"/>
    <w:rsid w:val="009F2E6C"/>
    <w:rsid w:val="009F3196"/>
    <w:rsid w:val="009F356A"/>
    <w:rsid w:val="009F370B"/>
    <w:rsid w:val="009F3783"/>
    <w:rsid w:val="009F3945"/>
    <w:rsid w:val="009F3A62"/>
    <w:rsid w:val="009F3D06"/>
    <w:rsid w:val="009F3DD9"/>
    <w:rsid w:val="009F3F55"/>
    <w:rsid w:val="009F4119"/>
    <w:rsid w:val="009F4225"/>
    <w:rsid w:val="009F4412"/>
    <w:rsid w:val="009F4455"/>
    <w:rsid w:val="009F4518"/>
    <w:rsid w:val="009F45C7"/>
    <w:rsid w:val="009F48E9"/>
    <w:rsid w:val="009F4AB6"/>
    <w:rsid w:val="009F4ACA"/>
    <w:rsid w:val="009F53F6"/>
    <w:rsid w:val="009F54DF"/>
    <w:rsid w:val="009F5651"/>
    <w:rsid w:val="009F5A8F"/>
    <w:rsid w:val="009F5C29"/>
    <w:rsid w:val="009F5E00"/>
    <w:rsid w:val="009F5E24"/>
    <w:rsid w:val="009F5EC0"/>
    <w:rsid w:val="009F5F8A"/>
    <w:rsid w:val="009F63ED"/>
    <w:rsid w:val="009F651A"/>
    <w:rsid w:val="009F6730"/>
    <w:rsid w:val="009F6A33"/>
    <w:rsid w:val="009F6DC2"/>
    <w:rsid w:val="009F7167"/>
    <w:rsid w:val="009F7303"/>
    <w:rsid w:val="009F73C2"/>
    <w:rsid w:val="009F73C4"/>
    <w:rsid w:val="009F7423"/>
    <w:rsid w:val="009F7482"/>
    <w:rsid w:val="009F74AF"/>
    <w:rsid w:val="009F7B9E"/>
    <w:rsid w:val="009F7C70"/>
    <w:rsid w:val="009F7C96"/>
    <w:rsid w:val="009F7CB4"/>
    <w:rsid w:val="00A0024B"/>
    <w:rsid w:val="00A00522"/>
    <w:rsid w:val="00A00585"/>
    <w:rsid w:val="00A007EA"/>
    <w:rsid w:val="00A00B8E"/>
    <w:rsid w:val="00A00BEF"/>
    <w:rsid w:val="00A00C3C"/>
    <w:rsid w:val="00A00DF2"/>
    <w:rsid w:val="00A00EA9"/>
    <w:rsid w:val="00A01306"/>
    <w:rsid w:val="00A01406"/>
    <w:rsid w:val="00A0141A"/>
    <w:rsid w:val="00A01526"/>
    <w:rsid w:val="00A015B5"/>
    <w:rsid w:val="00A01621"/>
    <w:rsid w:val="00A01640"/>
    <w:rsid w:val="00A0179E"/>
    <w:rsid w:val="00A01882"/>
    <w:rsid w:val="00A018B5"/>
    <w:rsid w:val="00A01A21"/>
    <w:rsid w:val="00A01B8D"/>
    <w:rsid w:val="00A01E73"/>
    <w:rsid w:val="00A01F0E"/>
    <w:rsid w:val="00A02023"/>
    <w:rsid w:val="00A021E8"/>
    <w:rsid w:val="00A026E6"/>
    <w:rsid w:val="00A029BC"/>
    <w:rsid w:val="00A02A0D"/>
    <w:rsid w:val="00A02A46"/>
    <w:rsid w:val="00A02C40"/>
    <w:rsid w:val="00A02D23"/>
    <w:rsid w:val="00A02E78"/>
    <w:rsid w:val="00A03320"/>
    <w:rsid w:val="00A0342F"/>
    <w:rsid w:val="00A0349D"/>
    <w:rsid w:val="00A035FD"/>
    <w:rsid w:val="00A03B9E"/>
    <w:rsid w:val="00A03D81"/>
    <w:rsid w:val="00A03DBE"/>
    <w:rsid w:val="00A03FA3"/>
    <w:rsid w:val="00A0406C"/>
    <w:rsid w:val="00A042CB"/>
    <w:rsid w:val="00A042F0"/>
    <w:rsid w:val="00A046B7"/>
    <w:rsid w:val="00A04734"/>
    <w:rsid w:val="00A047B5"/>
    <w:rsid w:val="00A04BA3"/>
    <w:rsid w:val="00A04C2A"/>
    <w:rsid w:val="00A04CF9"/>
    <w:rsid w:val="00A04EA9"/>
    <w:rsid w:val="00A0516A"/>
    <w:rsid w:val="00A05222"/>
    <w:rsid w:val="00A053E4"/>
    <w:rsid w:val="00A053E9"/>
    <w:rsid w:val="00A053EF"/>
    <w:rsid w:val="00A0540D"/>
    <w:rsid w:val="00A05417"/>
    <w:rsid w:val="00A054F5"/>
    <w:rsid w:val="00A0556D"/>
    <w:rsid w:val="00A05612"/>
    <w:rsid w:val="00A056B3"/>
    <w:rsid w:val="00A056F2"/>
    <w:rsid w:val="00A057DE"/>
    <w:rsid w:val="00A058C7"/>
    <w:rsid w:val="00A05CC7"/>
    <w:rsid w:val="00A05EAD"/>
    <w:rsid w:val="00A06085"/>
    <w:rsid w:val="00A0611C"/>
    <w:rsid w:val="00A06635"/>
    <w:rsid w:val="00A06851"/>
    <w:rsid w:val="00A06857"/>
    <w:rsid w:val="00A06CB1"/>
    <w:rsid w:val="00A06D39"/>
    <w:rsid w:val="00A06DCE"/>
    <w:rsid w:val="00A070EE"/>
    <w:rsid w:val="00A07118"/>
    <w:rsid w:val="00A074A0"/>
    <w:rsid w:val="00A07590"/>
    <w:rsid w:val="00A07641"/>
    <w:rsid w:val="00A077A6"/>
    <w:rsid w:val="00A077F0"/>
    <w:rsid w:val="00A0786A"/>
    <w:rsid w:val="00A07893"/>
    <w:rsid w:val="00A07ADA"/>
    <w:rsid w:val="00A07B56"/>
    <w:rsid w:val="00A07BF6"/>
    <w:rsid w:val="00A07C8C"/>
    <w:rsid w:val="00A10034"/>
    <w:rsid w:val="00A10100"/>
    <w:rsid w:val="00A1010D"/>
    <w:rsid w:val="00A104EA"/>
    <w:rsid w:val="00A107E0"/>
    <w:rsid w:val="00A10A43"/>
    <w:rsid w:val="00A10A85"/>
    <w:rsid w:val="00A10B9F"/>
    <w:rsid w:val="00A10F7F"/>
    <w:rsid w:val="00A11158"/>
    <w:rsid w:val="00A113C3"/>
    <w:rsid w:val="00A1144A"/>
    <w:rsid w:val="00A114E4"/>
    <w:rsid w:val="00A11548"/>
    <w:rsid w:val="00A11669"/>
    <w:rsid w:val="00A11684"/>
    <w:rsid w:val="00A119B5"/>
    <w:rsid w:val="00A11CCF"/>
    <w:rsid w:val="00A11EE0"/>
    <w:rsid w:val="00A11F92"/>
    <w:rsid w:val="00A12159"/>
    <w:rsid w:val="00A12346"/>
    <w:rsid w:val="00A12433"/>
    <w:rsid w:val="00A12884"/>
    <w:rsid w:val="00A128C9"/>
    <w:rsid w:val="00A12958"/>
    <w:rsid w:val="00A129A1"/>
    <w:rsid w:val="00A129F9"/>
    <w:rsid w:val="00A12B7B"/>
    <w:rsid w:val="00A12C91"/>
    <w:rsid w:val="00A12DF7"/>
    <w:rsid w:val="00A13300"/>
    <w:rsid w:val="00A13367"/>
    <w:rsid w:val="00A13376"/>
    <w:rsid w:val="00A13482"/>
    <w:rsid w:val="00A1355B"/>
    <w:rsid w:val="00A137CD"/>
    <w:rsid w:val="00A139BB"/>
    <w:rsid w:val="00A13B82"/>
    <w:rsid w:val="00A13C9B"/>
    <w:rsid w:val="00A13D2E"/>
    <w:rsid w:val="00A13DCE"/>
    <w:rsid w:val="00A142DA"/>
    <w:rsid w:val="00A14330"/>
    <w:rsid w:val="00A14512"/>
    <w:rsid w:val="00A145FD"/>
    <w:rsid w:val="00A146D0"/>
    <w:rsid w:val="00A14AD9"/>
    <w:rsid w:val="00A14BE8"/>
    <w:rsid w:val="00A14C2C"/>
    <w:rsid w:val="00A14E75"/>
    <w:rsid w:val="00A15497"/>
    <w:rsid w:val="00A154F3"/>
    <w:rsid w:val="00A156C7"/>
    <w:rsid w:val="00A1579B"/>
    <w:rsid w:val="00A157E2"/>
    <w:rsid w:val="00A157F6"/>
    <w:rsid w:val="00A15915"/>
    <w:rsid w:val="00A15919"/>
    <w:rsid w:val="00A15B15"/>
    <w:rsid w:val="00A15B31"/>
    <w:rsid w:val="00A15E3F"/>
    <w:rsid w:val="00A15F15"/>
    <w:rsid w:val="00A16005"/>
    <w:rsid w:val="00A1602E"/>
    <w:rsid w:val="00A1615F"/>
    <w:rsid w:val="00A1678A"/>
    <w:rsid w:val="00A1683F"/>
    <w:rsid w:val="00A16E33"/>
    <w:rsid w:val="00A172CF"/>
    <w:rsid w:val="00A17310"/>
    <w:rsid w:val="00A17372"/>
    <w:rsid w:val="00A17624"/>
    <w:rsid w:val="00A17869"/>
    <w:rsid w:val="00A178DC"/>
    <w:rsid w:val="00A17B7B"/>
    <w:rsid w:val="00A17C48"/>
    <w:rsid w:val="00A17C94"/>
    <w:rsid w:val="00A17DE7"/>
    <w:rsid w:val="00A17FEE"/>
    <w:rsid w:val="00A2020C"/>
    <w:rsid w:val="00A2028C"/>
    <w:rsid w:val="00A2049F"/>
    <w:rsid w:val="00A204A1"/>
    <w:rsid w:val="00A20634"/>
    <w:rsid w:val="00A206C2"/>
    <w:rsid w:val="00A2081F"/>
    <w:rsid w:val="00A20827"/>
    <w:rsid w:val="00A20D05"/>
    <w:rsid w:val="00A20DE4"/>
    <w:rsid w:val="00A20DF6"/>
    <w:rsid w:val="00A20E1C"/>
    <w:rsid w:val="00A210ED"/>
    <w:rsid w:val="00A210EF"/>
    <w:rsid w:val="00A211FA"/>
    <w:rsid w:val="00A21244"/>
    <w:rsid w:val="00A21452"/>
    <w:rsid w:val="00A21875"/>
    <w:rsid w:val="00A219F5"/>
    <w:rsid w:val="00A21BE4"/>
    <w:rsid w:val="00A21C8C"/>
    <w:rsid w:val="00A221FB"/>
    <w:rsid w:val="00A22261"/>
    <w:rsid w:val="00A222A8"/>
    <w:rsid w:val="00A223FB"/>
    <w:rsid w:val="00A22609"/>
    <w:rsid w:val="00A22636"/>
    <w:rsid w:val="00A22756"/>
    <w:rsid w:val="00A22778"/>
    <w:rsid w:val="00A2283F"/>
    <w:rsid w:val="00A22B02"/>
    <w:rsid w:val="00A22CF4"/>
    <w:rsid w:val="00A22EDA"/>
    <w:rsid w:val="00A22F18"/>
    <w:rsid w:val="00A2303B"/>
    <w:rsid w:val="00A23064"/>
    <w:rsid w:val="00A23243"/>
    <w:rsid w:val="00A23328"/>
    <w:rsid w:val="00A237AF"/>
    <w:rsid w:val="00A2388F"/>
    <w:rsid w:val="00A2395D"/>
    <w:rsid w:val="00A239F6"/>
    <w:rsid w:val="00A23AE5"/>
    <w:rsid w:val="00A23DB9"/>
    <w:rsid w:val="00A24157"/>
    <w:rsid w:val="00A248A0"/>
    <w:rsid w:val="00A2498E"/>
    <w:rsid w:val="00A24D6C"/>
    <w:rsid w:val="00A24EE4"/>
    <w:rsid w:val="00A25157"/>
    <w:rsid w:val="00A25551"/>
    <w:rsid w:val="00A2558D"/>
    <w:rsid w:val="00A25777"/>
    <w:rsid w:val="00A25869"/>
    <w:rsid w:val="00A25942"/>
    <w:rsid w:val="00A25AE8"/>
    <w:rsid w:val="00A25B30"/>
    <w:rsid w:val="00A25BE4"/>
    <w:rsid w:val="00A25D3A"/>
    <w:rsid w:val="00A25DC7"/>
    <w:rsid w:val="00A25DDB"/>
    <w:rsid w:val="00A25F86"/>
    <w:rsid w:val="00A25FB7"/>
    <w:rsid w:val="00A25FC4"/>
    <w:rsid w:val="00A26131"/>
    <w:rsid w:val="00A264D9"/>
    <w:rsid w:val="00A2662E"/>
    <w:rsid w:val="00A2666C"/>
    <w:rsid w:val="00A266C7"/>
    <w:rsid w:val="00A26854"/>
    <w:rsid w:val="00A2685D"/>
    <w:rsid w:val="00A26869"/>
    <w:rsid w:val="00A26B0D"/>
    <w:rsid w:val="00A26E14"/>
    <w:rsid w:val="00A26E58"/>
    <w:rsid w:val="00A27142"/>
    <w:rsid w:val="00A27239"/>
    <w:rsid w:val="00A2724F"/>
    <w:rsid w:val="00A273EE"/>
    <w:rsid w:val="00A27528"/>
    <w:rsid w:val="00A2764C"/>
    <w:rsid w:val="00A27961"/>
    <w:rsid w:val="00A27A60"/>
    <w:rsid w:val="00A27A9B"/>
    <w:rsid w:val="00A27AF8"/>
    <w:rsid w:val="00A27D97"/>
    <w:rsid w:val="00A27E7B"/>
    <w:rsid w:val="00A300DE"/>
    <w:rsid w:val="00A3018A"/>
    <w:rsid w:val="00A301AB"/>
    <w:rsid w:val="00A30225"/>
    <w:rsid w:val="00A303D3"/>
    <w:rsid w:val="00A3059C"/>
    <w:rsid w:val="00A30679"/>
    <w:rsid w:val="00A30A96"/>
    <w:rsid w:val="00A30C8C"/>
    <w:rsid w:val="00A30E13"/>
    <w:rsid w:val="00A30E99"/>
    <w:rsid w:val="00A30F08"/>
    <w:rsid w:val="00A30F3A"/>
    <w:rsid w:val="00A31194"/>
    <w:rsid w:val="00A31213"/>
    <w:rsid w:val="00A3149D"/>
    <w:rsid w:val="00A314B8"/>
    <w:rsid w:val="00A316D9"/>
    <w:rsid w:val="00A317A8"/>
    <w:rsid w:val="00A31918"/>
    <w:rsid w:val="00A319AF"/>
    <w:rsid w:val="00A31ADA"/>
    <w:rsid w:val="00A31B6B"/>
    <w:rsid w:val="00A31BAD"/>
    <w:rsid w:val="00A32151"/>
    <w:rsid w:val="00A321B4"/>
    <w:rsid w:val="00A32325"/>
    <w:rsid w:val="00A325A2"/>
    <w:rsid w:val="00A325B1"/>
    <w:rsid w:val="00A326C4"/>
    <w:rsid w:val="00A32CC6"/>
    <w:rsid w:val="00A32EB1"/>
    <w:rsid w:val="00A330C9"/>
    <w:rsid w:val="00A33412"/>
    <w:rsid w:val="00A33594"/>
    <w:rsid w:val="00A335AF"/>
    <w:rsid w:val="00A33806"/>
    <w:rsid w:val="00A33928"/>
    <w:rsid w:val="00A33B4F"/>
    <w:rsid w:val="00A3421C"/>
    <w:rsid w:val="00A34463"/>
    <w:rsid w:val="00A344CD"/>
    <w:rsid w:val="00A345C8"/>
    <w:rsid w:val="00A34629"/>
    <w:rsid w:val="00A34832"/>
    <w:rsid w:val="00A34842"/>
    <w:rsid w:val="00A349B1"/>
    <w:rsid w:val="00A349BA"/>
    <w:rsid w:val="00A349CB"/>
    <w:rsid w:val="00A34CB2"/>
    <w:rsid w:val="00A34D66"/>
    <w:rsid w:val="00A34DC7"/>
    <w:rsid w:val="00A34E72"/>
    <w:rsid w:val="00A34FA9"/>
    <w:rsid w:val="00A352B3"/>
    <w:rsid w:val="00A355D9"/>
    <w:rsid w:val="00A35770"/>
    <w:rsid w:val="00A357CB"/>
    <w:rsid w:val="00A358E8"/>
    <w:rsid w:val="00A35B05"/>
    <w:rsid w:val="00A35CD2"/>
    <w:rsid w:val="00A36011"/>
    <w:rsid w:val="00A361E8"/>
    <w:rsid w:val="00A363CD"/>
    <w:rsid w:val="00A3656A"/>
    <w:rsid w:val="00A36743"/>
    <w:rsid w:val="00A3688F"/>
    <w:rsid w:val="00A36C0F"/>
    <w:rsid w:val="00A36D6E"/>
    <w:rsid w:val="00A36DE5"/>
    <w:rsid w:val="00A36E63"/>
    <w:rsid w:val="00A36FEC"/>
    <w:rsid w:val="00A3730C"/>
    <w:rsid w:val="00A37855"/>
    <w:rsid w:val="00A37DD5"/>
    <w:rsid w:val="00A4002D"/>
    <w:rsid w:val="00A4003B"/>
    <w:rsid w:val="00A4004D"/>
    <w:rsid w:val="00A40359"/>
    <w:rsid w:val="00A40470"/>
    <w:rsid w:val="00A40475"/>
    <w:rsid w:val="00A40583"/>
    <w:rsid w:val="00A405B4"/>
    <w:rsid w:val="00A407DE"/>
    <w:rsid w:val="00A40906"/>
    <w:rsid w:val="00A40AD3"/>
    <w:rsid w:val="00A40B79"/>
    <w:rsid w:val="00A40C35"/>
    <w:rsid w:val="00A40C88"/>
    <w:rsid w:val="00A40CD5"/>
    <w:rsid w:val="00A40DE4"/>
    <w:rsid w:val="00A40E85"/>
    <w:rsid w:val="00A40EA8"/>
    <w:rsid w:val="00A41637"/>
    <w:rsid w:val="00A4195F"/>
    <w:rsid w:val="00A41B65"/>
    <w:rsid w:val="00A41B72"/>
    <w:rsid w:val="00A41C15"/>
    <w:rsid w:val="00A41CE0"/>
    <w:rsid w:val="00A41F51"/>
    <w:rsid w:val="00A41FBC"/>
    <w:rsid w:val="00A42182"/>
    <w:rsid w:val="00A42574"/>
    <w:rsid w:val="00A42594"/>
    <w:rsid w:val="00A425B0"/>
    <w:rsid w:val="00A4290C"/>
    <w:rsid w:val="00A42A97"/>
    <w:rsid w:val="00A42B48"/>
    <w:rsid w:val="00A42EE2"/>
    <w:rsid w:val="00A434F4"/>
    <w:rsid w:val="00A435BB"/>
    <w:rsid w:val="00A435E7"/>
    <w:rsid w:val="00A43892"/>
    <w:rsid w:val="00A438BD"/>
    <w:rsid w:val="00A43B3B"/>
    <w:rsid w:val="00A44026"/>
    <w:rsid w:val="00A44183"/>
    <w:rsid w:val="00A441A9"/>
    <w:rsid w:val="00A443D1"/>
    <w:rsid w:val="00A44483"/>
    <w:rsid w:val="00A4471D"/>
    <w:rsid w:val="00A447CD"/>
    <w:rsid w:val="00A4489D"/>
    <w:rsid w:val="00A448B3"/>
    <w:rsid w:val="00A44A01"/>
    <w:rsid w:val="00A44B5A"/>
    <w:rsid w:val="00A44CA7"/>
    <w:rsid w:val="00A44D27"/>
    <w:rsid w:val="00A44E11"/>
    <w:rsid w:val="00A44F2E"/>
    <w:rsid w:val="00A44F94"/>
    <w:rsid w:val="00A45039"/>
    <w:rsid w:val="00A450CD"/>
    <w:rsid w:val="00A4510C"/>
    <w:rsid w:val="00A4513D"/>
    <w:rsid w:val="00A4514D"/>
    <w:rsid w:val="00A45276"/>
    <w:rsid w:val="00A453D5"/>
    <w:rsid w:val="00A454CB"/>
    <w:rsid w:val="00A45599"/>
    <w:rsid w:val="00A455F4"/>
    <w:rsid w:val="00A45796"/>
    <w:rsid w:val="00A45A18"/>
    <w:rsid w:val="00A45A63"/>
    <w:rsid w:val="00A45B75"/>
    <w:rsid w:val="00A45BB0"/>
    <w:rsid w:val="00A45F63"/>
    <w:rsid w:val="00A4620B"/>
    <w:rsid w:val="00A46295"/>
    <w:rsid w:val="00A4629F"/>
    <w:rsid w:val="00A46401"/>
    <w:rsid w:val="00A46442"/>
    <w:rsid w:val="00A46557"/>
    <w:rsid w:val="00A46608"/>
    <w:rsid w:val="00A467A4"/>
    <w:rsid w:val="00A467FC"/>
    <w:rsid w:val="00A46AEE"/>
    <w:rsid w:val="00A46BAF"/>
    <w:rsid w:val="00A47705"/>
    <w:rsid w:val="00A47771"/>
    <w:rsid w:val="00A47906"/>
    <w:rsid w:val="00A47918"/>
    <w:rsid w:val="00A47919"/>
    <w:rsid w:val="00A47B2B"/>
    <w:rsid w:val="00A47C39"/>
    <w:rsid w:val="00A47C50"/>
    <w:rsid w:val="00A47CA9"/>
    <w:rsid w:val="00A47E83"/>
    <w:rsid w:val="00A47EAC"/>
    <w:rsid w:val="00A47EB0"/>
    <w:rsid w:val="00A47EC9"/>
    <w:rsid w:val="00A47FD5"/>
    <w:rsid w:val="00A503ED"/>
    <w:rsid w:val="00A50737"/>
    <w:rsid w:val="00A507E6"/>
    <w:rsid w:val="00A50A03"/>
    <w:rsid w:val="00A50A98"/>
    <w:rsid w:val="00A50D7F"/>
    <w:rsid w:val="00A510A3"/>
    <w:rsid w:val="00A510AD"/>
    <w:rsid w:val="00A5136C"/>
    <w:rsid w:val="00A5145B"/>
    <w:rsid w:val="00A51559"/>
    <w:rsid w:val="00A51694"/>
    <w:rsid w:val="00A516C5"/>
    <w:rsid w:val="00A51730"/>
    <w:rsid w:val="00A5183D"/>
    <w:rsid w:val="00A518FA"/>
    <w:rsid w:val="00A519CF"/>
    <w:rsid w:val="00A51C44"/>
    <w:rsid w:val="00A51CD7"/>
    <w:rsid w:val="00A51EDC"/>
    <w:rsid w:val="00A52102"/>
    <w:rsid w:val="00A521EA"/>
    <w:rsid w:val="00A5220B"/>
    <w:rsid w:val="00A52328"/>
    <w:rsid w:val="00A52372"/>
    <w:rsid w:val="00A5249E"/>
    <w:rsid w:val="00A526A2"/>
    <w:rsid w:val="00A529F7"/>
    <w:rsid w:val="00A52AE1"/>
    <w:rsid w:val="00A52B27"/>
    <w:rsid w:val="00A53004"/>
    <w:rsid w:val="00A5303B"/>
    <w:rsid w:val="00A530CC"/>
    <w:rsid w:val="00A5313D"/>
    <w:rsid w:val="00A53259"/>
    <w:rsid w:val="00A537DB"/>
    <w:rsid w:val="00A538C0"/>
    <w:rsid w:val="00A53981"/>
    <w:rsid w:val="00A53A6D"/>
    <w:rsid w:val="00A53C36"/>
    <w:rsid w:val="00A53C77"/>
    <w:rsid w:val="00A53F46"/>
    <w:rsid w:val="00A53F98"/>
    <w:rsid w:val="00A5409D"/>
    <w:rsid w:val="00A541C3"/>
    <w:rsid w:val="00A542C5"/>
    <w:rsid w:val="00A543C9"/>
    <w:rsid w:val="00A547F7"/>
    <w:rsid w:val="00A54901"/>
    <w:rsid w:val="00A54981"/>
    <w:rsid w:val="00A54C2C"/>
    <w:rsid w:val="00A54D37"/>
    <w:rsid w:val="00A54EF9"/>
    <w:rsid w:val="00A54F34"/>
    <w:rsid w:val="00A5541F"/>
    <w:rsid w:val="00A55444"/>
    <w:rsid w:val="00A556EA"/>
    <w:rsid w:val="00A55E6D"/>
    <w:rsid w:val="00A55E99"/>
    <w:rsid w:val="00A55F0E"/>
    <w:rsid w:val="00A561DB"/>
    <w:rsid w:val="00A562CC"/>
    <w:rsid w:val="00A5644F"/>
    <w:rsid w:val="00A56688"/>
    <w:rsid w:val="00A566B0"/>
    <w:rsid w:val="00A56931"/>
    <w:rsid w:val="00A569BC"/>
    <w:rsid w:val="00A56B62"/>
    <w:rsid w:val="00A56C40"/>
    <w:rsid w:val="00A56DA3"/>
    <w:rsid w:val="00A56F48"/>
    <w:rsid w:val="00A56FB4"/>
    <w:rsid w:val="00A573DA"/>
    <w:rsid w:val="00A575B3"/>
    <w:rsid w:val="00A575BD"/>
    <w:rsid w:val="00A57692"/>
    <w:rsid w:val="00A57B8E"/>
    <w:rsid w:val="00A57C80"/>
    <w:rsid w:val="00A57D0D"/>
    <w:rsid w:val="00A57D61"/>
    <w:rsid w:val="00A57ECA"/>
    <w:rsid w:val="00A57F5A"/>
    <w:rsid w:val="00A57F77"/>
    <w:rsid w:val="00A601EA"/>
    <w:rsid w:val="00A6026C"/>
    <w:rsid w:val="00A60397"/>
    <w:rsid w:val="00A603FE"/>
    <w:rsid w:val="00A6079C"/>
    <w:rsid w:val="00A60B4B"/>
    <w:rsid w:val="00A60E15"/>
    <w:rsid w:val="00A60E54"/>
    <w:rsid w:val="00A60FC8"/>
    <w:rsid w:val="00A6118B"/>
    <w:rsid w:val="00A611DD"/>
    <w:rsid w:val="00A613B3"/>
    <w:rsid w:val="00A61463"/>
    <w:rsid w:val="00A61473"/>
    <w:rsid w:val="00A614F0"/>
    <w:rsid w:val="00A61503"/>
    <w:rsid w:val="00A6158C"/>
    <w:rsid w:val="00A61680"/>
    <w:rsid w:val="00A61703"/>
    <w:rsid w:val="00A618BC"/>
    <w:rsid w:val="00A61A48"/>
    <w:rsid w:val="00A61A50"/>
    <w:rsid w:val="00A61C39"/>
    <w:rsid w:val="00A61D38"/>
    <w:rsid w:val="00A61F26"/>
    <w:rsid w:val="00A62008"/>
    <w:rsid w:val="00A620A6"/>
    <w:rsid w:val="00A62122"/>
    <w:rsid w:val="00A621C0"/>
    <w:rsid w:val="00A62281"/>
    <w:rsid w:val="00A6235F"/>
    <w:rsid w:val="00A623ED"/>
    <w:rsid w:val="00A625FA"/>
    <w:rsid w:val="00A6265C"/>
    <w:rsid w:val="00A626B6"/>
    <w:rsid w:val="00A62A66"/>
    <w:rsid w:val="00A62A97"/>
    <w:rsid w:val="00A62C45"/>
    <w:rsid w:val="00A62FEB"/>
    <w:rsid w:val="00A6333F"/>
    <w:rsid w:val="00A633A6"/>
    <w:rsid w:val="00A6357B"/>
    <w:rsid w:val="00A63592"/>
    <w:rsid w:val="00A6360D"/>
    <w:rsid w:val="00A63691"/>
    <w:rsid w:val="00A636AA"/>
    <w:rsid w:val="00A63CA1"/>
    <w:rsid w:val="00A63D3C"/>
    <w:rsid w:val="00A64128"/>
    <w:rsid w:val="00A64186"/>
    <w:rsid w:val="00A64279"/>
    <w:rsid w:val="00A649A3"/>
    <w:rsid w:val="00A64A8D"/>
    <w:rsid w:val="00A64DFF"/>
    <w:rsid w:val="00A64E4A"/>
    <w:rsid w:val="00A64F0B"/>
    <w:rsid w:val="00A65113"/>
    <w:rsid w:val="00A654CF"/>
    <w:rsid w:val="00A65783"/>
    <w:rsid w:val="00A6578B"/>
    <w:rsid w:val="00A65A71"/>
    <w:rsid w:val="00A65B6A"/>
    <w:rsid w:val="00A65C17"/>
    <w:rsid w:val="00A66392"/>
    <w:rsid w:val="00A663F9"/>
    <w:rsid w:val="00A6641E"/>
    <w:rsid w:val="00A66446"/>
    <w:rsid w:val="00A666B8"/>
    <w:rsid w:val="00A6684D"/>
    <w:rsid w:val="00A66900"/>
    <w:rsid w:val="00A66ADC"/>
    <w:rsid w:val="00A66F51"/>
    <w:rsid w:val="00A66FC4"/>
    <w:rsid w:val="00A67078"/>
    <w:rsid w:val="00A67626"/>
    <w:rsid w:val="00A678F0"/>
    <w:rsid w:val="00A678F5"/>
    <w:rsid w:val="00A67AB9"/>
    <w:rsid w:val="00A67E4E"/>
    <w:rsid w:val="00A702C9"/>
    <w:rsid w:val="00A705FB"/>
    <w:rsid w:val="00A7065F"/>
    <w:rsid w:val="00A70745"/>
    <w:rsid w:val="00A70880"/>
    <w:rsid w:val="00A70B82"/>
    <w:rsid w:val="00A70BDD"/>
    <w:rsid w:val="00A70D3C"/>
    <w:rsid w:val="00A70FF3"/>
    <w:rsid w:val="00A711E5"/>
    <w:rsid w:val="00A712BA"/>
    <w:rsid w:val="00A7135A"/>
    <w:rsid w:val="00A7135E"/>
    <w:rsid w:val="00A71A0A"/>
    <w:rsid w:val="00A71A10"/>
    <w:rsid w:val="00A71DD6"/>
    <w:rsid w:val="00A71F73"/>
    <w:rsid w:val="00A71FAA"/>
    <w:rsid w:val="00A720BE"/>
    <w:rsid w:val="00A723EC"/>
    <w:rsid w:val="00A7257A"/>
    <w:rsid w:val="00A72586"/>
    <w:rsid w:val="00A72727"/>
    <w:rsid w:val="00A72A83"/>
    <w:rsid w:val="00A72ACE"/>
    <w:rsid w:val="00A730BC"/>
    <w:rsid w:val="00A73152"/>
    <w:rsid w:val="00A7318C"/>
    <w:rsid w:val="00A732E1"/>
    <w:rsid w:val="00A7330F"/>
    <w:rsid w:val="00A73470"/>
    <w:rsid w:val="00A7351C"/>
    <w:rsid w:val="00A735AE"/>
    <w:rsid w:val="00A7393A"/>
    <w:rsid w:val="00A73973"/>
    <w:rsid w:val="00A73AD9"/>
    <w:rsid w:val="00A73B0F"/>
    <w:rsid w:val="00A73CEF"/>
    <w:rsid w:val="00A741C8"/>
    <w:rsid w:val="00A74290"/>
    <w:rsid w:val="00A7442E"/>
    <w:rsid w:val="00A7471A"/>
    <w:rsid w:val="00A74739"/>
    <w:rsid w:val="00A74915"/>
    <w:rsid w:val="00A74EE2"/>
    <w:rsid w:val="00A751C0"/>
    <w:rsid w:val="00A751FF"/>
    <w:rsid w:val="00A75226"/>
    <w:rsid w:val="00A75341"/>
    <w:rsid w:val="00A75470"/>
    <w:rsid w:val="00A75605"/>
    <w:rsid w:val="00A75762"/>
    <w:rsid w:val="00A757D5"/>
    <w:rsid w:val="00A7583F"/>
    <w:rsid w:val="00A7598F"/>
    <w:rsid w:val="00A75A5D"/>
    <w:rsid w:val="00A75A8E"/>
    <w:rsid w:val="00A75A96"/>
    <w:rsid w:val="00A75CB3"/>
    <w:rsid w:val="00A75EAB"/>
    <w:rsid w:val="00A75F22"/>
    <w:rsid w:val="00A76636"/>
    <w:rsid w:val="00A7663B"/>
    <w:rsid w:val="00A76799"/>
    <w:rsid w:val="00A76B86"/>
    <w:rsid w:val="00A76D8A"/>
    <w:rsid w:val="00A772A8"/>
    <w:rsid w:val="00A77332"/>
    <w:rsid w:val="00A773C5"/>
    <w:rsid w:val="00A7752B"/>
    <w:rsid w:val="00A77633"/>
    <w:rsid w:val="00A777E6"/>
    <w:rsid w:val="00A77851"/>
    <w:rsid w:val="00A7787F"/>
    <w:rsid w:val="00A77CFE"/>
    <w:rsid w:val="00A77D8C"/>
    <w:rsid w:val="00A77DC8"/>
    <w:rsid w:val="00A77E07"/>
    <w:rsid w:val="00A77E69"/>
    <w:rsid w:val="00A77E78"/>
    <w:rsid w:val="00A800E1"/>
    <w:rsid w:val="00A803B6"/>
    <w:rsid w:val="00A8047A"/>
    <w:rsid w:val="00A80829"/>
    <w:rsid w:val="00A8087E"/>
    <w:rsid w:val="00A80ABB"/>
    <w:rsid w:val="00A80BEF"/>
    <w:rsid w:val="00A80C2D"/>
    <w:rsid w:val="00A80C2F"/>
    <w:rsid w:val="00A80F8D"/>
    <w:rsid w:val="00A80F8E"/>
    <w:rsid w:val="00A80FED"/>
    <w:rsid w:val="00A8108B"/>
    <w:rsid w:val="00A812E8"/>
    <w:rsid w:val="00A81343"/>
    <w:rsid w:val="00A814A2"/>
    <w:rsid w:val="00A81667"/>
    <w:rsid w:val="00A81AEA"/>
    <w:rsid w:val="00A81C42"/>
    <w:rsid w:val="00A82190"/>
    <w:rsid w:val="00A823EA"/>
    <w:rsid w:val="00A825B3"/>
    <w:rsid w:val="00A825F8"/>
    <w:rsid w:val="00A82946"/>
    <w:rsid w:val="00A8295C"/>
    <w:rsid w:val="00A82A15"/>
    <w:rsid w:val="00A82E14"/>
    <w:rsid w:val="00A82EDA"/>
    <w:rsid w:val="00A82EFF"/>
    <w:rsid w:val="00A82F2D"/>
    <w:rsid w:val="00A82FA3"/>
    <w:rsid w:val="00A8358E"/>
    <w:rsid w:val="00A835B1"/>
    <w:rsid w:val="00A83719"/>
    <w:rsid w:val="00A837B3"/>
    <w:rsid w:val="00A8381F"/>
    <w:rsid w:val="00A83A9D"/>
    <w:rsid w:val="00A83BFC"/>
    <w:rsid w:val="00A83FCC"/>
    <w:rsid w:val="00A843E4"/>
    <w:rsid w:val="00A84435"/>
    <w:rsid w:val="00A845B7"/>
    <w:rsid w:val="00A84793"/>
    <w:rsid w:val="00A84814"/>
    <w:rsid w:val="00A84877"/>
    <w:rsid w:val="00A84B93"/>
    <w:rsid w:val="00A84BA8"/>
    <w:rsid w:val="00A84D48"/>
    <w:rsid w:val="00A84F33"/>
    <w:rsid w:val="00A85037"/>
    <w:rsid w:val="00A85236"/>
    <w:rsid w:val="00A852B7"/>
    <w:rsid w:val="00A852FB"/>
    <w:rsid w:val="00A85659"/>
    <w:rsid w:val="00A8572C"/>
    <w:rsid w:val="00A8594E"/>
    <w:rsid w:val="00A85B3B"/>
    <w:rsid w:val="00A85D9E"/>
    <w:rsid w:val="00A861F8"/>
    <w:rsid w:val="00A86253"/>
    <w:rsid w:val="00A86342"/>
    <w:rsid w:val="00A86757"/>
    <w:rsid w:val="00A8685F"/>
    <w:rsid w:val="00A86CED"/>
    <w:rsid w:val="00A86D1B"/>
    <w:rsid w:val="00A86E81"/>
    <w:rsid w:val="00A86F81"/>
    <w:rsid w:val="00A870C8"/>
    <w:rsid w:val="00A87197"/>
    <w:rsid w:val="00A871CE"/>
    <w:rsid w:val="00A87218"/>
    <w:rsid w:val="00A873B0"/>
    <w:rsid w:val="00A87554"/>
    <w:rsid w:val="00A878E8"/>
    <w:rsid w:val="00A87A0C"/>
    <w:rsid w:val="00A87DB8"/>
    <w:rsid w:val="00A87F6F"/>
    <w:rsid w:val="00A87FC9"/>
    <w:rsid w:val="00A90048"/>
    <w:rsid w:val="00A90270"/>
    <w:rsid w:val="00A9053D"/>
    <w:rsid w:val="00A90540"/>
    <w:rsid w:val="00A905C1"/>
    <w:rsid w:val="00A905DE"/>
    <w:rsid w:val="00A905E4"/>
    <w:rsid w:val="00A905EF"/>
    <w:rsid w:val="00A90709"/>
    <w:rsid w:val="00A9088F"/>
    <w:rsid w:val="00A90AAE"/>
    <w:rsid w:val="00A90B26"/>
    <w:rsid w:val="00A90CF1"/>
    <w:rsid w:val="00A9121B"/>
    <w:rsid w:val="00A9136C"/>
    <w:rsid w:val="00A91374"/>
    <w:rsid w:val="00A91661"/>
    <w:rsid w:val="00A91870"/>
    <w:rsid w:val="00A918C5"/>
    <w:rsid w:val="00A91AFF"/>
    <w:rsid w:val="00A91F83"/>
    <w:rsid w:val="00A920BD"/>
    <w:rsid w:val="00A921C5"/>
    <w:rsid w:val="00A92507"/>
    <w:rsid w:val="00A925AF"/>
    <w:rsid w:val="00A92672"/>
    <w:rsid w:val="00A926E1"/>
    <w:rsid w:val="00A92877"/>
    <w:rsid w:val="00A92BA6"/>
    <w:rsid w:val="00A92C02"/>
    <w:rsid w:val="00A92E0B"/>
    <w:rsid w:val="00A92E11"/>
    <w:rsid w:val="00A92F32"/>
    <w:rsid w:val="00A92F55"/>
    <w:rsid w:val="00A939BB"/>
    <w:rsid w:val="00A93A36"/>
    <w:rsid w:val="00A93EF2"/>
    <w:rsid w:val="00A94087"/>
    <w:rsid w:val="00A94193"/>
    <w:rsid w:val="00A942E4"/>
    <w:rsid w:val="00A943C4"/>
    <w:rsid w:val="00A944FB"/>
    <w:rsid w:val="00A945A8"/>
    <w:rsid w:val="00A9460A"/>
    <w:rsid w:val="00A94865"/>
    <w:rsid w:val="00A94A3E"/>
    <w:rsid w:val="00A94DAF"/>
    <w:rsid w:val="00A94EC7"/>
    <w:rsid w:val="00A955E3"/>
    <w:rsid w:val="00A95729"/>
    <w:rsid w:val="00A957CD"/>
    <w:rsid w:val="00A95B6F"/>
    <w:rsid w:val="00A95BE8"/>
    <w:rsid w:val="00A95BFA"/>
    <w:rsid w:val="00A95C5A"/>
    <w:rsid w:val="00A95CF1"/>
    <w:rsid w:val="00A95D03"/>
    <w:rsid w:val="00A95DFB"/>
    <w:rsid w:val="00A95E0E"/>
    <w:rsid w:val="00A95E7A"/>
    <w:rsid w:val="00A9619A"/>
    <w:rsid w:val="00A96260"/>
    <w:rsid w:val="00A96415"/>
    <w:rsid w:val="00A9651D"/>
    <w:rsid w:val="00A967F5"/>
    <w:rsid w:val="00A96ABF"/>
    <w:rsid w:val="00A96D4C"/>
    <w:rsid w:val="00A9702D"/>
    <w:rsid w:val="00A97044"/>
    <w:rsid w:val="00A970CB"/>
    <w:rsid w:val="00A974BB"/>
    <w:rsid w:val="00A9753C"/>
    <w:rsid w:val="00A975BE"/>
    <w:rsid w:val="00A9770C"/>
    <w:rsid w:val="00A97736"/>
    <w:rsid w:val="00A97743"/>
    <w:rsid w:val="00A97766"/>
    <w:rsid w:val="00A9778B"/>
    <w:rsid w:val="00A97796"/>
    <w:rsid w:val="00A979F3"/>
    <w:rsid w:val="00A97BBA"/>
    <w:rsid w:val="00A97E86"/>
    <w:rsid w:val="00A97FAD"/>
    <w:rsid w:val="00AA0500"/>
    <w:rsid w:val="00AA065F"/>
    <w:rsid w:val="00AA06D6"/>
    <w:rsid w:val="00AA070B"/>
    <w:rsid w:val="00AA072F"/>
    <w:rsid w:val="00AA092E"/>
    <w:rsid w:val="00AA0B7E"/>
    <w:rsid w:val="00AA0C8B"/>
    <w:rsid w:val="00AA123B"/>
    <w:rsid w:val="00AA1329"/>
    <w:rsid w:val="00AA145C"/>
    <w:rsid w:val="00AA14D1"/>
    <w:rsid w:val="00AA16FD"/>
    <w:rsid w:val="00AA172E"/>
    <w:rsid w:val="00AA1753"/>
    <w:rsid w:val="00AA1838"/>
    <w:rsid w:val="00AA19FD"/>
    <w:rsid w:val="00AA1C6C"/>
    <w:rsid w:val="00AA1CC4"/>
    <w:rsid w:val="00AA1CE3"/>
    <w:rsid w:val="00AA1FD1"/>
    <w:rsid w:val="00AA2152"/>
    <w:rsid w:val="00AA219F"/>
    <w:rsid w:val="00AA251D"/>
    <w:rsid w:val="00AA2550"/>
    <w:rsid w:val="00AA2588"/>
    <w:rsid w:val="00AA273E"/>
    <w:rsid w:val="00AA2A31"/>
    <w:rsid w:val="00AA2A36"/>
    <w:rsid w:val="00AA2F68"/>
    <w:rsid w:val="00AA2F91"/>
    <w:rsid w:val="00AA2FE0"/>
    <w:rsid w:val="00AA3054"/>
    <w:rsid w:val="00AA3109"/>
    <w:rsid w:val="00AA3319"/>
    <w:rsid w:val="00AA36A3"/>
    <w:rsid w:val="00AA37F0"/>
    <w:rsid w:val="00AA3811"/>
    <w:rsid w:val="00AA3AFE"/>
    <w:rsid w:val="00AA3B8A"/>
    <w:rsid w:val="00AA4081"/>
    <w:rsid w:val="00AA40BF"/>
    <w:rsid w:val="00AA418D"/>
    <w:rsid w:val="00AA41D8"/>
    <w:rsid w:val="00AA4399"/>
    <w:rsid w:val="00AA43B7"/>
    <w:rsid w:val="00AA441C"/>
    <w:rsid w:val="00AA455B"/>
    <w:rsid w:val="00AA462F"/>
    <w:rsid w:val="00AA4660"/>
    <w:rsid w:val="00AA46A7"/>
    <w:rsid w:val="00AA47AE"/>
    <w:rsid w:val="00AA4867"/>
    <w:rsid w:val="00AA4889"/>
    <w:rsid w:val="00AA491B"/>
    <w:rsid w:val="00AA492E"/>
    <w:rsid w:val="00AA4A0B"/>
    <w:rsid w:val="00AA4A33"/>
    <w:rsid w:val="00AA4D57"/>
    <w:rsid w:val="00AA4E42"/>
    <w:rsid w:val="00AA4F7F"/>
    <w:rsid w:val="00AA5008"/>
    <w:rsid w:val="00AA5228"/>
    <w:rsid w:val="00AA52F3"/>
    <w:rsid w:val="00AA531B"/>
    <w:rsid w:val="00AA5441"/>
    <w:rsid w:val="00AA60D4"/>
    <w:rsid w:val="00AA6547"/>
    <w:rsid w:val="00AA65D6"/>
    <w:rsid w:val="00AA6702"/>
    <w:rsid w:val="00AA6B82"/>
    <w:rsid w:val="00AA6C52"/>
    <w:rsid w:val="00AA6CC7"/>
    <w:rsid w:val="00AA6E07"/>
    <w:rsid w:val="00AA6E1A"/>
    <w:rsid w:val="00AA6EA6"/>
    <w:rsid w:val="00AA6FD7"/>
    <w:rsid w:val="00AA73E3"/>
    <w:rsid w:val="00AA7431"/>
    <w:rsid w:val="00AA7511"/>
    <w:rsid w:val="00AA75F9"/>
    <w:rsid w:val="00AA7702"/>
    <w:rsid w:val="00AA7844"/>
    <w:rsid w:val="00AA7C13"/>
    <w:rsid w:val="00AA7E91"/>
    <w:rsid w:val="00AA7F35"/>
    <w:rsid w:val="00AB00BA"/>
    <w:rsid w:val="00AB06F5"/>
    <w:rsid w:val="00AB0A0C"/>
    <w:rsid w:val="00AB0AB7"/>
    <w:rsid w:val="00AB0C34"/>
    <w:rsid w:val="00AB0D7E"/>
    <w:rsid w:val="00AB0EE1"/>
    <w:rsid w:val="00AB0FD4"/>
    <w:rsid w:val="00AB129A"/>
    <w:rsid w:val="00AB14F5"/>
    <w:rsid w:val="00AB1590"/>
    <w:rsid w:val="00AB1A2E"/>
    <w:rsid w:val="00AB1AC8"/>
    <w:rsid w:val="00AB1AEE"/>
    <w:rsid w:val="00AB1D3E"/>
    <w:rsid w:val="00AB2009"/>
    <w:rsid w:val="00AB2155"/>
    <w:rsid w:val="00AB2366"/>
    <w:rsid w:val="00AB2A13"/>
    <w:rsid w:val="00AB2BD0"/>
    <w:rsid w:val="00AB2E06"/>
    <w:rsid w:val="00AB2EC7"/>
    <w:rsid w:val="00AB2F1D"/>
    <w:rsid w:val="00AB2F57"/>
    <w:rsid w:val="00AB2FFF"/>
    <w:rsid w:val="00AB30AF"/>
    <w:rsid w:val="00AB351F"/>
    <w:rsid w:val="00AB3E26"/>
    <w:rsid w:val="00AB3EF9"/>
    <w:rsid w:val="00AB3F4D"/>
    <w:rsid w:val="00AB40B6"/>
    <w:rsid w:val="00AB416C"/>
    <w:rsid w:val="00AB4269"/>
    <w:rsid w:val="00AB4289"/>
    <w:rsid w:val="00AB4322"/>
    <w:rsid w:val="00AB4379"/>
    <w:rsid w:val="00AB4594"/>
    <w:rsid w:val="00AB45A9"/>
    <w:rsid w:val="00AB45FF"/>
    <w:rsid w:val="00AB46C9"/>
    <w:rsid w:val="00AB47AB"/>
    <w:rsid w:val="00AB48A4"/>
    <w:rsid w:val="00AB4B56"/>
    <w:rsid w:val="00AB4C5C"/>
    <w:rsid w:val="00AB5155"/>
    <w:rsid w:val="00AB51AA"/>
    <w:rsid w:val="00AB52C1"/>
    <w:rsid w:val="00AB537B"/>
    <w:rsid w:val="00AB5536"/>
    <w:rsid w:val="00AB5572"/>
    <w:rsid w:val="00AB56EE"/>
    <w:rsid w:val="00AB576A"/>
    <w:rsid w:val="00AB584C"/>
    <w:rsid w:val="00AB593B"/>
    <w:rsid w:val="00AB596F"/>
    <w:rsid w:val="00AB5B5A"/>
    <w:rsid w:val="00AB5B80"/>
    <w:rsid w:val="00AB5C8D"/>
    <w:rsid w:val="00AB5CCF"/>
    <w:rsid w:val="00AB60C5"/>
    <w:rsid w:val="00AB62F6"/>
    <w:rsid w:val="00AB66E1"/>
    <w:rsid w:val="00AB67C4"/>
    <w:rsid w:val="00AB68AF"/>
    <w:rsid w:val="00AB6B7C"/>
    <w:rsid w:val="00AB6BE2"/>
    <w:rsid w:val="00AB6C69"/>
    <w:rsid w:val="00AB7185"/>
    <w:rsid w:val="00AB71DB"/>
    <w:rsid w:val="00AB73C0"/>
    <w:rsid w:val="00AB744F"/>
    <w:rsid w:val="00AB7555"/>
    <w:rsid w:val="00AB7569"/>
    <w:rsid w:val="00AB7671"/>
    <w:rsid w:val="00AB7760"/>
    <w:rsid w:val="00AB77FF"/>
    <w:rsid w:val="00AB7907"/>
    <w:rsid w:val="00AB7934"/>
    <w:rsid w:val="00AB7B7A"/>
    <w:rsid w:val="00AB7CB7"/>
    <w:rsid w:val="00AB7DE0"/>
    <w:rsid w:val="00AB7F37"/>
    <w:rsid w:val="00AC0347"/>
    <w:rsid w:val="00AC0421"/>
    <w:rsid w:val="00AC08F7"/>
    <w:rsid w:val="00AC0BD9"/>
    <w:rsid w:val="00AC0CC4"/>
    <w:rsid w:val="00AC0F21"/>
    <w:rsid w:val="00AC0F27"/>
    <w:rsid w:val="00AC10A0"/>
    <w:rsid w:val="00AC11D0"/>
    <w:rsid w:val="00AC1220"/>
    <w:rsid w:val="00AC1595"/>
    <w:rsid w:val="00AC196E"/>
    <w:rsid w:val="00AC1B8D"/>
    <w:rsid w:val="00AC1C02"/>
    <w:rsid w:val="00AC1F9C"/>
    <w:rsid w:val="00AC256C"/>
    <w:rsid w:val="00AC259D"/>
    <w:rsid w:val="00AC2824"/>
    <w:rsid w:val="00AC2854"/>
    <w:rsid w:val="00AC2B38"/>
    <w:rsid w:val="00AC2C1D"/>
    <w:rsid w:val="00AC30BE"/>
    <w:rsid w:val="00AC331C"/>
    <w:rsid w:val="00AC3333"/>
    <w:rsid w:val="00AC338F"/>
    <w:rsid w:val="00AC347D"/>
    <w:rsid w:val="00AC3484"/>
    <w:rsid w:val="00AC3570"/>
    <w:rsid w:val="00AC3652"/>
    <w:rsid w:val="00AC3811"/>
    <w:rsid w:val="00AC38F1"/>
    <w:rsid w:val="00AC391C"/>
    <w:rsid w:val="00AC391D"/>
    <w:rsid w:val="00AC39C3"/>
    <w:rsid w:val="00AC3ABC"/>
    <w:rsid w:val="00AC3B9E"/>
    <w:rsid w:val="00AC3DA8"/>
    <w:rsid w:val="00AC3E5C"/>
    <w:rsid w:val="00AC3ECD"/>
    <w:rsid w:val="00AC3EDE"/>
    <w:rsid w:val="00AC416C"/>
    <w:rsid w:val="00AC4211"/>
    <w:rsid w:val="00AC4262"/>
    <w:rsid w:val="00AC427A"/>
    <w:rsid w:val="00AC45B4"/>
    <w:rsid w:val="00AC4619"/>
    <w:rsid w:val="00AC461F"/>
    <w:rsid w:val="00AC46CF"/>
    <w:rsid w:val="00AC4743"/>
    <w:rsid w:val="00AC4D2C"/>
    <w:rsid w:val="00AC4EC2"/>
    <w:rsid w:val="00AC519F"/>
    <w:rsid w:val="00AC5551"/>
    <w:rsid w:val="00AC55C1"/>
    <w:rsid w:val="00AC575F"/>
    <w:rsid w:val="00AC5A1A"/>
    <w:rsid w:val="00AC5A6B"/>
    <w:rsid w:val="00AC5AB0"/>
    <w:rsid w:val="00AC5B01"/>
    <w:rsid w:val="00AC5BB9"/>
    <w:rsid w:val="00AC5BBF"/>
    <w:rsid w:val="00AC610F"/>
    <w:rsid w:val="00AC62FC"/>
    <w:rsid w:val="00AC631A"/>
    <w:rsid w:val="00AC6333"/>
    <w:rsid w:val="00AC6539"/>
    <w:rsid w:val="00AC6619"/>
    <w:rsid w:val="00AC6658"/>
    <w:rsid w:val="00AC6722"/>
    <w:rsid w:val="00AC68BD"/>
    <w:rsid w:val="00AC6AC4"/>
    <w:rsid w:val="00AC6B2C"/>
    <w:rsid w:val="00AC6E6B"/>
    <w:rsid w:val="00AC6FB0"/>
    <w:rsid w:val="00AC7070"/>
    <w:rsid w:val="00AC7299"/>
    <w:rsid w:val="00AC730A"/>
    <w:rsid w:val="00AC7959"/>
    <w:rsid w:val="00AC7C14"/>
    <w:rsid w:val="00AC7C60"/>
    <w:rsid w:val="00AC7E57"/>
    <w:rsid w:val="00AD011C"/>
    <w:rsid w:val="00AD0248"/>
    <w:rsid w:val="00AD0304"/>
    <w:rsid w:val="00AD0396"/>
    <w:rsid w:val="00AD0588"/>
    <w:rsid w:val="00AD088D"/>
    <w:rsid w:val="00AD09A8"/>
    <w:rsid w:val="00AD0CDE"/>
    <w:rsid w:val="00AD0DF8"/>
    <w:rsid w:val="00AD0FE7"/>
    <w:rsid w:val="00AD1023"/>
    <w:rsid w:val="00AD1096"/>
    <w:rsid w:val="00AD11DC"/>
    <w:rsid w:val="00AD121C"/>
    <w:rsid w:val="00AD12E2"/>
    <w:rsid w:val="00AD1D07"/>
    <w:rsid w:val="00AD1D98"/>
    <w:rsid w:val="00AD1DF3"/>
    <w:rsid w:val="00AD2410"/>
    <w:rsid w:val="00AD2625"/>
    <w:rsid w:val="00AD27FA"/>
    <w:rsid w:val="00AD28F4"/>
    <w:rsid w:val="00AD2C39"/>
    <w:rsid w:val="00AD3012"/>
    <w:rsid w:val="00AD30FB"/>
    <w:rsid w:val="00AD3157"/>
    <w:rsid w:val="00AD3225"/>
    <w:rsid w:val="00AD3528"/>
    <w:rsid w:val="00AD3787"/>
    <w:rsid w:val="00AD391E"/>
    <w:rsid w:val="00AD39D2"/>
    <w:rsid w:val="00AD3AAC"/>
    <w:rsid w:val="00AD3FE5"/>
    <w:rsid w:val="00AD44AB"/>
    <w:rsid w:val="00AD4886"/>
    <w:rsid w:val="00AD4B7C"/>
    <w:rsid w:val="00AD4BD4"/>
    <w:rsid w:val="00AD4D8F"/>
    <w:rsid w:val="00AD4E6E"/>
    <w:rsid w:val="00AD4E9D"/>
    <w:rsid w:val="00AD5054"/>
    <w:rsid w:val="00AD5097"/>
    <w:rsid w:val="00AD53BF"/>
    <w:rsid w:val="00AD59B2"/>
    <w:rsid w:val="00AD5C38"/>
    <w:rsid w:val="00AD5CC1"/>
    <w:rsid w:val="00AD5D0D"/>
    <w:rsid w:val="00AD5D64"/>
    <w:rsid w:val="00AD5E5D"/>
    <w:rsid w:val="00AD62B1"/>
    <w:rsid w:val="00AD6365"/>
    <w:rsid w:val="00AD656E"/>
    <w:rsid w:val="00AD6628"/>
    <w:rsid w:val="00AD664D"/>
    <w:rsid w:val="00AD67BE"/>
    <w:rsid w:val="00AD690E"/>
    <w:rsid w:val="00AD6B4C"/>
    <w:rsid w:val="00AD6CA2"/>
    <w:rsid w:val="00AD70F2"/>
    <w:rsid w:val="00AD71F6"/>
    <w:rsid w:val="00AD76A2"/>
    <w:rsid w:val="00AD782B"/>
    <w:rsid w:val="00AD7951"/>
    <w:rsid w:val="00AD79B0"/>
    <w:rsid w:val="00AD7D2B"/>
    <w:rsid w:val="00AE01AC"/>
    <w:rsid w:val="00AE03A1"/>
    <w:rsid w:val="00AE053E"/>
    <w:rsid w:val="00AE057E"/>
    <w:rsid w:val="00AE05FF"/>
    <w:rsid w:val="00AE08BC"/>
    <w:rsid w:val="00AE0B81"/>
    <w:rsid w:val="00AE0C6C"/>
    <w:rsid w:val="00AE0CA7"/>
    <w:rsid w:val="00AE0DCD"/>
    <w:rsid w:val="00AE0E79"/>
    <w:rsid w:val="00AE10A5"/>
    <w:rsid w:val="00AE1165"/>
    <w:rsid w:val="00AE11AA"/>
    <w:rsid w:val="00AE122B"/>
    <w:rsid w:val="00AE134E"/>
    <w:rsid w:val="00AE1522"/>
    <w:rsid w:val="00AE1627"/>
    <w:rsid w:val="00AE16A3"/>
    <w:rsid w:val="00AE1D86"/>
    <w:rsid w:val="00AE1E5D"/>
    <w:rsid w:val="00AE24B4"/>
    <w:rsid w:val="00AE24C3"/>
    <w:rsid w:val="00AE2B2B"/>
    <w:rsid w:val="00AE2BDF"/>
    <w:rsid w:val="00AE2C61"/>
    <w:rsid w:val="00AE2CE3"/>
    <w:rsid w:val="00AE2EAC"/>
    <w:rsid w:val="00AE2F2B"/>
    <w:rsid w:val="00AE311D"/>
    <w:rsid w:val="00AE31D4"/>
    <w:rsid w:val="00AE32AD"/>
    <w:rsid w:val="00AE3486"/>
    <w:rsid w:val="00AE3587"/>
    <w:rsid w:val="00AE35C2"/>
    <w:rsid w:val="00AE3654"/>
    <w:rsid w:val="00AE3964"/>
    <w:rsid w:val="00AE3979"/>
    <w:rsid w:val="00AE3A3D"/>
    <w:rsid w:val="00AE3B9C"/>
    <w:rsid w:val="00AE3D7A"/>
    <w:rsid w:val="00AE3F01"/>
    <w:rsid w:val="00AE4015"/>
    <w:rsid w:val="00AE40F7"/>
    <w:rsid w:val="00AE4102"/>
    <w:rsid w:val="00AE41AB"/>
    <w:rsid w:val="00AE44AB"/>
    <w:rsid w:val="00AE450A"/>
    <w:rsid w:val="00AE452E"/>
    <w:rsid w:val="00AE481F"/>
    <w:rsid w:val="00AE4856"/>
    <w:rsid w:val="00AE4880"/>
    <w:rsid w:val="00AE4896"/>
    <w:rsid w:val="00AE48FE"/>
    <w:rsid w:val="00AE492D"/>
    <w:rsid w:val="00AE4B61"/>
    <w:rsid w:val="00AE4BC8"/>
    <w:rsid w:val="00AE4C98"/>
    <w:rsid w:val="00AE4CAE"/>
    <w:rsid w:val="00AE4D9E"/>
    <w:rsid w:val="00AE4DB5"/>
    <w:rsid w:val="00AE4E1A"/>
    <w:rsid w:val="00AE4ECC"/>
    <w:rsid w:val="00AE5166"/>
    <w:rsid w:val="00AE51E9"/>
    <w:rsid w:val="00AE553C"/>
    <w:rsid w:val="00AE5569"/>
    <w:rsid w:val="00AE5637"/>
    <w:rsid w:val="00AE57F0"/>
    <w:rsid w:val="00AE5952"/>
    <w:rsid w:val="00AE5A18"/>
    <w:rsid w:val="00AE5CF6"/>
    <w:rsid w:val="00AE6166"/>
    <w:rsid w:val="00AE618E"/>
    <w:rsid w:val="00AE6456"/>
    <w:rsid w:val="00AE6488"/>
    <w:rsid w:val="00AE6805"/>
    <w:rsid w:val="00AE681F"/>
    <w:rsid w:val="00AE6967"/>
    <w:rsid w:val="00AE6998"/>
    <w:rsid w:val="00AE6DF6"/>
    <w:rsid w:val="00AE6ED4"/>
    <w:rsid w:val="00AE6EE0"/>
    <w:rsid w:val="00AE7468"/>
    <w:rsid w:val="00AE7487"/>
    <w:rsid w:val="00AE766B"/>
    <w:rsid w:val="00AE7678"/>
    <w:rsid w:val="00AE7757"/>
    <w:rsid w:val="00AE781B"/>
    <w:rsid w:val="00AE7849"/>
    <w:rsid w:val="00AE796D"/>
    <w:rsid w:val="00AE7AC2"/>
    <w:rsid w:val="00AE7D11"/>
    <w:rsid w:val="00AF0072"/>
    <w:rsid w:val="00AF049C"/>
    <w:rsid w:val="00AF0595"/>
    <w:rsid w:val="00AF0686"/>
    <w:rsid w:val="00AF092F"/>
    <w:rsid w:val="00AF0A4D"/>
    <w:rsid w:val="00AF0A88"/>
    <w:rsid w:val="00AF0DBD"/>
    <w:rsid w:val="00AF0FB7"/>
    <w:rsid w:val="00AF114E"/>
    <w:rsid w:val="00AF123A"/>
    <w:rsid w:val="00AF16E7"/>
    <w:rsid w:val="00AF1A69"/>
    <w:rsid w:val="00AF1C7F"/>
    <w:rsid w:val="00AF1CCE"/>
    <w:rsid w:val="00AF1D22"/>
    <w:rsid w:val="00AF1DA6"/>
    <w:rsid w:val="00AF230F"/>
    <w:rsid w:val="00AF2782"/>
    <w:rsid w:val="00AF2817"/>
    <w:rsid w:val="00AF2824"/>
    <w:rsid w:val="00AF297E"/>
    <w:rsid w:val="00AF2B21"/>
    <w:rsid w:val="00AF2EEE"/>
    <w:rsid w:val="00AF2F6A"/>
    <w:rsid w:val="00AF3015"/>
    <w:rsid w:val="00AF31AF"/>
    <w:rsid w:val="00AF3316"/>
    <w:rsid w:val="00AF3450"/>
    <w:rsid w:val="00AF3726"/>
    <w:rsid w:val="00AF37A0"/>
    <w:rsid w:val="00AF37B4"/>
    <w:rsid w:val="00AF3895"/>
    <w:rsid w:val="00AF399E"/>
    <w:rsid w:val="00AF3BC6"/>
    <w:rsid w:val="00AF3CC1"/>
    <w:rsid w:val="00AF3CFF"/>
    <w:rsid w:val="00AF3E4B"/>
    <w:rsid w:val="00AF3F2D"/>
    <w:rsid w:val="00AF40BC"/>
    <w:rsid w:val="00AF42E8"/>
    <w:rsid w:val="00AF447F"/>
    <w:rsid w:val="00AF45F1"/>
    <w:rsid w:val="00AF46B9"/>
    <w:rsid w:val="00AF4790"/>
    <w:rsid w:val="00AF47EA"/>
    <w:rsid w:val="00AF4815"/>
    <w:rsid w:val="00AF48AD"/>
    <w:rsid w:val="00AF49EE"/>
    <w:rsid w:val="00AF4EB5"/>
    <w:rsid w:val="00AF50EA"/>
    <w:rsid w:val="00AF513A"/>
    <w:rsid w:val="00AF5520"/>
    <w:rsid w:val="00AF572B"/>
    <w:rsid w:val="00AF5804"/>
    <w:rsid w:val="00AF5820"/>
    <w:rsid w:val="00AF5992"/>
    <w:rsid w:val="00AF59F4"/>
    <w:rsid w:val="00AF5AA7"/>
    <w:rsid w:val="00AF5AC5"/>
    <w:rsid w:val="00AF5D17"/>
    <w:rsid w:val="00AF5D59"/>
    <w:rsid w:val="00AF5E68"/>
    <w:rsid w:val="00AF5F3D"/>
    <w:rsid w:val="00AF5FD0"/>
    <w:rsid w:val="00AF6129"/>
    <w:rsid w:val="00AF61F8"/>
    <w:rsid w:val="00AF6265"/>
    <w:rsid w:val="00AF6434"/>
    <w:rsid w:val="00AF67B9"/>
    <w:rsid w:val="00AF6828"/>
    <w:rsid w:val="00AF6A99"/>
    <w:rsid w:val="00AF6C88"/>
    <w:rsid w:val="00AF6D23"/>
    <w:rsid w:val="00AF6D3B"/>
    <w:rsid w:val="00AF6E7E"/>
    <w:rsid w:val="00AF6E85"/>
    <w:rsid w:val="00AF6F5B"/>
    <w:rsid w:val="00AF706D"/>
    <w:rsid w:val="00AF7309"/>
    <w:rsid w:val="00AF7424"/>
    <w:rsid w:val="00AF775F"/>
    <w:rsid w:val="00AF793F"/>
    <w:rsid w:val="00AF7B05"/>
    <w:rsid w:val="00AF7B51"/>
    <w:rsid w:val="00AF7B85"/>
    <w:rsid w:val="00B0024F"/>
    <w:rsid w:val="00B00261"/>
    <w:rsid w:val="00B003FD"/>
    <w:rsid w:val="00B00598"/>
    <w:rsid w:val="00B005E3"/>
    <w:rsid w:val="00B005E8"/>
    <w:rsid w:val="00B006C3"/>
    <w:rsid w:val="00B0090E"/>
    <w:rsid w:val="00B00A5A"/>
    <w:rsid w:val="00B00AEA"/>
    <w:rsid w:val="00B00B31"/>
    <w:rsid w:val="00B00BB1"/>
    <w:rsid w:val="00B00E2A"/>
    <w:rsid w:val="00B00E79"/>
    <w:rsid w:val="00B00ECA"/>
    <w:rsid w:val="00B00F52"/>
    <w:rsid w:val="00B013A6"/>
    <w:rsid w:val="00B013DD"/>
    <w:rsid w:val="00B014B5"/>
    <w:rsid w:val="00B01B06"/>
    <w:rsid w:val="00B01B1A"/>
    <w:rsid w:val="00B01B5C"/>
    <w:rsid w:val="00B01D20"/>
    <w:rsid w:val="00B01D30"/>
    <w:rsid w:val="00B01D59"/>
    <w:rsid w:val="00B01F72"/>
    <w:rsid w:val="00B0204C"/>
    <w:rsid w:val="00B02090"/>
    <w:rsid w:val="00B02458"/>
    <w:rsid w:val="00B02613"/>
    <w:rsid w:val="00B026B4"/>
    <w:rsid w:val="00B028AC"/>
    <w:rsid w:val="00B02B6D"/>
    <w:rsid w:val="00B02BAC"/>
    <w:rsid w:val="00B02EE6"/>
    <w:rsid w:val="00B02EF9"/>
    <w:rsid w:val="00B030D6"/>
    <w:rsid w:val="00B032FE"/>
    <w:rsid w:val="00B03449"/>
    <w:rsid w:val="00B034C1"/>
    <w:rsid w:val="00B03547"/>
    <w:rsid w:val="00B03603"/>
    <w:rsid w:val="00B039CA"/>
    <w:rsid w:val="00B03AF8"/>
    <w:rsid w:val="00B03BF5"/>
    <w:rsid w:val="00B03C50"/>
    <w:rsid w:val="00B03DF8"/>
    <w:rsid w:val="00B0409D"/>
    <w:rsid w:val="00B04251"/>
    <w:rsid w:val="00B04320"/>
    <w:rsid w:val="00B04406"/>
    <w:rsid w:val="00B0464A"/>
    <w:rsid w:val="00B04C42"/>
    <w:rsid w:val="00B04D29"/>
    <w:rsid w:val="00B04FF9"/>
    <w:rsid w:val="00B050EB"/>
    <w:rsid w:val="00B05106"/>
    <w:rsid w:val="00B0572F"/>
    <w:rsid w:val="00B057DF"/>
    <w:rsid w:val="00B058E2"/>
    <w:rsid w:val="00B05BDF"/>
    <w:rsid w:val="00B05E72"/>
    <w:rsid w:val="00B05EDE"/>
    <w:rsid w:val="00B060E6"/>
    <w:rsid w:val="00B06211"/>
    <w:rsid w:val="00B06214"/>
    <w:rsid w:val="00B062D5"/>
    <w:rsid w:val="00B06331"/>
    <w:rsid w:val="00B067D2"/>
    <w:rsid w:val="00B06846"/>
    <w:rsid w:val="00B068A1"/>
    <w:rsid w:val="00B068C1"/>
    <w:rsid w:val="00B06933"/>
    <w:rsid w:val="00B069D0"/>
    <w:rsid w:val="00B06C55"/>
    <w:rsid w:val="00B06CCE"/>
    <w:rsid w:val="00B06DD0"/>
    <w:rsid w:val="00B06DFD"/>
    <w:rsid w:val="00B06EE5"/>
    <w:rsid w:val="00B06F3B"/>
    <w:rsid w:val="00B070D2"/>
    <w:rsid w:val="00B07113"/>
    <w:rsid w:val="00B07143"/>
    <w:rsid w:val="00B07296"/>
    <w:rsid w:val="00B07420"/>
    <w:rsid w:val="00B074FE"/>
    <w:rsid w:val="00B0783F"/>
    <w:rsid w:val="00B0793F"/>
    <w:rsid w:val="00B07957"/>
    <w:rsid w:val="00B079E0"/>
    <w:rsid w:val="00B07B20"/>
    <w:rsid w:val="00B07D8B"/>
    <w:rsid w:val="00B10489"/>
    <w:rsid w:val="00B1049E"/>
    <w:rsid w:val="00B105D2"/>
    <w:rsid w:val="00B106A3"/>
    <w:rsid w:val="00B1070D"/>
    <w:rsid w:val="00B108A0"/>
    <w:rsid w:val="00B108D1"/>
    <w:rsid w:val="00B109EF"/>
    <w:rsid w:val="00B10BFE"/>
    <w:rsid w:val="00B10DF7"/>
    <w:rsid w:val="00B11267"/>
    <w:rsid w:val="00B1136F"/>
    <w:rsid w:val="00B11399"/>
    <w:rsid w:val="00B1154A"/>
    <w:rsid w:val="00B1155A"/>
    <w:rsid w:val="00B11636"/>
    <w:rsid w:val="00B1167C"/>
    <w:rsid w:val="00B11742"/>
    <w:rsid w:val="00B1179C"/>
    <w:rsid w:val="00B119DD"/>
    <w:rsid w:val="00B11A65"/>
    <w:rsid w:val="00B11EAD"/>
    <w:rsid w:val="00B11F79"/>
    <w:rsid w:val="00B12204"/>
    <w:rsid w:val="00B12261"/>
    <w:rsid w:val="00B122D6"/>
    <w:rsid w:val="00B1281F"/>
    <w:rsid w:val="00B128AF"/>
    <w:rsid w:val="00B12B3E"/>
    <w:rsid w:val="00B12FBF"/>
    <w:rsid w:val="00B12FE2"/>
    <w:rsid w:val="00B12FFD"/>
    <w:rsid w:val="00B1311C"/>
    <w:rsid w:val="00B131C9"/>
    <w:rsid w:val="00B131EB"/>
    <w:rsid w:val="00B1387B"/>
    <w:rsid w:val="00B13A59"/>
    <w:rsid w:val="00B13A99"/>
    <w:rsid w:val="00B13CEC"/>
    <w:rsid w:val="00B13D60"/>
    <w:rsid w:val="00B13DFF"/>
    <w:rsid w:val="00B13E32"/>
    <w:rsid w:val="00B13E45"/>
    <w:rsid w:val="00B141E7"/>
    <w:rsid w:val="00B145D6"/>
    <w:rsid w:val="00B1486E"/>
    <w:rsid w:val="00B14B18"/>
    <w:rsid w:val="00B14B94"/>
    <w:rsid w:val="00B15044"/>
    <w:rsid w:val="00B15142"/>
    <w:rsid w:val="00B153C9"/>
    <w:rsid w:val="00B15665"/>
    <w:rsid w:val="00B15ACB"/>
    <w:rsid w:val="00B15ACE"/>
    <w:rsid w:val="00B15BDC"/>
    <w:rsid w:val="00B15BEA"/>
    <w:rsid w:val="00B15E92"/>
    <w:rsid w:val="00B15F42"/>
    <w:rsid w:val="00B15FF9"/>
    <w:rsid w:val="00B16132"/>
    <w:rsid w:val="00B1632A"/>
    <w:rsid w:val="00B16341"/>
    <w:rsid w:val="00B1637F"/>
    <w:rsid w:val="00B16680"/>
    <w:rsid w:val="00B16752"/>
    <w:rsid w:val="00B16867"/>
    <w:rsid w:val="00B16925"/>
    <w:rsid w:val="00B16AEC"/>
    <w:rsid w:val="00B16CB4"/>
    <w:rsid w:val="00B16D89"/>
    <w:rsid w:val="00B16DAB"/>
    <w:rsid w:val="00B16E7A"/>
    <w:rsid w:val="00B17101"/>
    <w:rsid w:val="00B17130"/>
    <w:rsid w:val="00B17422"/>
    <w:rsid w:val="00B17A9B"/>
    <w:rsid w:val="00B17C7D"/>
    <w:rsid w:val="00B17D49"/>
    <w:rsid w:val="00B17E39"/>
    <w:rsid w:val="00B17E4A"/>
    <w:rsid w:val="00B2017C"/>
    <w:rsid w:val="00B201AF"/>
    <w:rsid w:val="00B20487"/>
    <w:rsid w:val="00B20544"/>
    <w:rsid w:val="00B209A8"/>
    <w:rsid w:val="00B20B67"/>
    <w:rsid w:val="00B20BA0"/>
    <w:rsid w:val="00B20BCC"/>
    <w:rsid w:val="00B20BD7"/>
    <w:rsid w:val="00B20CAE"/>
    <w:rsid w:val="00B20DA2"/>
    <w:rsid w:val="00B20EA7"/>
    <w:rsid w:val="00B20FD9"/>
    <w:rsid w:val="00B213C1"/>
    <w:rsid w:val="00B213F7"/>
    <w:rsid w:val="00B2157C"/>
    <w:rsid w:val="00B215DB"/>
    <w:rsid w:val="00B2175C"/>
    <w:rsid w:val="00B21764"/>
    <w:rsid w:val="00B21771"/>
    <w:rsid w:val="00B2181F"/>
    <w:rsid w:val="00B21BA1"/>
    <w:rsid w:val="00B21BF3"/>
    <w:rsid w:val="00B220C5"/>
    <w:rsid w:val="00B22198"/>
    <w:rsid w:val="00B22813"/>
    <w:rsid w:val="00B22A27"/>
    <w:rsid w:val="00B22B1F"/>
    <w:rsid w:val="00B22BC8"/>
    <w:rsid w:val="00B22CC5"/>
    <w:rsid w:val="00B22E76"/>
    <w:rsid w:val="00B22F1F"/>
    <w:rsid w:val="00B22F30"/>
    <w:rsid w:val="00B23002"/>
    <w:rsid w:val="00B23338"/>
    <w:rsid w:val="00B2345F"/>
    <w:rsid w:val="00B2346D"/>
    <w:rsid w:val="00B234CC"/>
    <w:rsid w:val="00B2353D"/>
    <w:rsid w:val="00B235A4"/>
    <w:rsid w:val="00B235F1"/>
    <w:rsid w:val="00B238AF"/>
    <w:rsid w:val="00B2398B"/>
    <w:rsid w:val="00B239AA"/>
    <w:rsid w:val="00B23A78"/>
    <w:rsid w:val="00B23B1C"/>
    <w:rsid w:val="00B23B35"/>
    <w:rsid w:val="00B23C46"/>
    <w:rsid w:val="00B23FE3"/>
    <w:rsid w:val="00B240FE"/>
    <w:rsid w:val="00B2426C"/>
    <w:rsid w:val="00B2444D"/>
    <w:rsid w:val="00B2447E"/>
    <w:rsid w:val="00B2449C"/>
    <w:rsid w:val="00B244AF"/>
    <w:rsid w:val="00B247A6"/>
    <w:rsid w:val="00B2483C"/>
    <w:rsid w:val="00B24A75"/>
    <w:rsid w:val="00B24B20"/>
    <w:rsid w:val="00B24BD9"/>
    <w:rsid w:val="00B24D97"/>
    <w:rsid w:val="00B24DBA"/>
    <w:rsid w:val="00B252C6"/>
    <w:rsid w:val="00B252EC"/>
    <w:rsid w:val="00B25471"/>
    <w:rsid w:val="00B2552F"/>
    <w:rsid w:val="00B256F7"/>
    <w:rsid w:val="00B25755"/>
    <w:rsid w:val="00B257DC"/>
    <w:rsid w:val="00B259F5"/>
    <w:rsid w:val="00B26033"/>
    <w:rsid w:val="00B26154"/>
    <w:rsid w:val="00B261AB"/>
    <w:rsid w:val="00B26411"/>
    <w:rsid w:val="00B2654A"/>
    <w:rsid w:val="00B26664"/>
    <w:rsid w:val="00B266AA"/>
    <w:rsid w:val="00B267C3"/>
    <w:rsid w:val="00B26953"/>
    <w:rsid w:val="00B26B28"/>
    <w:rsid w:val="00B26C00"/>
    <w:rsid w:val="00B26DC1"/>
    <w:rsid w:val="00B26EA6"/>
    <w:rsid w:val="00B26EC7"/>
    <w:rsid w:val="00B273A2"/>
    <w:rsid w:val="00B2765B"/>
    <w:rsid w:val="00B277CA"/>
    <w:rsid w:val="00B279DF"/>
    <w:rsid w:val="00B27A16"/>
    <w:rsid w:val="00B27C4E"/>
    <w:rsid w:val="00B27D60"/>
    <w:rsid w:val="00B27D78"/>
    <w:rsid w:val="00B27D8D"/>
    <w:rsid w:val="00B27F55"/>
    <w:rsid w:val="00B30217"/>
    <w:rsid w:val="00B30295"/>
    <w:rsid w:val="00B302F2"/>
    <w:rsid w:val="00B307E9"/>
    <w:rsid w:val="00B30932"/>
    <w:rsid w:val="00B309B3"/>
    <w:rsid w:val="00B30A1B"/>
    <w:rsid w:val="00B30AAE"/>
    <w:rsid w:val="00B30C29"/>
    <w:rsid w:val="00B30D98"/>
    <w:rsid w:val="00B30E51"/>
    <w:rsid w:val="00B31139"/>
    <w:rsid w:val="00B31320"/>
    <w:rsid w:val="00B314C7"/>
    <w:rsid w:val="00B31843"/>
    <w:rsid w:val="00B31A11"/>
    <w:rsid w:val="00B31D00"/>
    <w:rsid w:val="00B31F5A"/>
    <w:rsid w:val="00B31FD4"/>
    <w:rsid w:val="00B3201E"/>
    <w:rsid w:val="00B321F3"/>
    <w:rsid w:val="00B324B8"/>
    <w:rsid w:val="00B32707"/>
    <w:rsid w:val="00B32852"/>
    <w:rsid w:val="00B3286A"/>
    <w:rsid w:val="00B329E0"/>
    <w:rsid w:val="00B32A24"/>
    <w:rsid w:val="00B32E61"/>
    <w:rsid w:val="00B32E68"/>
    <w:rsid w:val="00B32F95"/>
    <w:rsid w:val="00B334F7"/>
    <w:rsid w:val="00B335EC"/>
    <w:rsid w:val="00B3386D"/>
    <w:rsid w:val="00B33A62"/>
    <w:rsid w:val="00B33B2A"/>
    <w:rsid w:val="00B33D25"/>
    <w:rsid w:val="00B33D64"/>
    <w:rsid w:val="00B33D89"/>
    <w:rsid w:val="00B33E31"/>
    <w:rsid w:val="00B33E3C"/>
    <w:rsid w:val="00B33E52"/>
    <w:rsid w:val="00B33EC6"/>
    <w:rsid w:val="00B3407B"/>
    <w:rsid w:val="00B34425"/>
    <w:rsid w:val="00B3453B"/>
    <w:rsid w:val="00B34758"/>
    <w:rsid w:val="00B34B03"/>
    <w:rsid w:val="00B34B90"/>
    <w:rsid w:val="00B34E8D"/>
    <w:rsid w:val="00B34F55"/>
    <w:rsid w:val="00B34F97"/>
    <w:rsid w:val="00B34FF4"/>
    <w:rsid w:val="00B35350"/>
    <w:rsid w:val="00B353DF"/>
    <w:rsid w:val="00B35561"/>
    <w:rsid w:val="00B355CD"/>
    <w:rsid w:val="00B356F7"/>
    <w:rsid w:val="00B358F6"/>
    <w:rsid w:val="00B35905"/>
    <w:rsid w:val="00B35D58"/>
    <w:rsid w:val="00B35DB9"/>
    <w:rsid w:val="00B35E95"/>
    <w:rsid w:val="00B36040"/>
    <w:rsid w:val="00B3623C"/>
    <w:rsid w:val="00B36436"/>
    <w:rsid w:val="00B36852"/>
    <w:rsid w:val="00B36B6E"/>
    <w:rsid w:val="00B36B95"/>
    <w:rsid w:val="00B36C93"/>
    <w:rsid w:val="00B36EA5"/>
    <w:rsid w:val="00B36F37"/>
    <w:rsid w:val="00B36F89"/>
    <w:rsid w:val="00B36FA9"/>
    <w:rsid w:val="00B36FDC"/>
    <w:rsid w:val="00B3700D"/>
    <w:rsid w:val="00B3702E"/>
    <w:rsid w:val="00B37152"/>
    <w:rsid w:val="00B372CA"/>
    <w:rsid w:val="00B37322"/>
    <w:rsid w:val="00B3737E"/>
    <w:rsid w:val="00B3739A"/>
    <w:rsid w:val="00B373C0"/>
    <w:rsid w:val="00B3750F"/>
    <w:rsid w:val="00B3765B"/>
    <w:rsid w:val="00B3778C"/>
    <w:rsid w:val="00B377B7"/>
    <w:rsid w:val="00B37A9C"/>
    <w:rsid w:val="00B37CA7"/>
    <w:rsid w:val="00B37E14"/>
    <w:rsid w:val="00B37FCD"/>
    <w:rsid w:val="00B37FE4"/>
    <w:rsid w:val="00B40037"/>
    <w:rsid w:val="00B4042A"/>
    <w:rsid w:val="00B40540"/>
    <w:rsid w:val="00B40B25"/>
    <w:rsid w:val="00B40D0C"/>
    <w:rsid w:val="00B40DC6"/>
    <w:rsid w:val="00B41400"/>
    <w:rsid w:val="00B4149F"/>
    <w:rsid w:val="00B41721"/>
    <w:rsid w:val="00B41785"/>
    <w:rsid w:val="00B417D2"/>
    <w:rsid w:val="00B41963"/>
    <w:rsid w:val="00B41A9F"/>
    <w:rsid w:val="00B41F93"/>
    <w:rsid w:val="00B42193"/>
    <w:rsid w:val="00B4230F"/>
    <w:rsid w:val="00B423C0"/>
    <w:rsid w:val="00B42597"/>
    <w:rsid w:val="00B4267C"/>
    <w:rsid w:val="00B4276B"/>
    <w:rsid w:val="00B429F8"/>
    <w:rsid w:val="00B42D43"/>
    <w:rsid w:val="00B42D90"/>
    <w:rsid w:val="00B42F32"/>
    <w:rsid w:val="00B42F9B"/>
    <w:rsid w:val="00B42FAD"/>
    <w:rsid w:val="00B4327A"/>
    <w:rsid w:val="00B432B9"/>
    <w:rsid w:val="00B432F7"/>
    <w:rsid w:val="00B43360"/>
    <w:rsid w:val="00B433EA"/>
    <w:rsid w:val="00B43433"/>
    <w:rsid w:val="00B43672"/>
    <w:rsid w:val="00B43726"/>
    <w:rsid w:val="00B43842"/>
    <w:rsid w:val="00B43891"/>
    <w:rsid w:val="00B439CE"/>
    <w:rsid w:val="00B44322"/>
    <w:rsid w:val="00B443D7"/>
    <w:rsid w:val="00B44423"/>
    <w:rsid w:val="00B44448"/>
    <w:rsid w:val="00B44603"/>
    <w:rsid w:val="00B448B3"/>
    <w:rsid w:val="00B44968"/>
    <w:rsid w:val="00B44A30"/>
    <w:rsid w:val="00B44AA8"/>
    <w:rsid w:val="00B44D1E"/>
    <w:rsid w:val="00B44D70"/>
    <w:rsid w:val="00B45007"/>
    <w:rsid w:val="00B45091"/>
    <w:rsid w:val="00B450F8"/>
    <w:rsid w:val="00B454E2"/>
    <w:rsid w:val="00B45682"/>
    <w:rsid w:val="00B456D5"/>
    <w:rsid w:val="00B45754"/>
    <w:rsid w:val="00B45AEF"/>
    <w:rsid w:val="00B45CB4"/>
    <w:rsid w:val="00B45D26"/>
    <w:rsid w:val="00B45F4E"/>
    <w:rsid w:val="00B46025"/>
    <w:rsid w:val="00B46519"/>
    <w:rsid w:val="00B465D6"/>
    <w:rsid w:val="00B46607"/>
    <w:rsid w:val="00B46735"/>
    <w:rsid w:val="00B46794"/>
    <w:rsid w:val="00B4685D"/>
    <w:rsid w:val="00B46D2E"/>
    <w:rsid w:val="00B46F3F"/>
    <w:rsid w:val="00B46F46"/>
    <w:rsid w:val="00B46FC7"/>
    <w:rsid w:val="00B47260"/>
    <w:rsid w:val="00B47291"/>
    <w:rsid w:val="00B478BD"/>
    <w:rsid w:val="00B47942"/>
    <w:rsid w:val="00B47B5A"/>
    <w:rsid w:val="00B47C32"/>
    <w:rsid w:val="00B47D85"/>
    <w:rsid w:val="00B47E29"/>
    <w:rsid w:val="00B47E38"/>
    <w:rsid w:val="00B47F2C"/>
    <w:rsid w:val="00B47F61"/>
    <w:rsid w:val="00B5004A"/>
    <w:rsid w:val="00B501A4"/>
    <w:rsid w:val="00B501F8"/>
    <w:rsid w:val="00B50233"/>
    <w:rsid w:val="00B5024B"/>
    <w:rsid w:val="00B50287"/>
    <w:rsid w:val="00B502E7"/>
    <w:rsid w:val="00B5031E"/>
    <w:rsid w:val="00B50511"/>
    <w:rsid w:val="00B5053C"/>
    <w:rsid w:val="00B5077C"/>
    <w:rsid w:val="00B507C3"/>
    <w:rsid w:val="00B50E83"/>
    <w:rsid w:val="00B51299"/>
    <w:rsid w:val="00B5135E"/>
    <w:rsid w:val="00B51730"/>
    <w:rsid w:val="00B517AF"/>
    <w:rsid w:val="00B51A43"/>
    <w:rsid w:val="00B51BDF"/>
    <w:rsid w:val="00B51EA0"/>
    <w:rsid w:val="00B5233D"/>
    <w:rsid w:val="00B52452"/>
    <w:rsid w:val="00B525BD"/>
    <w:rsid w:val="00B528CF"/>
    <w:rsid w:val="00B52CEB"/>
    <w:rsid w:val="00B52F3B"/>
    <w:rsid w:val="00B5309D"/>
    <w:rsid w:val="00B5321F"/>
    <w:rsid w:val="00B5328E"/>
    <w:rsid w:val="00B533B1"/>
    <w:rsid w:val="00B53BB7"/>
    <w:rsid w:val="00B53D4E"/>
    <w:rsid w:val="00B5405A"/>
    <w:rsid w:val="00B54114"/>
    <w:rsid w:val="00B5417B"/>
    <w:rsid w:val="00B54196"/>
    <w:rsid w:val="00B5433C"/>
    <w:rsid w:val="00B546DE"/>
    <w:rsid w:val="00B548AA"/>
    <w:rsid w:val="00B54ECF"/>
    <w:rsid w:val="00B54ED7"/>
    <w:rsid w:val="00B54F24"/>
    <w:rsid w:val="00B5503B"/>
    <w:rsid w:val="00B550E9"/>
    <w:rsid w:val="00B556DC"/>
    <w:rsid w:val="00B556E0"/>
    <w:rsid w:val="00B5592A"/>
    <w:rsid w:val="00B55C90"/>
    <w:rsid w:val="00B55CB9"/>
    <w:rsid w:val="00B55D50"/>
    <w:rsid w:val="00B55DAA"/>
    <w:rsid w:val="00B55DAB"/>
    <w:rsid w:val="00B5654F"/>
    <w:rsid w:val="00B566F0"/>
    <w:rsid w:val="00B569CA"/>
    <w:rsid w:val="00B56FD5"/>
    <w:rsid w:val="00B5718B"/>
    <w:rsid w:val="00B5720D"/>
    <w:rsid w:val="00B57550"/>
    <w:rsid w:val="00B57620"/>
    <w:rsid w:val="00B57BA3"/>
    <w:rsid w:val="00B57BB3"/>
    <w:rsid w:val="00B57BBB"/>
    <w:rsid w:val="00B57C03"/>
    <w:rsid w:val="00B57F85"/>
    <w:rsid w:val="00B57FF4"/>
    <w:rsid w:val="00B6012C"/>
    <w:rsid w:val="00B60319"/>
    <w:rsid w:val="00B6031A"/>
    <w:rsid w:val="00B6061F"/>
    <w:rsid w:val="00B6077A"/>
    <w:rsid w:val="00B6081B"/>
    <w:rsid w:val="00B608F0"/>
    <w:rsid w:val="00B60B4E"/>
    <w:rsid w:val="00B60B88"/>
    <w:rsid w:val="00B60CA2"/>
    <w:rsid w:val="00B611C3"/>
    <w:rsid w:val="00B6132D"/>
    <w:rsid w:val="00B6181E"/>
    <w:rsid w:val="00B61865"/>
    <w:rsid w:val="00B6186B"/>
    <w:rsid w:val="00B61A87"/>
    <w:rsid w:val="00B61BBB"/>
    <w:rsid w:val="00B61E80"/>
    <w:rsid w:val="00B6213B"/>
    <w:rsid w:val="00B622F4"/>
    <w:rsid w:val="00B62318"/>
    <w:rsid w:val="00B62534"/>
    <w:rsid w:val="00B62570"/>
    <w:rsid w:val="00B62663"/>
    <w:rsid w:val="00B6278C"/>
    <w:rsid w:val="00B629F0"/>
    <w:rsid w:val="00B62A9E"/>
    <w:rsid w:val="00B62B16"/>
    <w:rsid w:val="00B62CED"/>
    <w:rsid w:val="00B62E99"/>
    <w:rsid w:val="00B62EC2"/>
    <w:rsid w:val="00B62F7D"/>
    <w:rsid w:val="00B6305E"/>
    <w:rsid w:val="00B63082"/>
    <w:rsid w:val="00B6309B"/>
    <w:rsid w:val="00B630E6"/>
    <w:rsid w:val="00B6326A"/>
    <w:rsid w:val="00B632AE"/>
    <w:rsid w:val="00B632F9"/>
    <w:rsid w:val="00B63382"/>
    <w:rsid w:val="00B633A7"/>
    <w:rsid w:val="00B6343F"/>
    <w:rsid w:val="00B634AF"/>
    <w:rsid w:val="00B63BEC"/>
    <w:rsid w:val="00B63C08"/>
    <w:rsid w:val="00B63C8A"/>
    <w:rsid w:val="00B63D39"/>
    <w:rsid w:val="00B63DBE"/>
    <w:rsid w:val="00B63DE5"/>
    <w:rsid w:val="00B63E25"/>
    <w:rsid w:val="00B63FEB"/>
    <w:rsid w:val="00B64169"/>
    <w:rsid w:val="00B64232"/>
    <w:rsid w:val="00B6433F"/>
    <w:rsid w:val="00B643D6"/>
    <w:rsid w:val="00B64558"/>
    <w:rsid w:val="00B64753"/>
    <w:rsid w:val="00B649F7"/>
    <w:rsid w:val="00B64A93"/>
    <w:rsid w:val="00B64B91"/>
    <w:rsid w:val="00B64BFD"/>
    <w:rsid w:val="00B64E4C"/>
    <w:rsid w:val="00B64FA6"/>
    <w:rsid w:val="00B650C0"/>
    <w:rsid w:val="00B65113"/>
    <w:rsid w:val="00B6517F"/>
    <w:rsid w:val="00B65240"/>
    <w:rsid w:val="00B65252"/>
    <w:rsid w:val="00B655D6"/>
    <w:rsid w:val="00B65BA6"/>
    <w:rsid w:val="00B65BED"/>
    <w:rsid w:val="00B65C91"/>
    <w:rsid w:val="00B65D77"/>
    <w:rsid w:val="00B66035"/>
    <w:rsid w:val="00B66586"/>
    <w:rsid w:val="00B666A4"/>
    <w:rsid w:val="00B66969"/>
    <w:rsid w:val="00B669D6"/>
    <w:rsid w:val="00B66D2D"/>
    <w:rsid w:val="00B66F50"/>
    <w:rsid w:val="00B677AF"/>
    <w:rsid w:val="00B678BB"/>
    <w:rsid w:val="00B67BF0"/>
    <w:rsid w:val="00B67C31"/>
    <w:rsid w:val="00B67D0F"/>
    <w:rsid w:val="00B67DFA"/>
    <w:rsid w:val="00B67E5B"/>
    <w:rsid w:val="00B67EA0"/>
    <w:rsid w:val="00B70295"/>
    <w:rsid w:val="00B703F5"/>
    <w:rsid w:val="00B704B6"/>
    <w:rsid w:val="00B708E5"/>
    <w:rsid w:val="00B708F1"/>
    <w:rsid w:val="00B70968"/>
    <w:rsid w:val="00B70A69"/>
    <w:rsid w:val="00B70AE4"/>
    <w:rsid w:val="00B70B44"/>
    <w:rsid w:val="00B70BE1"/>
    <w:rsid w:val="00B70E65"/>
    <w:rsid w:val="00B71096"/>
    <w:rsid w:val="00B710A9"/>
    <w:rsid w:val="00B710FD"/>
    <w:rsid w:val="00B7118D"/>
    <w:rsid w:val="00B71220"/>
    <w:rsid w:val="00B71472"/>
    <w:rsid w:val="00B7147C"/>
    <w:rsid w:val="00B71924"/>
    <w:rsid w:val="00B71D5B"/>
    <w:rsid w:val="00B721DD"/>
    <w:rsid w:val="00B72260"/>
    <w:rsid w:val="00B72302"/>
    <w:rsid w:val="00B724BA"/>
    <w:rsid w:val="00B7258F"/>
    <w:rsid w:val="00B725F5"/>
    <w:rsid w:val="00B72704"/>
    <w:rsid w:val="00B7279E"/>
    <w:rsid w:val="00B7280F"/>
    <w:rsid w:val="00B7293A"/>
    <w:rsid w:val="00B729B0"/>
    <w:rsid w:val="00B72DC0"/>
    <w:rsid w:val="00B72F04"/>
    <w:rsid w:val="00B72FBF"/>
    <w:rsid w:val="00B731C6"/>
    <w:rsid w:val="00B73226"/>
    <w:rsid w:val="00B736D2"/>
    <w:rsid w:val="00B73815"/>
    <w:rsid w:val="00B73833"/>
    <w:rsid w:val="00B73C9D"/>
    <w:rsid w:val="00B73CA4"/>
    <w:rsid w:val="00B740F5"/>
    <w:rsid w:val="00B742F0"/>
    <w:rsid w:val="00B74787"/>
    <w:rsid w:val="00B74831"/>
    <w:rsid w:val="00B74C59"/>
    <w:rsid w:val="00B74CB8"/>
    <w:rsid w:val="00B74F3E"/>
    <w:rsid w:val="00B74F92"/>
    <w:rsid w:val="00B75036"/>
    <w:rsid w:val="00B750B7"/>
    <w:rsid w:val="00B75164"/>
    <w:rsid w:val="00B75335"/>
    <w:rsid w:val="00B75390"/>
    <w:rsid w:val="00B75474"/>
    <w:rsid w:val="00B75562"/>
    <w:rsid w:val="00B75B26"/>
    <w:rsid w:val="00B76042"/>
    <w:rsid w:val="00B762CF"/>
    <w:rsid w:val="00B76697"/>
    <w:rsid w:val="00B767F3"/>
    <w:rsid w:val="00B76EA2"/>
    <w:rsid w:val="00B76EB9"/>
    <w:rsid w:val="00B77152"/>
    <w:rsid w:val="00B7727F"/>
    <w:rsid w:val="00B77604"/>
    <w:rsid w:val="00B7778B"/>
    <w:rsid w:val="00B777EF"/>
    <w:rsid w:val="00B7782A"/>
    <w:rsid w:val="00B77ACF"/>
    <w:rsid w:val="00B77BE8"/>
    <w:rsid w:val="00B77C09"/>
    <w:rsid w:val="00B77C1D"/>
    <w:rsid w:val="00B77D8D"/>
    <w:rsid w:val="00B77EA3"/>
    <w:rsid w:val="00B77F46"/>
    <w:rsid w:val="00B80259"/>
    <w:rsid w:val="00B80378"/>
    <w:rsid w:val="00B80887"/>
    <w:rsid w:val="00B808DC"/>
    <w:rsid w:val="00B8094E"/>
    <w:rsid w:val="00B80B2D"/>
    <w:rsid w:val="00B80D17"/>
    <w:rsid w:val="00B80F32"/>
    <w:rsid w:val="00B80F61"/>
    <w:rsid w:val="00B80F7A"/>
    <w:rsid w:val="00B80F9D"/>
    <w:rsid w:val="00B812BA"/>
    <w:rsid w:val="00B812D6"/>
    <w:rsid w:val="00B8131E"/>
    <w:rsid w:val="00B81413"/>
    <w:rsid w:val="00B81453"/>
    <w:rsid w:val="00B8151E"/>
    <w:rsid w:val="00B81552"/>
    <w:rsid w:val="00B81746"/>
    <w:rsid w:val="00B81961"/>
    <w:rsid w:val="00B81B0B"/>
    <w:rsid w:val="00B81C96"/>
    <w:rsid w:val="00B81CC2"/>
    <w:rsid w:val="00B81DA6"/>
    <w:rsid w:val="00B8250D"/>
    <w:rsid w:val="00B826F9"/>
    <w:rsid w:val="00B8282A"/>
    <w:rsid w:val="00B82972"/>
    <w:rsid w:val="00B829C4"/>
    <w:rsid w:val="00B82C85"/>
    <w:rsid w:val="00B82CCF"/>
    <w:rsid w:val="00B82DD0"/>
    <w:rsid w:val="00B82E12"/>
    <w:rsid w:val="00B82E89"/>
    <w:rsid w:val="00B82E95"/>
    <w:rsid w:val="00B82E96"/>
    <w:rsid w:val="00B82FAF"/>
    <w:rsid w:val="00B831EE"/>
    <w:rsid w:val="00B832F0"/>
    <w:rsid w:val="00B83308"/>
    <w:rsid w:val="00B833ED"/>
    <w:rsid w:val="00B8342C"/>
    <w:rsid w:val="00B83919"/>
    <w:rsid w:val="00B83BF1"/>
    <w:rsid w:val="00B83DE2"/>
    <w:rsid w:val="00B83EC0"/>
    <w:rsid w:val="00B83F7B"/>
    <w:rsid w:val="00B84239"/>
    <w:rsid w:val="00B84252"/>
    <w:rsid w:val="00B8442A"/>
    <w:rsid w:val="00B84750"/>
    <w:rsid w:val="00B84A27"/>
    <w:rsid w:val="00B84A64"/>
    <w:rsid w:val="00B84AAF"/>
    <w:rsid w:val="00B84C51"/>
    <w:rsid w:val="00B84C86"/>
    <w:rsid w:val="00B84D91"/>
    <w:rsid w:val="00B84F1E"/>
    <w:rsid w:val="00B851C6"/>
    <w:rsid w:val="00B851FF"/>
    <w:rsid w:val="00B857C7"/>
    <w:rsid w:val="00B85A74"/>
    <w:rsid w:val="00B85DC5"/>
    <w:rsid w:val="00B86173"/>
    <w:rsid w:val="00B8632F"/>
    <w:rsid w:val="00B86445"/>
    <w:rsid w:val="00B864A7"/>
    <w:rsid w:val="00B864EC"/>
    <w:rsid w:val="00B8691E"/>
    <w:rsid w:val="00B86974"/>
    <w:rsid w:val="00B86C19"/>
    <w:rsid w:val="00B86F01"/>
    <w:rsid w:val="00B86FB1"/>
    <w:rsid w:val="00B8720B"/>
    <w:rsid w:val="00B872D0"/>
    <w:rsid w:val="00B878B8"/>
    <w:rsid w:val="00B87CFC"/>
    <w:rsid w:val="00B87E7F"/>
    <w:rsid w:val="00B90074"/>
    <w:rsid w:val="00B9023E"/>
    <w:rsid w:val="00B904B4"/>
    <w:rsid w:val="00B9050E"/>
    <w:rsid w:val="00B905F9"/>
    <w:rsid w:val="00B90613"/>
    <w:rsid w:val="00B9067F"/>
    <w:rsid w:val="00B9069F"/>
    <w:rsid w:val="00B906F1"/>
    <w:rsid w:val="00B9093A"/>
    <w:rsid w:val="00B90A0F"/>
    <w:rsid w:val="00B90C1D"/>
    <w:rsid w:val="00B90DBE"/>
    <w:rsid w:val="00B90FF2"/>
    <w:rsid w:val="00B9110C"/>
    <w:rsid w:val="00B9116B"/>
    <w:rsid w:val="00B9119C"/>
    <w:rsid w:val="00B911AF"/>
    <w:rsid w:val="00B91315"/>
    <w:rsid w:val="00B91547"/>
    <w:rsid w:val="00B915CC"/>
    <w:rsid w:val="00B91B1F"/>
    <w:rsid w:val="00B91BD1"/>
    <w:rsid w:val="00B92157"/>
    <w:rsid w:val="00B9226D"/>
    <w:rsid w:val="00B924A2"/>
    <w:rsid w:val="00B924CC"/>
    <w:rsid w:val="00B9258D"/>
    <w:rsid w:val="00B927BD"/>
    <w:rsid w:val="00B9288A"/>
    <w:rsid w:val="00B92926"/>
    <w:rsid w:val="00B9294A"/>
    <w:rsid w:val="00B9295A"/>
    <w:rsid w:val="00B92C37"/>
    <w:rsid w:val="00B92CA7"/>
    <w:rsid w:val="00B93048"/>
    <w:rsid w:val="00B9312F"/>
    <w:rsid w:val="00B93625"/>
    <w:rsid w:val="00B9366B"/>
    <w:rsid w:val="00B93729"/>
    <w:rsid w:val="00B93738"/>
    <w:rsid w:val="00B939D0"/>
    <w:rsid w:val="00B93C67"/>
    <w:rsid w:val="00B93E27"/>
    <w:rsid w:val="00B93F30"/>
    <w:rsid w:val="00B9403B"/>
    <w:rsid w:val="00B9406B"/>
    <w:rsid w:val="00B941B9"/>
    <w:rsid w:val="00B942B2"/>
    <w:rsid w:val="00B942E1"/>
    <w:rsid w:val="00B946AC"/>
    <w:rsid w:val="00B9484F"/>
    <w:rsid w:val="00B94AF1"/>
    <w:rsid w:val="00B94CD5"/>
    <w:rsid w:val="00B94DB8"/>
    <w:rsid w:val="00B95150"/>
    <w:rsid w:val="00B95307"/>
    <w:rsid w:val="00B953DA"/>
    <w:rsid w:val="00B957FD"/>
    <w:rsid w:val="00B959E6"/>
    <w:rsid w:val="00B95A50"/>
    <w:rsid w:val="00B95A94"/>
    <w:rsid w:val="00B95B98"/>
    <w:rsid w:val="00B95C75"/>
    <w:rsid w:val="00B95E05"/>
    <w:rsid w:val="00B95FF3"/>
    <w:rsid w:val="00B96039"/>
    <w:rsid w:val="00B9610A"/>
    <w:rsid w:val="00B96135"/>
    <w:rsid w:val="00B962E2"/>
    <w:rsid w:val="00B96452"/>
    <w:rsid w:val="00B965CA"/>
    <w:rsid w:val="00B96645"/>
    <w:rsid w:val="00B96714"/>
    <w:rsid w:val="00B9686B"/>
    <w:rsid w:val="00B968E5"/>
    <w:rsid w:val="00B96951"/>
    <w:rsid w:val="00B96980"/>
    <w:rsid w:val="00B971DC"/>
    <w:rsid w:val="00B974C4"/>
    <w:rsid w:val="00B97AA7"/>
    <w:rsid w:val="00B97D75"/>
    <w:rsid w:val="00BA00B2"/>
    <w:rsid w:val="00BA0173"/>
    <w:rsid w:val="00BA04BB"/>
    <w:rsid w:val="00BA059A"/>
    <w:rsid w:val="00BA05F8"/>
    <w:rsid w:val="00BA0A53"/>
    <w:rsid w:val="00BA0C96"/>
    <w:rsid w:val="00BA0F1A"/>
    <w:rsid w:val="00BA137F"/>
    <w:rsid w:val="00BA13E8"/>
    <w:rsid w:val="00BA160B"/>
    <w:rsid w:val="00BA175D"/>
    <w:rsid w:val="00BA17DA"/>
    <w:rsid w:val="00BA18D8"/>
    <w:rsid w:val="00BA19F6"/>
    <w:rsid w:val="00BA1A68"/>
    <w:rsid w:val="00BA1D18"/>
    <w:rsid w:val="00BA1F4F"/>
    <w:rsid w:val="00BA20D6"/>
    <w:rsid w:val="00BA20E9"/>
    <w:rsid w:val="00BA21C8"/>
    <w:rsid w:val="00BA22B7"/>
    <w:rsid w:val="00BA233A"/>
    <w:rsid w:val="00BA23E7"/>
    <w:rsid w:val="00BA2415"/>
    <w:rsid w:val="00BA276C"/>
    <w:rsid w:val="00BA2891"/>
    <w:rsid w:val="00BA28AF"/>
    <w:rsid w:val="00BA2B0F"/>
    <w:rsid w:val="00BA2FAF"/>
    <w:rsid w:val="00BA3187"/>
    <w:rsid w:val="00BA360E"/>
    <w:rsid w:val="00BA372E"/>
    <w:rsid w:val="00BA373E"/>
    <w:rsid w:val="00BA3A05"/>
    <w:rsid w:val="00BA3B2B"/>
    <w:rsid w:val="00BA3BD6"/>
    <w:rsid w:val="00BA3BFA"/>
    <w:rsid w:val="00BA3C82"/>
    <w:rsid w:val="00BA3CFE"/>
    <w:rsid w:val="00BA3D69"/>
    <w:rsid w:val="00BA3D9A"/>
    <w:rsid w:val="00BA3E56"/>
    <w:rsid w:val="00BA404D"/>
    <w:rsid w:val="00BA409D"/>
    <w:rsid w:val="00BA40F0"/>
    <w:rsid w:val="00BA4216"/>
    <w:rsid w:val="00BA448A"/>
    <w:rsid w:val="00BA461D"/>
    <w:rsid w:val="00BA4681"/>
    <w:rsid w:val="00BA47B7"/>
    <w:rsid w:val="00BA47DC"/>
    <w:rsid w:val="00BA4A57"/>
    <w:rsid w:val="00BA4D40"/>
    <w:rsid w:val="00BA4E9B"/>
    <w:rsid w:val="00BA51FA"/>
    <w:rsid w:val="00BA525E"/>
    <w:rsid w:val="00BA52A9"/>
    <w:rsid w:val="00BA53BA"/>
    <w:rsid w:val="00BA5418"/>
    <w:rsid w:val="00BA55AE"/>
    <w:rsid w:val="00BA57D4"/>
    <w:rsid w:val="00BA588B"/>
    <w:rsid w:val="00BA59C2"/>
    <w:rsid w:val="00BA5B76"/>
    <w:rsid w:val="00BA5B86"/>
    <w:rsid w:val="00BA5CE9"/>
    <w:rsid w:val="00BA5D79"/>
    <w:rsid w:val="00BA6006"/>
    <w:rsid w:val="00BA6013"/>
    <w:rsid w:val="00BA60A2"/>
    <w:rsid w:val="00BA6808"/>
    <w:rsid w:val="00BA6918"/>
    <w:rsid w:val="00BA69EC"/>
    <w:rsid w:val="00BA69F8"/>
    <w:rsid w:val="00BA6AC5"/>
    <w:rsid w:val="00BA6ADF"/>
    <w:rsid w:val="00BA6D9F"/>
    <w:rsid w:val="00BA6E10"/>
    <w:rsid w:val="00BA7095"/>
    <w:rsid w:val="00BA7161"/>
    <w:rsid w:val="00BA7398"/>
    <w:rsid w:val="00BA74DD"/>
    <w:rsid w:val="00BA77F5"/>
    <w:rsid w:val="00BA7800"/>
    <w:rsid w:val="00BA780D"/>
    <w:rsid w:val="00BA7949"/>
    <w:rsid w:val="00BA79EF"/>
    <w:rsid w:val="00BA7ACB"/>
    <w:rsid w:val="00BA7BEA"/>
    <w:rsid w:val="00BA7D1E"/>
    <w:rsid w:val="00BA7D29"/>
    <w:rsid w:val="00BA7F53"/>
    <w:rsid w:val="00BA7FE4"/>
    <w:rsid w:val="00BB032A"/>
    <w:rsid w:val="00BB032B"/>
    <w:rsid w:val="00BB054F"/>
    <w:rsid w:val="00BB077A"/>
    <w:rsid w:val="00BB08F5"/>
    <w:rsid w:val="00BB0905"/>
    <w:rsid w:val="00BB091F"/>
    <w:rsid w:val="00BB0BAF"/>
    <w:rsid w:val="00BB0DDB"/>
    <w:rsid w:val="00BB1170"/>
    <w:rsid w:val="00BB1250"/>
    <w:rsid w:val="00BB133F"/>
    <w:rsid w:val="00BB13BC"/>
    <w:rsid w:val="00BB1467"/>
    <w:rsid w:val="00BB14DD"/>
    <w:rsid w:val="00BB181C"/>
    <w:rsid w:val="00BB192B"/>
    <w:rsid w:val="00BB19AB"/>
    <w:rsid w:val="00BB1B0D"/>
    <w:rsid w:val="00BB1BA7"/>
    <w:rsid w:val="00BB1BC4"/>
    <w:rsid w:val="00BB1D81"/>
    <w:rsid w:val="00BB1DB6"/>
    <w:rsid w:val="00BB1DF1"/>
    <w:rsid w:val="00BB1E54"/>
    <w:rsid w:val="00BB20DF"/>
    <w:rsid w:val="00BB226E"/>
    <w:rsid w:val="00BB239D"/>
    <w:rsid w:val="00BB23CB"/>
    <w:rsid w:val="00BB2478"/>
    <w:rsid w:val="00BB24A1"/>
    <w:rsid w:val="00BB27C1"/>
    <w:rsid w:val="00BB28D1"/>
    <w:rsid w:val="00BB28DA"/>
    <w:rsid w:val="00BB2A63"/>
    <w:rsid w:val="00BB2B2D"/>
    <w:rsid w:val="00BB2B50"/>
    <w:rsid w:val="00BB2C23"/>
    <w:rsid w:val="00BB2DDC"/>
    <w:rsid w:val="00BB2E8D"/>
    <w:rsid w:val="00BB2F4D"/>
    <w:rsid w:val="00BB30EC"/>
    <w:rsid w:val="00BB32F6"/>
    <w:rsid w:val="00BB3310"/>
    <w:rsid w:val="00BB3A19"/>
    <w:rsid w:val="00BB3AAC"/>
    <w:rsid w:val="00BB3CC3"/>
    <w:rsid w:val="00BB3D5D"/>
    <w:rsid w:val="00BB3FFA"/>
    <w:rsid w:val="00BB4261"/>
    <w:rsid w:val="00BB4376"/>
    <w:rsid w:val="00BB45CC"/>
    <w:rsid w:val="00BB4729"/>
    <w:rsid w:val="00BB4AC8"/>
    <w:rsid w:val="00BB4C00"/>
    <w:rsid w:val="00BB4E4C"/>
    <w:rsid w:val="00BB4EA1"/>
    <w:rsid w:val="00BB4F29"/>
    <w:rsid w:val="00BB4F4B"/>
    <w:rsid w:val="00BB513E"/>
    <w:rsid w:val="00BB5170"/>
    <w:rsid w:val="00BB51A4"/>
    <w:rsid w:val="00BB522F"/>
    <w:rsid w:val="00BB532C"/>
    <w:rsid w:val="00BB56C3"/>
    <w:rsid w:val="00BB58CD"/>
    <w:rsid w:val="00BB5B29"/>
    <w:rsid w:val="00BB5B7D"/>
    <w:rsid w:val="00BB60CA"/>
    <w:rsid w:val="00BB6364"/>
    <w:rsid w:val="00BB6403"/>
    <w:rsid w:val="00BB6B04"/>
    <w:rsid w:val="00BB6B51"/>
    <w:rsid w:val="00BB6B9C"/>
    <w:rsid w:val="00BB6BE7"/>
    <w:rsid w:val="00BB6EA4"/>
    <w:rsid w:val="00BB7256"/>
    <w:rsid w:val="00BB737E"/>
    <w:rsid w:val="00BB7391"/>
    <w:rsid w:val="00BB73B1"/>
    <w:rsid w:val="00BB74D3"/>
    <w:rsid w:val="00BB75E0"/>
    <w:rsid w:val="00BB7628"/>
    <w:rsid w:val="00BB7A41"/>
    <w:rsid w:val="00BB7A7A"/>
    <w:rsid w:val="00BB7EC2"/>
    <w:rsid w:val="00BC01B2"/>
    <w:rsid w:val="00BC02CA"/>
    <w:rsid w:val="00BC02FC"/>
    <w:rsid w:val="00BC0347"/>
    <w:rsid w:val="00BC0415"/>
    <w:rsid w:val="00BC052E"/>
    <w:rsid w:val="00BC057A"/>
    <w:rsid w:val="00BC05F9"/>
    <w:rsid w:val="00BC07A7"/>
    <w:rsid w:val="00BC0813"/>
    <w:rsid w:val="00BC0A62"/>
    <w:rsid w:val="00BC0CD6"/>
    <w:rsid w:val="00BC0CE8"/>
    <w:rsid w:val="00BC0D34"/>
    <w:rsid w:val="00BC0D9A"/>
    <w:rsid w:val="00BC10EA"/>
    <w:rsid w:val="00BC1323"/>
    <w:rsid w:val="00BC19BC"/>
    <w:rsid w:val="00BC1B46"/>
    <w:rsid w:val="00BC1D11"/>
    <w:rsid w:val="00BC1DF5"/>
    <w:rsid w:val="00BC1DFA"/>
    <w:rsid w:val="00BC2080"/>
    <w:rsid w:val="00BC208A"/>
    <w:rsid w:val="00BC20B0"/>
    <w:rsid w:val="00BC2273"/>
    <w:rsid w:val="00BC2425"/>
    <w:rsid w:val="00BC2507"/>
    <w:rsid w:val="00BC267E"/>
    <w:rsid w:val="00BC271F"/>
    <w:rsid w:val="00BC27C7"/>
    <w:rsid w:val="00BC29C1"/>
    <w:rsid w:val="00BC29F8"/>
    <w:rsid w:val="00BC2A3A"/>
    <w:rsid w:val="00BC2BB5"/>
    <w:rsid w:val="00BC2C3A"/>
    <w:rsid w:val="00BC2DC6"/>
    <w:rsid w:val="00BC2E2C"/>
    <w:rsid w:val="00BC2E9F"/>
    <w:rsid w:val="00BC2EC7"/>
    <w:rsid w:val="00BC302F"/>
    <w:rsid w:val="00BC3477"/>
    <w:rsid w:val="00BC3705"/>
    <w:rsid w:val="00BC3875"/>
    <w:rsid w:val="00BC3A4C"/>
    <w:rsid w:val="00BC3BD7"/>
    <w:rsid w:val="00BC3F1E"/>
    <w:rsid w:val="00BC3FAA"/>
    <w:rsid w:val="00BC45C3"/>
    <w:rsid w:val="00BC45C6"/>
    <w:rsid w:val="00BC4751"/>
    <w:rsid w:val="00BC4875"/>
    <w:rsid w:val="00BC49FE"/>
    <w:rsid w:val="00BC4A3B"/>
    <w:rsid w:val="00BC4CF6"/>
    <w:rsid w:val="00BC522F"/>
    <w:rsid w:val="00BC5ABB"/>
    <w:rsid w:val="00BC5B6C"/>
    <w:rsid w:val="00BC5C49"/>
    <w:rsid w:val="00BC5CE1"/>
    <w:rsid w:val="00BC6027"/>
    <w:rsid w:val="00BC62C8"/>
    <w:rsid w:val="00BC6514"/>
    <w:rsid w:val="00BC6525"/>
    <w:rsid w:val="00BC6582"/>
    <w:rsid w:val="00BC6590"/>
    <w:rsid w:val="00BC65C3"/>
    <w:rsid w:val="00BC6A39"/>
    <w:rsid w:val="00BC6A75"/>
    <w:rsid w:val="00BC6EC1"/>
    <w:rsid w:val="00BC6F6B"/>
    <w:rsid w:val="00BC700F"/>
    <w:rsid w:val="00BC7068"/>
    <w:rsid w:val="00BC7099"/>
    <w:rsid w:val="00BC7199"/>
    <w:rsid w:val="00BC72EF"/>
    <w:rsid w:val="00BC7306"/>
    <w:rsid w:val="00BC75C2"/>
    <w:rsid w:val="00BC75CB"/>
    <w:rsid w:val="00BC7840"/>
    <w:rsid w:val="00BC78B7"/>
    <w:rsid w:val="00BC7A76"/>
    <w:rsid w:val="00BC7C49"/>
    <w:rsid w:val="00BC7D30"/>
    <w:rsid w:val="00BC7DCD"/>
    <w:rsid w:val="00BC7F61"/>
    <w:rsid w:val="00BD00D8"/>
    <w:rsid w:val="00BD04EE"/>
    <w:rsid w:val="00BD0791"/>
    <w:rsid w:val="00BD07D9"/>
    <w:rsid w:val="00BD08AB"/>
    <w:rsid w:val="00BD0AC6"/>
    <w:rsid w:val="00BD0B0C"/>
    <w:rsid w:val="00BD1081"/>
    <w:rsid w:val="00BD12EC"/>
    <w:rsid w:val="00BD14B7"/>
    <w:rsid w:val="00BD1506"/>
    <w:rsid w:val="00BD1665"/>
    <w:rsid w:val="00BD1A97"/>
    <w:rsid w:val="00BD1CBE"/>
    <w:rsid w:val="00BD1EE7"/>
    <w:rsid w:val="00BD2019"/>
    <w:rsid w:val="00BD2058"/>
    <w:rsid w:val="00BD20F2"/>
    <w:rsid w:val="00BD211B"/>
    <w:rsid w:val="00BD21BA"/>
    <w:rsid w:val="00BD23A1"/>
    <w:rsid w:val="00BD2975"/>
    <w:rsid w:val="00BD2A04"/>
    <w:rsid w:val="00BD2B1C"/>
    <w:rsid w:val="00BD2B8C"/>
    <w:rsid w:val="00BD2C20"/>
    <w:rsid w:val="00BD2C4B"/>
    <w:rsid w:val="00BD2CFF"/>
    <w:rsid w:val="00BD2EE7"/>
    <w:rsid w:val="00BD2F71"/>
    <w:rsid w:val="00BD2F7F"/>
    <w:rsid w:val="00BD2FA8"/>
    <w:rsid w:val="00BD3092"/>
    <w:rsid w:val="00BD325D"/>
    <w:rsid w:val="00BD338E"/>
    <w:rsid w:val="00BD33F5"/>
    <w:rsid w:val="00BD35DA"/>
    <w:rsid w:val="00BD3774"/>
    <w:rsid w:val="00BD3818"/>
    <w:rsid w:val="00BD3822"/>
    <w:rsid w:val="00BD399C"/>
    <w:rsid w:val="00BD3BCC"/>
    <w:rsid w:val="00BD3BF7"/>
    <w:rsid w:val="00BD3CEB"/>
    <w:rsid w:val="00BD3EFA"/>
    <w:rsid w:val="00BD3F8B"/>
    <w:rsid w:val="00BD411C"/>
    <w:rsid w:val="00BD4193"/>
    <w:rsid w:val="00BD428C"/>
    <w:rsid w:val="00BD4348"/>
    <w:rsid w:val="00BD43BC"/>
    <w:rsid w:val="00BD44C1"/>
    <w:rsid w:val="00BD4804"/>
    <w:rsid w:val="00BD4D99"/>
    <w:rsid w:val="00BD4E22"/>
    <w:rsid w:val="00BD4E2D"/>
    <w:rsid w:val="00BD4F50"/>
    <w:rsid w:val="00BD51AE"/>
    <w:rsid w:val="00BD51B0"/>
    <w:rsid w:val="00BD5380"/>
    <w:rsid w:val="00BD53D6"/>
    <w:rsid w:val="00BD5616"/>
    <w:rsid w:val="00BD59DB"/>
    <w:rsid w:val="00BD5BD4"/>
    <w:rsid w:val="00BD5C25"/>
    <w:rsid w:val="00BD5C59"/>
    <w:rsid w:val="00BD5CCD"/>
    <w:rsid w:val="00BD5DD9"/>
    <w:rsid w:val="00BD5DDF"/>
    <w:rsid w:val="00BD5FBE"/>
    <w:rsid w:val="00BD6250"/>
    <w:rsid w:val="00BD64B9"/>
    <w:rsid w:val="00BD6528"/>
    <w:rsid w:val="00BD65C3"/>
    <w:rsid w:val="00BD6802"/>
    <w:rsid w:val="00BD68E8"/>
    <w:rsid w:val="00BD69C8"/>
    <w:rsid w:val="00BD6D88"/>
    <w:rsid w:val="00BD6DD3"/>
    <w:rsid w:val="00BD6E18"/>
    <w:rsid w:val="00BD6EF6"/>
    <w:rsid w:val="00BD715B"/>
    <w:rsid w:val="00BD72A2"/>
    <w:rsid w:val="00BD74FF"/>
    <w:rsid w:val="00BD76B1"/>
    <w:rsid w:val="00BD76EE"/>
    <w:rsid w:val="00BD7707"/>
    <w:rsid w:val="00BD77AA"/>
    <w:rsid w:val="00BD77BB"/>
    <w:rsid w:val="00BD78BF"/>
    <w:rsid w:val="00BD7A54"/>
    <w:rsid w:val="00BD7BB5"/>
    <w:rsid w:val="00BD7CB8"/>
    <w:rsid w:val="00BD7F35"/>
    <w:rsid w:val="00BD7F62"/>
    <w:rsid w:val="00BD7FE6"/>
    <w:rsid w:val="00BE010C"/>
    <w:rsid w:val="00BE0163"/>
    <w:rsid w:val="00BE0295"/>
    <w:rsid w:val="00BE02A6"/>
    <w:rsid w:val="00BE046E"/>
    <w:rsid w:val="00BE06CB"/>
    <w:rsid w:val="00BE097D"/>
    <w:rsid w:val="00BE0CAE"/>
    <w:rsid w:val="00BE0CFB"/>
    <w:rsid w:val="00BE0F68"/>
    <w:rsid w:val="00BE1030"/>
    <w:rsid w:val="00BE1050"/>
    <w:rsid w:val="00BE11C1"/>
    <w:rsid w:val="00BE12BF"/>
    <w:rsid w:val="00BE15AA"/>
    <w:rsid w:val="00BE1709"/>
    <w:rsid w:val="00BE179B"/>
    <w:rsid w:val="00BE17B7"/>
    <w:rsid w:val="00BE1804"/>
    <w:rsid w:val="00BE196E"/>
    <w:rsid w:val="00BE1ABA"/>
    <w:rsid w:val="00BE1C95"/>
    <w:rsid w:val="00BE1D85"/>
    <w:rsid w:val="00BE1E42"/>
    <w:rsid w:val="00BE1F12"/>
    <w:rsid w:val="00BE23B8"/>
    <w:rsid w:val="00BE23C0"/>
    <w:rsid w:val="00BE2414"/>
    <w:rsid w:val="00BE2486"/>
    <w:rsid w:val="00BE25AF"/>
    <w:rsid w:val="00BE2661"/>
    <w:rsid w:val="00BE2766"/>
    <w:rsid w:val="00BE27ED"/>
    <w:rsid w:val="00BE28C8"/>
    <w:rsid w:val="00BE28E4"/>
    <w:rsid w:val="00BE2AAB"/>
    <w:rsid w:val="00BE2B11"/>
    <w:rsid w:val="00BE2DF6"/>
    <w:rsid w:val="00BE2E2E"/>
    <w:rsid w:val="00BE2E57"/>
    <w:rsid w:val="00BE2E6F"/>
    <w:rsid w:val="00BE307F"/>
    <w:rsid w:val="00BE3254"/>
    <w:rsid w:val="00BE33F3"/>
    <w:rsid w:val="00BE3481"/>
    <w:rsid w:val="00BE355A"/>
    <w:rsid w:val="00BE376F"/>
    <w:rsid w:val="00BE3787"/>
    <w:rsid w:val="00BE3C05"/>
    <w:rsid w:val="00BE3C78"/>
    <w:rsid w:val="00BE3E78"/>
    <w:rsid w:val="00BE4106"/>
    <w:rsid w:val="00BE4371"/>
    <w:rsid w:val="00BE4739"/>
    <w:rsid w:val="00BE4799"/>
    <w:rsid w:val="00BE49F9"/>
    <w:rsid w:val="00BE4A6B"/>
    <w:rsid w:val="00BE4A73"/>
    <w:rsid w:val="00BE4D8E"/>
    <w:rsid w:val="00BE515D"/>
    <w:rsid w:val="00BE523B"/>
    <w:rsid w:val="00BE52AA"/>
    <w:rsid w:val="00BE5508"/>
    <w:rsid w:val="00BE561F"/>
    <w:rsid w:val="00BE5659"/>
    <w:rsid w:val="00BE5723"/>
    <w:rsid w:val="00BE586D"/>
    <w:rsid w:val="00BE59BE"/>
    <w:rsid w:val="00BE59D9"/>
    <w:rsid w:val="00BE5AD2"/>
    <w:rsid w:val="00BE5BBF"/>
    <w:rsid w:val="00BE5BF1"/>
    <w:rsid w:val="00BE5D4D"/>
    <w:rsid w:val="00BE5D96"/>
    <w:rsid w:val="00BE607E"/>
    <w:rsid w:val="00BE6275"/>
    <w:rsid w:val="00BE647C"/>
    <w:rsid w:val="00BE65FA"/>
    <w:rsid w:val="00BE666C"/>
    <w:rsid w:val="00BE6739"/>
    <w:rsid w:val="00BE683D"/>
    <w:rsid w:val="00BE6AC8"/>
    <w:rsid w:val="00BE727F"/>
    <w:rsid w:val="00BE74B8"/>
    <w:rsid w:val="00BE7573"/>
    <w:rsid w:val="00BE79F7"/>
    <w:rsid w:val="00BE7A0F"/>
    <w:rsid w:val="00BE7A60"/>
    <w:rsid w:val="00BE7A64"/>
    <w:rsid w:val="00BE7D00"/>
    <w:rsid w:val="00BE7E3E"/>
    <w:rsid w:val="00BE7EDC"/>
    <w:rsid w:val="00BE7EFD"/>
    <w:rsid w:val="00BF0748"/>
    <w:rsid w:val="00BF074B"/>
    <w:rsid w:val="00BF089D"/>
    <w:rsid w:val="00BF08E3"/>
    <w:rsid w:val="00BF0978"/>
    <w:rsid w:val="00BF0987"/>
    <w:rsid w:val="00BF0A18"/>
    <w:rsid w:val="00BF0A44"/>
    <w:rsid w:val="00BF0B20"/>
    <w:rsid w:val="00BF0B2A"/>
    <w:rsid w:val="00BF0CBA"/>
    <w:rsid w:val="00BF0D49"/>
    <w:rsid w:val="00BF0FDB"/>
    <w:rsid w:val="00BF1187"/>
    <w:rsid w:val="00BF13A4"/>
    <w:rsid w:val="00BF1563"/>
    <w:rsid w:val="00BF174C"/>
    <w:rsid w:val="00BF18FD"/>
    <w:rsid w:val="00BF1A46"/>
    <w:rsid w:val="00BF1AFA"/>
    <w:rsid w:val="00BF1C41"/>
    <w:rsid w:val="00BF1F39"/>
    <w:rsid w:val="00BF20AF"/>
    <w:rsid w:val="00BF2429"/>
    <w:rsid w:val="00BF244F"/>
    <w:rsid w:val="00BF2484"/>
    <w:rsid w:val="00BF26F0"/>
    <w:rsid w:val="00BF2756"/>
    <w:rsid w:val="00BF28E9"/>
    <w:rsid w:val="00BF2BD5"/>
    <w:rsid w:val="00BF2ED0"/>
    <w:rsid w:val="00BF3011"/>
    <w:rsid w:val="00BF31C9"/>
    <w:rsid w:val="00BF34C0"/>
    <w:rsid w:val="00BF3728"/>
    <w:rsid w:val="00BF3CE5"/>
    <w:rsid w:val="00BF3D54"/>
    <w:rsid w:val="00BF3F49"/>
    <w:rsid w:val="00BF4014"/>
    <w:rsid w:val="00BF409C"/>
    <w:rsid w:val="00BF417D"/>
    <w:rsid w:val="00BF441F"/>
    <w:rsid w:val="00BF48A8"/>
    <w:rsid w:val="00BF4AC9"/>
    <w:rsid w:val="00BF4B14"/>
    <w:rsid w:val="00BF4BBA"/>
    <w:rsid w:val="00BF4C7B"/>
    <w:rsid w:val="00BF4D85"/>
    <w:rsid w:val="00BF4F20"/>
    <w:rsid w:val="00BF519D"/>
    <w:rsid w:val="00BF52A3"/>
    <w:rsid w:val="00BF5424"/>
    <w:rsid w:val="00BF56A1"/>
    <w:rsid w:val="00BF579D"/>
    <w:rsid w:val="00BF57AA"/>
    <w:rsid w:val="00BF57EB"/>
    <w:rsid w:val="00BF5899"/>
    <w:rsid w:val="00BF59B2"/>
    <w:rsid w:val="00BF5D29"/>
    <w:rsid w:val="00BF5DBA"/>
    <w:rsid w:val="00BF5E15"/>
    <w:rsid w:val="00BF5F20"/>
    <w:rsid w:val="00BF5F5F"/>
    <w:rsid w:val="00BF5FD6"/>
    <w:rsid w:val="00BF605F"/>
    <w:rsid w:val="00BF63CF"/>
    <w:rsid w:val="00BF64EE"/>
    <w:rsid w:val="00BF657E"/>
    <w:rsid w:val="00BF6901"/>
    <w:rsid w:val="00BF69BF"/>
    <w:rsid w:val="00BF6AEA"/>
    <w:rsid w:val="00BF6B00"/>
    <w:rsid w:val="00BF6C4C"/>
    <w:rsid w:val="00BF6CFB"/>
    <w:rsid w:val="00BF6DFB"/>
    <w:rsid w:val="00BF6E99"/>
    <w:rsid w:val="00BF7399"/>
    <w:rsid w:val="00BF73C3"/>
    <w:rsid w:val="00BF75BF"/>
    <w:rsid w:val="00BF778A"/>
    <w:rsid w:val="00BF7862"/>
    <w:rsid w:val="00BF7B4E"/>
    <w:rsid w:val="00BF7C4C"/>
    <w:rsid w:val="00BF7CD0"/>
    <w:rsid w:val="00BF7DB3"/>
    <w:rsid w:val="00C0000F"/>
    <w:rsid w:val="00C00061"/>
    <w:rsid w:val="00C000F3"/>
    <w:rsid w:val="00C00126"/>
    <w:rsid w:val="00C00233"/>
    <w:rsid w:val="00C003D4"/>
    <w:rsid w:val="00C00576"/>
    <w:rsid w:val="00C005AB"/>
    <w:rsid w:val="00C0073D"/>
    <w:rsid w:val="00C00796"/>
    <w:rsid w:val="00C0127B"/>
    <w:rsid w:val="00C01296"/>
    <w:rsid w:val="00C01337"/>
    <w:rsid w:val="00C01646"/>
    <w:rsid w:val="00C01803"/>
    <w:rsid w:val="00C0198F"/>
    <w:rsid w:val="00C01D98"/>
    <w:rsid w:val="00C01DE6"/>
    <w:rsid w:val="00C01F07"/>
    <w:rsid w:val="00C01FDE"/>
    <w:rsid w:val="00C02038"/>
    <w:rsid w:val="00C02328"/>
    <w:rsid w:val="00C0243F"/>
    <w:rsid w:val="00C02662"/>
    <w:rsid w:val="00C02988"/>
    <w:rsid w:val="00C02B38"/>
    <w:rsid w:val="00C02BE0"/>
    <w:rsid w:val="00C02BF0"/>
    <w:rsid w:val="00C02EB6"/>
    <w:rsid w:val="00C0343D"/>
    <w:rsid w:val="00C0346E"/>
    <w:rsid w:val="00C035AF"/>
    <w:rsid w:val="00C03733"/>
    <w:rsid w:val="00C03786"/>
    <w:rsid w:val="00C03829"/>
    <w:rsid w:val="00C039C0"/>
    <w:rsid w:val="00C03E1A"/>
    <w:rsid w:val="00C03ED8"/>
    <w:rsid w:val="00C03F1A"/>
    <w:rsid w:val="00C03F5F"/>
    <w:rsid w:val="00C04088"/>
    <w:rsid w:val="00C04128"/>
    <w:rsid w:val="00C04267"/>
    <w:rsid w:val="00C04284"/>
    <w:rsid w:val="00C042E4"/>
    <w:rsid w:val="00C0466F"/>
    <w:rsid w:val="00C048A6"/>
    <w:rsid w:val="00C04917"/>
    <w:rsid w:val="00C04A0D"/>
    <w:rsid w:val="00C04AD4"/>
    <w:rsid w:val="00C04C30"/>
    <w:rsid w:val="00C04E11"/>
    <w:rsid w:val="00C04EBC"/>
    <w:rsid w:val="00C05225"/>
    <w:rsid w:val="00C05470"/>
    <w:rsid w:val="00C054C5"/>
    <w:rsid w:val="00C05521"/>
    <w:rsid w:val="00C05586"/>
    <w:rsid w:val="00C05801"/>
    <w:rsid w:val="00C0581B"/>
    <w:rsid w:val="00C05AA4"/>
    <w:rsid w:val="00C060B4"/>
    <w:rsid w:val="00C06192"/>
    <w:rsid w:val="00C06520"/>
    <w:rsid w:val="00C066DA"/>
    <w:rsid w:val="00C066E1"/>
    <w:rsid w:val="00C066EB"/>
    <w:rsid w:val="00C06899"/>
    <w:rsid w:val="00C06A30"/>
    <w:rsid w:val="00C06B2B"/>
    <w:rsid w:val="00C06C3B"/>
    <w:rsid w:val="00C06CAD"/>
    <w:rsid w:val="00C06EF3"/>
    <w:rsid w:val="00C0717F"/>
    <w:rsid w:val="00C0726A"/>
    <w:rsid w:val="00C07426"/>
    <w:rsid w:val="00C07465"/>
    <w:rsid w:val="00C0786C"/>
    <w:rsid w:val="00C07A26"/>
    <w:rsid w:val="00C07CB2"/>
    <w:rsid w:val="00C07D63"/>
    <w:rsid w:val="00C07DAA"/>
    <w:rsid w:val="00C101E2"/>
    <w:rsid w:val="00C1035B"/>
    <w:rsid w:val="00C10587"/>
    <w:rsid w:val="00C108D3"/>
    <w:rsid w:val="00C10B2C"/>
    <w:rsid w:val="00C10D41"/>
    <w:rsid w:val="00C10E79"/>
    <w:rsid w:val="00C11020"/>
    <w:rsid w:val="00C113F4"/>
    <w:rsid w:val="00C11828"/>
    <w:rsid w:val="00C118E9"/>
    <w:rsid w:val="00C1193E"/>
    <w:rsid w:val="00C1197F"/>
    <w:rsid w:val="00C11AC8"/>
    <w:rsid w:val="00C11B4C"/>
    <w:rsid w:val="00C12009"/>
    <w:rsid w:val="00C1224D"/>
    <w:rsid w:val="00C125DC"/>
    <w:rsid w:val="00C12BAB"/>
    <w:rsid w:val="00C1304C"/>
    <w:rsid w:val="00C13059"/>
    <w:rsid w:val="00C13248"/>
    <w:rsid w:val="00C137B6"/>
    <w:rsid w:val="00C137C5"/>
    <w:rsid w:val="00C13982"/>
    <w:rsid w:val="00C13984"/>
    <w:rsid w:val="00C14159"/>
    <w:rsid w:val="00C14299"/>
    <w:rsid w:val="00C142FB"/>
    <w:rsid w:val="00C1431E"/>
    <w:rsid w:val="00C1443E"/>
    <w:rsid w:val="00C14748"/>
    <w:rsid w:val="00C14A61"/>
    <w:rsid w:val="00C14A90"/>
    <w:rsid w:val="00C14EFD"/>
    <w:rsid w:val="00C14F79"/>
    <w:rsid w:val="00C14FFD"/>
    <w:rsid w:val="00C15055"/>
    <w:rsid w:val="00C150F3"/>
    <w:rsid w:val="00C15126"/>
    <w:rsid w:val="00C15177"/>
    <w:rsid w:val="00C15245"/>
    <w:rsid w:val="00C15382"/>
    <w:rsid w:val="00C15492"/>
    <w:rsid w:val="00C157C9"/>
    <w:rsid w:val="00C15A43"/>
    <w:rsid w:val="00C15CE4"/>
    <w:rsid w:val="00C15DA5"/>
    <w:rsid w:val="00C15E17"/>
    <w:rsid w:val="00C15E2F"/>
    <w:rsid w:val="00C15EAB"/>
    <w:rsid w:val="00C15EB8"/>
    <w:rsid w:val="00C15F72"/>
    <w:rsid w:val="00C16147"/>
    <w:rsid w:val="00C1618E"/>
    <w:rsid w:val="00C161A9"/>
    <w:rsid w:val="00C1634A"/>
    <w:rsid w:val="00C16428"/>
    <w:rsid w:val="00C1644B"/>
    <w:rsid w:val="00C167EA"/>
    <w:rsid w:val="00C16921"/>
    <w:rsid w:val="00C16C45"/>
    <w:rsid w:val="00C16CDB"/>
    <w:rsid w:val="00C16EAC"/>
    <w:rsid w:val="00C17114"/>
    <w:rsid w:val="00C17429"/>
    <w:rsid w:val="00C17AC9"/>
    <w:rsid w:val="00C17BA2"/>
    <w:rsid w:val="00C17BA5"/>
    <w:rsid w:val="00C17D36"/>
    <w:rsid w:val="00C20140"/>
    <w:rsid w:val="00C202B9"/>
    <w:rsid w:val="00C2050A"/>
    <w:rsid w:val="00C207D4"/>
    <w:rsid w:val="00C20957"/>
    <w:rsid w:val="00C20CF5"/>
    <w:rsid w:val="00C20F28"/>
    <w:rsid w:val="00C21034"/>
    <w:rsid w:val="00C213E6"/>
    <w:rsid w:val="00C21459"/>
    <w:rsid w:val="00C216BF"/>
    <w:rsid w:val="00C21754"/>
    <w:rsid w:val="00C217BB"/>
    <w:rsid w:val="00C21874"/>
    <w:rsid w:val="00C21899"/>
    <w:rsid w:val="00C218C8"/>
    <w:rsid w:val="00C21939"/>
    <w:rsid w:val="00C2196A"/>
    <w:rsid w:val="00C21A66"/>
    <w:rsid w:val="00C21DAC"/>
    <w:rsid w:val="00C21F40"/>
    <w:rsid w:val="00C22219"/>
    <w:rsid w:val="00C222FB"/>
    <w:rsid w:val="00C22519"/>
    <w:rsid w:val="00C226BA"/>
    <w:rsid w:val="00C22A36"/>
    <w:rsid w:val="00C22BAE"/>
    <w:rsid w:val="00C22CAE"/>
    <w:rsid w:val="00C22CCB"/>
    <w:rsid w:val="00C22D6B"/>
    <w:rsid w:val="00C22D83"/>
    <w:rsid w:val="00C22E9D"/>
    <w:rsid w:val="00C22EB7"/>
    <w:rsid w:val="00C22F3A"/>
    <w:rsid w:val="00C22FB8"/>
    <w:rsid w:val="00C230AE"/>
    <w:rsid w:val="00C23191"/>
    <w:rsid w:val="00C23242"/>
    <w:rsid w:val="00C232FB"/>
    <w:rsid w:val="00C2337F"/>
    <w:rsid w:val="00C233A2"/>
    <w:rsid w:val="00C233A3"/>
    <w:rsid w:val="00C2379B"/>
    <w:rsid w:val="00C238B6"/>
    <w:rsid w:val="00C239C7"/>
    <w:rsid w:val="00C23A90"/>
    <w:rsid w:val="00C23AB3"/>
    <w:rsid w:val="00C23D0F"/>
    <w:rsid w:val="00C23D86"/>
    <w:rsid w:val="00C23E92"/>
    <w:rsid w:val="00C241A1"/>
    <w:rsid w:val="00C2420A"/>
    <w:rsid w:val="00C2426D"/>
    <w:rsid w:val="00C243C6"/>
    <w:rsid w:val="00C24533"/>
    <w:rsid w:val="00C245CC"/>
    <w:rsid w:val="00C24856"/>
    <w:rsid w:val="00C248DC"/>
    <w:rsid w:val="00C24952"/>
    <w:rsid w:val="00C2495E"/>
    <w:rsid w:val="00C24AFC"/>
    <w:rsid w:val="00C24C51"/>
    <w:rsid w:val="00C24D00"/>
    <w:rsid w:val="00C24DB4"/>
    <w:rsid w:val="00C24E23"/>
    <w:rsid w:val="00C25006"/>
    <w:rsid w:val="00C2500B"/>
    <w:rsid w:val="00C252C4"/>
    <w:rsid w:val="00C25386"/>
    <w:rsid w:val="00C25584"/>
    <w:rsid w:val="00C2586D"/>
    <w:rsid w:val="00C258D0"/>
    <w:rsid w:val="00C25AEF"/>
    <w:rsid w:val="00C25F47"/>
    <w:rsid w:val="00C2667E"/>
    <w:rsid w:val="00C267FA"/>
    <w:rsid w:val="00C26854"/>
    <w:rsid w:val="00C26B96"/>
    <w:rsid w:val="00C26C38"/>
    <w:rsid w:val="00C26EC1"/>
    <w:rsid w:val="00C2711F"/>
    <w:rsid w:val="00C272D1"/>
    <w:rsid w:val="00C273D5"/>
    <w:rsid w:val="00C2745C"/>
    <w:rsid w:val="00C2773E"/>
    <w:rsid w:val="00C27882"/>
    <w:rsid w:val="00C27E9B"/>
    <w:rsid w:val="00C27F2C"/>
    <w:rsid w:val="00C300A6"/>
    <w:rsid w:val="00C30508"/>
    <w:rsid w:val="00C306CA"/>
    <w:rsid w:val="00C308F3"/>
    <w:rsid w:val="00C3094C"/>
    <w:rsid w:val="00C3098E"/>
    <w:rsid w:val="00C30BEA"/>
    <w:rsid w:val="00C30BF5"/>
    <w:rsid w:val="00C31130"/>
    <w:rsid w:val="00C311CB"/>
    <w:rsid w:val="00C3120B"/>
    <w:rsid w:val="00C31267"/>
    <w:rsid w:val="00C312DA"/>
    <w:rsid w:val="00C31899"/>
    <w:rsid w:val="00C31BCE"/>
    <w:rsid w:val="00C31C93"/>
    <w:rsid w:val="00C31D9B"/>
    <w:rsid w:val="00C31FB6"/>
    <w:rsid w:val="00C31FF7"/>
    <w:rsid w:val="00C32111"/>
    <w:rsid w:val="00C32514"/>
    <w:rsid w:val="00C3259D"/>
    <w:rsid w:val="00C325C0"/>
    <w:rsid w:val="00C3282B"/>
    <w:rsid w:val="00C32A47"/>
    <w:rsid w:val="00C32CD4"/>
    <w:rsid w:val="00C333D9"/>
    <w:rsid w:val="00C3342C"/>
    <w:rsid w:val="00C33718"/>
    <w:rsid w:val="00C33A4A"/>
    <w:rsid w:val="00C33FF9"/>
    <w:rsid w:val="00C340CE"/>
    <w:rsid w:val="00C346B9"/>
    <w:rsid w:val="00C346E9"/>
    <w:rsid w:val="00C34847"/>
    <w:rsid w:val="00C34F8C"/>
    <w:rsid w:val="00C35032"/>
    <w:rsid w:val="00C35450"/>
    <w:rsid w:val="00C35458"/>
    <w:rsid w:val="00C35575"/>
    <w:rsid w:val="00C3565C"/>
    <w:rsid w:val="00C357BB"/>
    <w:rsid w:val="00C35AB2"/>
    <w:rsid w:val="00C35B9D"/>
    <w:rsid w:val="00C35FCB"/>
    <w:rsid w:val="00C35FF6"/>
    <w:rsid w:val="00C36041"/>
    <w:rsid w:val="00C363DC"/>
    <w:rsid w:val="00C36439"/>
    <w:rsid w:val="00C364C4"/>
    <w:rsid w:val="00C36678"/>
    <w:rsid w:val="00C36809"/>
    <w:rsid w:val="00C3684F"/>
    <w:rsid w:val="00C36E16"/>
    <w:rsid w:val="00C36FA3"/>
    <w:rsid w:val="00C36FF4"/>
    <w:rsid w:val="00C37021"/>
    <w:rsid w:val="00C37076"/>
    <w:rsid w:val="00C3722F"/>
    <w:rsid w:val="00C37271"/>
    <w:rsid w:val="00C3756B"/>
    <w:rsid w:val="00C377E4"/>
    <w:rsid w:val="00C37804"/>
    <w:rsid w:val="00C378F5"/>
    <w:rsid w:val="00C37918"/>
    <w:rsid w:val="00C37959"/>
    <w:rsid w:val="00C379F8"/>
    <w:rsid w:val="00C37ACD"/>
    <w:rsid w:val="00C37C1C"/>
    <w:rsid w:val="00C37D84"/>
    <w:rsid w:val="00C37E16"/>
    <w:rsid w:val="00C40028"/>
    <w:rsid w:val="00C401E0"/>
    <w:rsid w:val="00C4043C"/>
    <w:rsid w:val="00C406DC"/>
    <w:rsid w:val="00C40D36"/>
    <w:rsid w:val="00C40EEB"/>
    <w:rsid w:val="00C41105"/>
    <w:rsid w:val="00C411DD"/>
    <w:rsid w:val="00C41254"/>
    <w:rsid w:val="00C417B0"/>
    <w:rsid w:val="00C41AFA"/>
    <w:rsid w:val="00C41B12"/>
    <w:rsid w:val="00C41CD1"/>
    <w:rsid w:val="00C41EB4"/>
    <w:rsid w:val="00C41F29"/>
    <w:rsid w:val="00C41F53"/>
    <w:rsid w:val="00C42022"/>
    <w:rsid w:val="00C42188"/>
    <w:rsid w:val="00C4220B"/>
    <w:rsid w:val="00C4230A"/>
    <w:rsid w:val="00C4240E"/>
    <w:rsid w:val="00C424F6"/>
    <w:rsid w:val="00C42641"/>
    <w:rsid w:val="00C42853"/>
    <w:rsid w:val="00C42877"/>
    <w:rsid w:val="00C42C92"/>
    <w:rsid w:val="00C42E75"/>
    <w:rsid w:val="00C42F07"/>
    <w:rsid w:val="00C42F93"/>
    <w:rsid w:val="00C43174"/>
    <w:rsid w:val="00C4318D"/>
    <w:rsid w:val="00C43243"/>
    <w:rsid w:val="00C436B9"/>
    <w:rsid w:val="00C437A1"/>
    <w:rsid w:val="00C437B8"/>
    <w:rsid w:val="00C43E07"/>
    <w:rsid w:val="00C43F36"/>
    <w:rsid w:val="00C440C8"/>
    <w:rsid w:val="00C4448C"/>
    <w:rsid w:val="00C445D8"/>
    <w:rsid w:val="00C446B0"/>
    <w:rsid w:val="00C44828"/>
    <w:rsid w:val="00C44A0D"/>
    <w:rsid w:val="00C44A89"/>
    <w:rsid w:val="00C44BC2"/>
    <w:rsid w:val="00C44C07"/>
    <w:rsid w:val="00C44C12"/>
    <w:rsid w:val="00C44C39"/>
    <w:rsid w:val="00C44CA7"/>
    <w:rsid w:val="00C44D46"/>
    <w:rsid w:val="00C44E1B"/>
    <w:rsid w:val="00C44FD8"/>
    <w:rsid w:val="00C4504F"/>
    <w:rsid w:val="00C45084"/>
    <w:rsid w:val="00C450B0"/>
    <w:rsid w:val="00C450CA"/>
    <w:rsid w:val="00C456A6"/>
    <w:rsid w:val="00C45829"/>
    <w:rsid w:val="00C4597A"/>
    <w:rsid w:val="00C45A7D"/>
    <w:rsid w:val="00C45B45"/>
    <w:rsid w:val="00C45BBC"/>
    <w:rsid w:val="00C45C5B"/>
    <w:rsid w:val="00C45F83"/>
    <w:rsid w:val="00C45FA7"/>
    <w:rsid w:val="00C46419"/>
    <w:rsid w:val="00C46595"/>
    <w:rsid w:val="00C465B0"/>
    <w:rsid w:val="00C46676"/>
    <w:rsid w:val="00C4677F"/>
    <w:rsid w:val="00C46E29"/>
    <w:rsid w:val="00C47105"/>
    <w:rsid w:val="00C473CB"/>
    <w:rsid w:val="00C477EA"/>
    <w:rsid w:val="00C478A6"/>
    <w:rsid w:val="00C47D44"/>
    <w:rsid w:val="00C47F2D"/>
    <w:rsid w:val="00C5009D"/>
    <w:rsid w:val="00C501B0"/>
    <w:rsid w:val="00C501C2"/>
    <w:rsid w:val="00C502EC"/>
    <w:rsid w:val="00C5057C"/>
    <w:rsid w:val="00C50911"/>
    <w:rsid w:val="00C50ADB"/>
    <w:rsid w:val="00C50B89"/>
    <w:rsid w:val="00C50BDF"/>
    <w:rsid w:val="00C51363"/>
    <w:rsid w:val="00C513CA"/>
    <w:rsid w:val="00C515F9"/>
    <w:rsid w:val="00C51688"/>
    <w:rsid w:val="00C517D0"/>
    <w:rsid w:val="00C5186B"/>
    <w:rsid w:val="00C5197C"/>
    <w:rsid w:val="00C51A88"/>
    <w:rsid w:val="00C51DA2"/>
    <w:rsid w:val="00C51FF9"/>
    <w:rsid w:val="00C52208"/>
    <w:rsid w:val="00C52242"/>
    <w:rsid w:val="00C52582"/>
    <w:rsid w:val="00C527C3"/>
    <w:rsid w:val="00C527C8"/>
    <w:rsid w:val="00C52849"/>
    <w:rsid w:val="00C52866"/>
    <w:rsid w:val="00C52BE6"/>
    <w:rsid w:val="00C52DB1"/>
    <w:rsid w:val="00C531B8"/>
    <w:rsid w:val="00C53265"/>
    <w:rsid w:val="00C53371"/>
    <w:rsid w:val="00C536CF"/>
    <w:rsid w:val="00C5385E"/>
    <w:rsid w:val="00C538F4"/>
    <w:rsid w:val="00C53983"/>
    <w:rsid w:val="00C53F04"/>
    <w:rsid w:val="00C543AE"/>
    <w:rsid w:val="00C54491"/>
    <w:rsid w:val="00C54784"/>
    <w:rsid w:val="00C549F8"/>
    <w:rsid w:val="00C54CB8"/>
    <w:rsid w:val="00C54D32"/>
    <w:rsid w:val="00C54D7F"/>
    <w:rsid w:val="00C54EF6"/>
    <w:rsid w:val="00C54F7B"/>
    <w:rsid w:val="00C553E4"/>
    <w:rsid w:val="00C554E5"/>
    <w:rsid w:val="00C554F4"/>
    <w:rsid w:val="00C55826"/>
    <w:rsid w:val="00C5593D"/>
    <w:rsid w:val="00C55A0F"/>
    <w:rsid w:val="00C55E72"/>
    <w:rsid w:val="00C55F52"/>
    <w:rsid w:val="00C56177"/>
    <w:rsid w:val="00C5639F"/>
    <w:rsid w:val="00C5657F"/>
    <w:rsid w:val="00C565C8"/>
    <w:rsid w:val="00C56662"/>
    <w:rsid w:val="00C566EB"/>
    <w:rsid w:val="00C56A3A"/>
    <w:rsid w:val="00C56BE0"/>
    <w:rsid w:val="00C56D3D"/>
    <w:rsid w:val="00C56DEF"/>
    <w:rsid w:val="00C570E7"/>
    <w:rsid w:val="00C5714A"/>
    <w:rsid w:val="00C57612"/>
    <w:rsid w:val="00C577A3"/>
    <w:rsid w:val="00C5782F"/>
    <w:rsid w:val="00C57A46"/>
    <w:rsid w:val="00C57B8F"/>
    <w:rsid w:val="00C57E88"/>
    <w:rsid w:val="00C57F10"/>
    <w:rsid w:val="00C57FA9"/>
    <w:rsid w:val="00C57FD4"/>
    <w:rsid w:val="00C60358"/>
    <w:rsid w:val="00C60672"/>
    <w:rsid w:val="00C606F5"/>
    <w:rsid w:val="00C60854"/>
    <w:rsid w:val="00C609C5"/>
    <w:rsid w:val="00C60A53"/>
    <w:rsid w:val="00C60CD2"/>
    <w:rsid w:val="00C60D32"/>
    <w:rsid w:val="00C60D85"/>
    <w:rsid w:val="00C611A4"/>
    <w:rsid w:val="00C611DE"/>
    <w:rsid w:val="00C614D0"/>
    <w:rsid w:val="00C6167F"/>
    <w:rsid w:val="00C616BF"/>
    <w:rsid w:val="00C617BD"/>
    <w:rsid w:val="00C6192A"/>
    <w:rsid w:val="00C61AC7"/>
    <w:rsid w:val="00C61C4C"/>
    <w:rsid w:val="00C61D32"/>
    <w:rsid w:val="00C61D50"/>
    <w:rsid w:val="00C61FA8"/>
    <w:rsid w:val="00C6202D"/>
    <w:rsid w:val="00C6204B"/>
    <w:rsid w:val="00C62112"/>
    <w:rsid w:val="00C622C1"/>
    <w:rsid w:val="00C6297B"/>
    <w:rsid w:val="00C62A3B"/>
    <w:rsid w:val="00C62AB4"/>
    <w:rsid w:val="00C62D4F"/>
    <w:rsid w:val="00C62E4E"/>
    <w:rsid w:val="00C62ED8"/>
    <w:rsid w:val="00C62EE8"/>
    <w:rsid w:val="00C63088"/>
    <w:rsid w:val="00C630EC"/>
    <w:rsid w:val="00C6315B"/>
    <w:rsid w:val="00C631F1"/>
    <w:rsid w:val="00C633C9"/>
    <w:rsid w:val="00C63471"/>
    <w:rsid w:val="00C6354C"/>
    <w:rsid w:val="00C6354D"/>
    <w:rsid w:val="00C637F9"/>
    <w:rsid w:val="00C63C86"/>
    <w:rsid w:val="00C6414B"/>
    <w:rsid w:val="00C641AB"/>
    <w:rsid w:val="00C641E8"/>
    <w:rsid w:val="00C64264"/>
    <w:rsid w:val="00C6436B"/>
    <w:rsid w:val="00C647FD"/>
    <w:rsid w:val="00C6491E"/>
    <w:rsid w:val="00C6496E"/>
    <w:rsid w:val="00C649BB"/>
    <w:rsid w:val="00C64A66"/>
    <w:rsid w:val="00C64B7A"/>
    <w:rsid w:val="00C64E12"/>
    <w:rsid w:val="00C6527C"/>
    <w:rsid w:val="00C654E2"/>
    <w:rsid w:val="00C6562D"/>
    <w:rsid w:val="00C65870"/>
    <w:rsid w:val="00C658E0"/>
    <w:rsid w:val="00C65C1A"/>
    <w:rsid w:val="00C65C3F"/>
    <w:rsid w:val="00C65FC9"/>
    <w:rsid w:val="00C66060"/>
    <w:rsid w:val="00C661FD"/>
    <w:rsid w:val="00C66206"/>
    <w:rsid w:val="00C66264"/>
    <w:rsid w:val="00C66544"/>
    <w:rsid w:val="00C6697F"/>
    <w:rsid w:val="00C66A84"/>
    <w:rsid w:val="00C66AFE"/>
    <w:rsid w:val="00C66C9F"/>
    <w:rsid w:val="00C66E85"/>
    <w:rsid w:val="00C66F52"/>
    <w:rsid w:val="00C6708F"/>
    <w:rsid w:val="00C671C3"/>
    <w:rsid w:val="00C671D1"/>
    <w:rsid w:val="00C67228"/>
    <w:rsid w:val="00C672E7"/>
    <w:rsid w:val="00C673CC"/>
    <w:rsid w:val="00C6748C"/>
    <w:rsid w:val="00C67553"/>
    <w:rsid w:val="00C67604"/>
    <w:rsid w:val="00C676FB"/>
    <w:rsid w:val="00C6772D"/>
    <w:rsid w:val="00C679C8"/>
    <w:rsid w:val="00C67B2E"/>
    <w:rsid w:val="00C67E01"/>
    <w:rsid w:val="00C67FC7"/>
    <w:rsid w:val="00C700FE"/>
    <w:rsid w:val="00C701CD"/>
    <w:rsid w:val="00C70234"/>
    <w:rsid w:val="00C7045D"/>
    <w:rsid w:val="00C704E7"/>
    <w:rsid w:val="00C7082D"/>
    <w:rsid w:val="00C70926"/>
    <w:rsid w:val="00C70BF4"/>
    <w:rsid w:val="00C70C5E"/>
    <w:rsid w:val="00C70CD8"/>
    <w:rsid w:val="00C7114A"/>
    <w:rsid w:val="00C712F7"/>
    <w:rsid w:val="00C713C5"/>
    <w:rsid w:val="00C7183B"/>
    <w:rsid w:val="00C718F0"/>
    <w:rsid w:val="00C71A38"/>
    <w:rsid w:val="00C71B2C"/>
    <w:rsid w:val="00C71B49"/>
    <w:rsid w:val="00C71C38"/>
    <w:rsid w:val="00C71C45"/>
    <w:rsid w:val="00C71CA7"/>
    <w:rsid w:val="00C71CC5"/>
    <w:rsid w:val="00C721A4"/>
    <w:rsid w:val="00C724BB"/>
    <w:rsid w:val="00C72AD0"/>
    <w:rsid w:val="00C72BF7"/>
    <w:rsid w:val="00C72C51"/>
    <w:rsid w:val="00C72C6C"/>
    <w:rsid w:val="00C72C90"/>
    <w:rsid w:val="00C73094"/>
    <w:rsid w:val="00C732A1"/>
    <w:rsid w:val="00C73648"/>
    <w:rsid w:val="00C737C6"/>
    <w:rsid w:val="00C73AF0"/>
    <w:rsid w:val="00C73AF3"/>
    <w:rsid w:val="00C73B58"/>
    <w:rsid w:val="00C73C02"/>
    <w:rsid w:val="00C73CA0"/>
    <w:rsid w:val="00C741C0"/>
    <w:rsid w:val="00C742A4"/>
    <w:rsid w:val="00C742AD"/>
    <w:rsid w:val="00C747BB"/>
    <w:rsid w:val="00C747D1"/>
    <w:rsid w:val="00C74871"/>
    <w:rsid w:val="00C748FA"/>
    <w:rsid w:val="00C749B8"/>
    <w:rsid w:val="00C74B3B"/>
    <w:rsid w:val="00C74D04"/>
    <w:rsid w:val="00C74D91"/>
    <w:rsid w:val="00C75008"/>
    <w:rsid w:val="00C75154"/>
    <w:rsid w:val="00C7516B"/>
    <w:rsid w:val="00C7539F"/>
    <w:rsid w:val="00C753D6"/>
    <w:rsid w:val="00C75544"/>
    <w:rsid w:val="00C75777"/>
    <w:rsid w:val="00C75B99"/>
    <w:rsid w:val="00C75D99"/>
    <w:rsid w:val="00C761BC"/>
    <w:rsid w:val="00C7621D"/>
    <w:rsid w:val="00C763CD"/>
    <w:rsid w:val="00C763F0"/>
    <w:rsid w:val="00C764AB"/>
    <w:rsid w:val="00C7668B"/>
    <w:rsid w:val="00C7686F"/>
    <w:rsid w:val="00C769B0"/>
    <w:rsid w:val="00C76A0D"/>
    <w:rsid w:val="00C76AD8"/>
    <w:rsid w:val="00C76B33"/>
    <w:rsid w:val="00C76B5C"/>
    <w:rsid w:val="00C76B60"/>
    <w:rsid w:val="00C76BB1"/>
    <w:rsid w:val="00C76D4F"/>
    <w:rsid w:val="00C76DE0"/>
    <w:rsid w:val="00C76FDC"/>
    <w:rsid w:val="00C771FC"/>
    <w:rsid w:val="00C7737E"/>
    <w:rsid w:val="00C77422"/>
    <w:rsid w:val="00C77516"/>
    <w:rsid w:val="00C775AF"/>
    <w:rsid w:val="00C776C0"/>
    <w:rsid w:val="00C779A6"/>
    <w:rsid w:val="00C77AC7"/>
    <w:rsid w:val="00C77D59"/>
    <w:rsid w:val="00C77E01"/>
    <w:rsid w:val="00C80558"/>
    <w:rsid w:val="00C8065C"/>
    <w:rsid w:val="00C80667"/>
    <w:rsid w:val="00C807BC"/>
    <w:rsid w:val="00C80B7F"/>
    <w:rsid w:val="00C80BA2"/>
    <w:rsid w:val="00C80DCC"/>
    <w:rsid w:val="00C80EE3"/>
    <w:rsid w:val="00C80F03"/>
    <w:rsid w:val="00C80FB7"/>
    <w:rsid w:val="00C81172"/>
    <w:rsid w:val="00C8125B"/>
    <w:rsid w:val="00C813CB"/>
    <w:rsid w:val="00C813ED"/>
    <w:rsid w:val="00C816EA"/>
    <w:rsid w:val="00C81739"/>
    <w:rsid w:val="00C81764"/>
    <w:rsid w:val="00C817F4"/>
    <w:rsid w:val="00C81C47"/>
    <w:rsid w:val="00C81EDD"/>
    <w:rsid w:val="00C81EE7"/>
    <w:rsid w:val="00C81F56"/>
    <w:rsid w:val="00C82152"/>
    <w:rsid w:val="00C82231"/>
    <w:rsid w:val="00C826FA"/>
    <w:rsid w:val="00C82754"/>
    <w:rsid w:val="00C829FE"/>
    <w:rsid w:val="00C82C45"/>
    <w:rsid w:val="00C82C9C"/>
    <w:rsid w:val="00C83063"/>
    <w:rsid w:val="00C830FA"/>
    <w:rsid w:val="00C8326A"/>
    <w:rsid w:val="00C8328C"/>
    <w:rsid w:val="00C832F1"/>
    <w:rsid w:val="00C83674"/>
    <w:rsid w:val="00C83689"/>
    <w:rsid w:val="00C83763"/>
    <w:rsid w:val="00C83AA4"/>
    <w:rsid w:val="00C83B8E"/>
    <w:rsid w:val="00C84165"/>
    <w:rsid w:val="00C84234"/>
    <w:rsid w:val="00C843DB"/>
    <w:rsid w:val="00C843EB"/>
    <w:rsid w:val="00C845AC"/>
    <w:rsid w:val="00C845F4"/>
    <w:rsid w:val="00C846A7"/>
    <w:rsid w:val="00C846CE"/>
    <w:rsid w:val="00C84804"/>
    <w:rsid w:val="00C849FC"/>
    <w:rsid w:val="00C84B21"/>
    <w:rsid w:val="00C84B70"/>
    <w:rsid w:val="00C84D45"/>
    <w:rsid w:val="00C84DEB"/>
    <w:rsid w:val="00C85015"/>
    <w:rsid w:val="00C85376"/>
    <w:rsid w:val="00C854FE"/>
    <w:rsid w:val="00C855FD"/>
    <w:rsid w:val="00C85685"/>
    <w:rsid w:val="00C85721"/>
    <w:rsid w:val="00C8574C"/>
    <w:rsid w:val="00C8574E"/>
    <w:rsid w:val="00C85A8B"/>
    <w:rsid w:val="00C85E51"/>
    <w:rsid w:val="00C86068"/>
    <w:rsid w:val="00C8606D"/>
    <w:rsid w:val="00C860F0"/>
    <w:rsid w:val="00C86293"/>
    <w:rsid w:val="00C86442"/>
    <w:rsid w:val="00C864C8"/>
    <w:rsid w:val="00C86532"/>
    <w:rsid w:val="00C867EB"/>
    <w:rsid w:val="00C86A63"/>
    <w:rsid w:val="00C86AE3"/>
    <w:rsid w:val="00C86BE4"/>
    <w:rsid w:val="00C87099"/>
    <w:rsid w:val="00C871A7"/>
    <w:rsid w:val="00C8740A"/>
    <w:rsid w:val="00C874C6"/>
    <w:rsid w:val="00C87678"/>
    <w:rsid w:val="00C8773B"/>
    <w:rsid w:val="00C877A6"/>
    <w:rsid w:val="00C877B6"/>
    <w:rsid w:val="00C877F7"/>
    <w:rsid w:val="00C8791C"/>
    <w:rsid w:val="00C87BFA"/>
    <w:rsid w:val="00C87F38"/>
    <w:rsid w:val="00C87F68"/>
    <w:rsid w:val="00C87FCC"/>
    <w:rsid w:val="00C90035"/>
    <w:rsid w:val="00C90317"/>
    <w:rsid w:val="00C903BB"/>
    <w:rsid w:val="00C90B42"/>
    <w:rsid w:val="00C90C29"/>
    <w:rsid w:val="00C90C9A"/>
    <w:rsid w:val="00C90CA1"/>
    <w:rsid w:val="00C90DC6"/>
    <w:rsid w:val="00C91216"/>
    <w:rsid w:val="00C91296"/>
    <w:rsid w:val="00C91360"/>
    <w:rsid w:val="00C913D9"/>
    <w:rsid w:val="00C91465"/>
    <w:rsid w:val="00C91754"/>
    <w:rsid w:val="00C917A7"/>
    <w:rsid w:val="00C91A4A"/>
    <w:rsid w:val="00C91A9D"/>
    <w:rsid w:val="00C91BDE"/>
    <w:rsid w:val="00C91CA8"/>
    <w:rsid w:val="00C91D8B"/>
    <w:rsid w:val="00C91E35"/>
    <w:rsid w:val="00C91F4B"/>
    <w:rsid w:val="00C92067"/>
    <w:rsid w:val="00C921B0"/>
    <w:rsid w:val="00C92230"/>
    <w:rsid w:val="00C92348"/>
    <w:rsid w:val="00C92359"/>
    <w:rsid w:val="00C92438"/>
    <w:rsid w:val="00C924A3"/>
    <w:rsid w:val="00C9252D"/>
    <w:rsid w:val="00C9270D"/>
    <w:rsid w:val="00C9285B"/>
    <w:rsid w:val="00C929CA"/>
    <w:rsid w:val="00C92B49"/>
    <w:rsid w:val="00C92B89"/>
    <w:rsid w:val="00C92BAF"/>
    <w:rsid w:val="00C92CD0"/>
    <w:rsid w:val="00C92CE4"/>
    <w:rsid w:val="00C92EDC"/>
    <w:rsid w:val="00C93172"/>
    <w:rsid w:val="00C932D9"/>
    <w:rsid w:val="00C9369D"/>
    <w:rsid w:val="00C939FC"/>
    <w:rsid w:val="00C93A1C"/>
    <w:rsid w:val="00C93A27"/>
    <w:rsid w:val="00C93BD8"/>
    <w:rsid w:val="00C93C94"/>
    <w:rsid w:val="00C94018"/>
    <w:rsid w:val="00C944BA"/>
    <w:rsid w:val="00C947B5"/>
    <w:rsid w:val="00C94809"/>
    <w:rsid w:val="00C94A42"/>
    <w:rsid w:val="00C94A72"/>
    <w:rsid w:val="00C94A9F"/>
    <w:rsid w:val="00C94AEC"/>
    <w:rsid w:val="00C94EAD"/>
    <w:rsid w:val="00C95038"/>
    <w:rsid w:val="00C951FD"/>
    <w:rsid w:val="00C9538C"/>
    <w:rsid w:val="00C9570B"/>
    <w:rsid w:val="00C95792"/>
    <w:rsid w:val="00C95B60"/>
    <w:rsid w:val="00C95BC1"/>
    <w:rsid w:val="00C95C01"/>
    <w:rsid w:val="00C95E5A"/>
    <w:rsid w:val="00C95EA9"/>
    <w:rsid w:val="00C95F06"/>
    <w:rsid w:val="00C95F17"/>
    <w:rsid w:val="00C95F6C"/>
    <w:rsid w:val="00C95FB0"/>
    <w:rsid w:val="00C95FC5"/>
    <w:rsid w:val="00C95FD1"/>
    <w:rsid w:val="00C960A4"/>
    <w:rsid w:val="00C964D6"/>
    <w:rsid w:val="00C9656B"/>
    <w:rsid w:val="00C96589"/>
    <w:rsid w:val="00C96619"/>
    <w:rsid w:val="00C967C9"/>
    <w:rsid w:val="00C9692F"/>
    <w:rsid w:val="00C96C2B"/>
    <w:rsid w:val="00C96FED"/>
    <w:rsid w:val="00C9728D"/>
    <w:rsid w:val="00C9738B"/>
    <w:rsid w:val="00C973F7"/>
    <w:rsid w:val="00C9787B"/>
    <w:rsid w:val="00C97948"/>
    <w:rsid w:val="00C97B96"/>
    <w:rsid w:val="00CA0008"/>
    <w:rsid w:val="00CA01B6"/>
    <w:rsid w:val="00CA08BF"/>
    <w:rsid w:val="00CA0904"/>
    <w:rsid w:val="00CA09D4"/>
    <w:rsid w:val="00CA0B6A"/>
    <w:rsid w:val="00CA0C28"/>
    <w:rsid w:val="00CA0EC5"/>
    <w:rsid w:val="00CA0F02"/>
    <w:rsid w:val="00CA135B"/>
    <w:rsid w:val="00CA1725"/>
    <w:rsid w:val="00CA1877"/>
    <w:rsid w:val="00CA1914"/>
    <w:rsid w:val="00CA1983"/>
    <w:rsid w:val="00CA1A42"/>
    <w:rsid w:val="00CA1A86"/>
    <w:rsid w:val="00CA1A8E"/>
    <w:rsid w:val="00CA1EDF"/>
    <w:rsid w:val="00CA1F76"/>
    <w:rsid w:val="00CA20DE"/>
    <w:rsid w:val="00CA21E9"/>
    <w:rsid w:val="00CA23FA"/>
    <w:rsid w:val="00CA24DF"/>
    <w:rsid w:val="00CA2631"/>
    <w:rsid w:val="00CA26C3"/>
    <w:rsid w:val="00CA2725"/>
    <w:rsid w:val="00CA2AB9"/>
    <w:rsid w:val="00CA2ADE"/>
    <w:rsid w:val="00CA2B6F"/>
    <w:rsid w:val="00CA2CCC"/>
    <w:rsid w:val="00CA2D4D"/>
    <w:rsid w:val="00CA2E84"/>
    <w:rsid w:val="00CA3673"/>
    <w:rsid w:val="00CA3789"/>
    <w:rsid w:val="00CA381D"/>
    <w:rsid w:val="00CA38AC"/>
    <w:rsid w:val="00CA3AFF"/>
    <w:rsid w:val="00CA3C16"/>
    <w:rsid w:val="00CA3C74"/>
    <w:rsid w:val="00CA3FA8"/>
    <w:rsid w:val="00CA3FBE"/>
    <w:rsid w:val="00CA4016"/>
    <w:rsid w:val="00CA41DA"/>
    <w:rsid w:val="00CA4302"/>
    <w:rsid w:val="00CA438F"/>
    <w:rsid w:val="00CA449F"/>
    <w:rsid w:val="00CA45AA"/>
    <w:rsid w:val="00CA49EF"/>
    <w:rsid w:val="00CA4C12"/>
    <w:rsid w:val="00CA4E1D"/>
    <w:rsid w:val="00CA4EE5"/>
    <w:rsid w:val="00CA530D"/>
    <w:rsid w:val="00CA5312"/>
    <w:rsid w:val="00CA5777"/>
    <w:rsid w:val="00CA59FF"/>
    <w:rsid w:val="00CA5A6A"/>
    <w:rsid w:val="00CA6051"/>
    <w:rsid w:val="00CA60F7"/>
    <w:rsid w:val="00CA6194"/>
    <w:rsid w:val="00CA61C4"/>
    <w:rsid w:val="00CA62EB"/>
    <w:rsid w:val="00CA6673"/>
    <w:rsid w:val="00CA66F9"/>
    <w:rsid w:val="00CA6936"/>
    <w:rsid w:val="00CA6CA6"/>
    <w:rsid w:val="00CA6D86"/>
    <w:rsid w:val="00CA6E97"/>
    <w:rsid w:val="00CA6F0C"/>
    <w:rsid w:val="00CA6F59"/>
    <w:rsid w:val="00CA706E"/>
    <w:rsid w:val="00CA7183"/>
    <w:rsid w:val="00CA7337"/>
    <w:rsid w:val="00CA7475"/>
    <w:rsid w:val="00CA74B9"/>
    <w:rsid w:val="00CA7627"/>
    <w:rsid w:val="00CA7933"/>
    <w:rsid w:val="00CA7937"/>
    <w:rsid w:val="00CA7BAF"/>
    <w:rsid w:val="00CA7BF0"/>
    <w:rsid w:val="00CA7C39"/>
    <w:rsid w:val="00CA7DB5"/>
    <w:rsid w:val="00CB0028"/>
    <w:rsid w:val="00CB00B2"/>
    <w:rsid w:val="00CB00E3"/>
    <w:rsid w:val="00CB02B6"/>
    <w:rsid w:val="00CB02F1"/>
    <w:rsid w:val="00CB0357"/>
    <w:rsid w:val="00CB04FE"/>
    <w:rsid w:val="00CB0858"/>
    <w:rsid w:val="00CB0943"/>
    <w:rsid w:val="00CB0A24"/>
    <w:rsid w:val="00CB0B2E"/>
    <w:rsid w:val="00CB0E5C"/>
    <w:rsid w:val="00CB10BE"/>
    <w:rsid w:val="00CB124E"/>
    <w:rsid w:val="00CB129D"/>
    <w:rsid w:val="00CB12E7"/>
    <w:rsid w:val="00CB156F"/>
    <w:rsid w:val="00CB15E2"/>
    <w:rsid w:val="00CB168E"/>
    <w:rsid w:val="00CB1738"/>
    <w:rsid w:val="00CB1744"/>
    <w:rsid w:val="00CB198A"/>
    <w:rsid w:val="00CB1B1F"/>
    <w:rsid w:val="00CB1BF7"/>
    <w:rsid w:val="00CB1C8F"/>
    <w:rsid w:val="00CB1CD6"/>
    <w:rsid w:val="00CB22DA"/>
    <w:rsid w:val="00CB2329"/>
    <w:rsid w:val="00CB2677"/>
    <w:rsid w:val="00CB2812"/>
    <w:rsid w:val="00CB291C"/>
    <w:rsid w:val="00CB2AC7"/>
    <w:rsid w:val="00CB2C3B"/>
    <w:rsid w:val="00CB2CF2"/>
    <w:rsid w:val="00CB2E8F"/>
    <w:rsid w:val="00CB2EF7"/>
    <w:rsid w:val="00CB2F8A"/>
    <w:rsid w:val="00CB30DB"/>
    <w:rsid w:val="00CB32FF"/>
    <w:rsid w:val="00CB3536"/>
    <w:rsid w:val="00CB3638"/>
    <w:rsid w:val="00CB3782"/>
    <w:rsid w:val="00CB38F7"/>
    <w:rsid w:val="00CB3927"/>
    <w:rsid w:val="00CB39B6"/>
    <w:rsid w:val="00CB39B8"/>
    <w:rsid w:val="00CB3ACE"/>
    <w:rsid w:val="00CB3B3E"/>
    <w:rsid w:val="00CB3DD4"/>
    <w:rsid w:val="00CB4005"/>
    <w:rsid w:val="00CB42F3"/>
    <w:rsid w:val="00CB460B"/>
    <w:rsid w:val="00CB461D"/>
    <w:rsid w:val="00CB46ED"/>
    <w:rsid w:val="00CB4A0A"/>
    <w:rsid w:val="00CB4F95"/>
    <w:rsid w:val="00CB576C"/>
    <w:rsid w:val="00CB57B4"/>
    <w:rsid w:val="00CB5835"/>
    <w:rsid w:val="00CB5909"/>
    <w:rsid w:val="00CB5A1F"/>
    <w:rsid w:val="00CB5D9E"/>
    <w:rsid w:val="00CB5F61"/>
    <w:rsid w:val="00CB5F8D"/>
    <w:rsid w:val="00CB5FD0"/>
    <w:rsid w:val="00CB60F9"/>
    <w:rsid w:val="00CB6150"/>
    <w:rsid w:val="00CB639D"/>
    <w:rsid w:val="00CB6435"/>
    <w:rsid w:val="00CB6437"/>
    <w:rsid w:val="00CB64F2"/>
    <w:rsid w:val="00CB673B"/>
    <w:rsid w:val="00CB683E"/>
    <w:rsid w:val="00CB69E4"/>
    <w:rsid w:val="00CB6AFA"/>
    <w:rsid w:val="00CB6C8E"/>
    <w:rsid w:val="00CB6E13"/>
    <w:rsid w:val="00CB6EAC"/>
    <w:rsid w:val="00CB6F1A"/>
    <w:rsid w:val="00CB6FE6"/>
    <w:rsid w:val="00CB76CF"/>
    <w:rsid w:val="00CB7A8A"/>
    <w:rsid w:val="00CB7D06"/>
    <w:rsid w:val="00CB7E96"/>
    <w:rsid w:val="00CB7F91"/>
    <w:rsid w:val="00CC001D"/>
    <w:rsid w:val="00CC004A"/>
    <w:rsid w:val="00CC0324"/>
    <w:rsid w:val="00CC03E3"/>
    <w:rsid w:val="00CC0408"/>
    <w:rsid w:val="00CC04DE"/>
    <w:rsid w:val="00CC0502"/>
    <w:rsid w:val="00CC078F"/>
    <w:rsid w:val="00CC07CF"/>
    <w:rsid w:val="00CC07F9"/>
    <w:rsid w:val="00CC0850"/>
    <w:rsid w:val="00CC0999"/>
    <w:rsid w:val="00CC0ECB"/>
    <w:rsid w:val="00CC0F12"/>
    <w:rsid w:val="00CC0F63"/>
    <w:rsid w:val="00CC106E"/>
    <w:rsid w:val="00CC1452"/>
    <w:rsid w:val="00CC158D"/>
    <w:rsid w:val="00CC15C1"/>
    <w:rsid w:val="00CC1877"/>
    <w:rsid w:val="00CC189B"/>
    <w:rsid w:val="00CC1C63"/>
    <w:rsid w:val="00CC1EB4"/>
    <w:rsid w:val="00CC2120"/>
    <w:rsid w:val="00CC241A"/>
    <w:rsid w:val="00CC2533"/>
    <w:rsid w:val="00CC296E"/>
    <w:rsid w:val="00CC2BB6"/>
    <w:rsid w:val="00CC2CB5"/>
    <w:rsid w:val="00CC2D17"/>
    <w:rsid w:val="00CC2D3A"/>
    <w:rsid w:val="00CC2F88"/>
    <w:rsid w:val="00CC313D"/>
    <w:rsid w:val="00CC3206"/>
    <w:rsid w:val="00CC33F5"/>
    <w:rsid w:val="00CC3402"/>
    <w:rsid w:val="00CC3515"/>
    <w:rsid w:val="00CC353F"/>
    <w:rsid w:val="00CC362C"/>
    <w:rsid w:val="00CC3911"/>
    <w:rsid w:val="00CC3ABB"/>
    <w:rsid w:val="00CC3B2A"/>
    <w:rsid w:val="00CC3B4C"/>
    <w:rsid w:val="00CC3C26"/>
    <w:rsid w:val="00CC3D67"/>
    <w:rsid w:val="00CC3F0D"/>
    <w:rsid w:val="00CC40F1"/>
    <w:rsid w:val="00CC4247"/>
    <w:rsid w:val="00CC4761"/>
    <w:rsid w:val="00CC483C"/>
    <w:rsid w:val="00CC4B5B"/>
    <w:rsid w:val="00CC4CD0"/>
    <w:rsid w:val="00CC4F90"/>
    <w:rsid w:val="00CC5012"/>
    <w:rsid w:val="00CC50FA"/>
    <w:rsid w:val="00CC560E"/>
    <w:rsid w:val="00CC5822"/>
    <w:rsid w:val="00CC58C4"/>
    <w:rsid w:val="00CC5A05"/>
    <w:rsid w:val="00CC5AA0"/>
    <w:rsid w:val="00CC5AF9"/>
    <w:rsid w:val="00CC5D51"/>
    <w:rsid w:val="00CC5D6A"/>
    <w:rsid w:val="00CC5FD4"/>
    <w:rsid w:val="00CC610D"/>
    <w:rsid w:val="00CC628A"/>
    <w:rsid w:val="00CC64A4"/>
    <w:rsid w:val="00CC6537"/>
    <w:rsid w:val="00CC65A1"/>
    <w:rsid w:val="00CC67C2"/>
    <w:rsid w:val="00CC6A90"/>
    <w:rsid w:val="00CC6B1B"/>
    <w:rsid w:val="00CC6C7E"/>
    <w:rsid w:val="00CC6C9F"/>
    <w:rsid w:val="00CC6DA6"/>
    <w:rsid w:val="00CC6E7F"/>
    <w:rsid w:val="00CC6EA8"/>
    <w:rsid w:val="00CC6ED5"/>
    <w:rsid w:val="00CC70E2"/>
    <w:rsid w:val="00CC7667"/>
    <w:rsid w:val="00CC7980"/>
    <w:rsid w:val="00CC7A1D"/>
    <w:rsid w:val="00CC7A46"/>
    <w:rsid w:val="00CC7ABB"/>
    <w:rsid w:val="00CC7CCA"/>
    <w:rsid w:val="00CC7CCF"/>
    <w:rsid w:val="00CC7D2D"/>
    <w:rsid w:val="00CC7D3C"/>
    <w:rsid w:val="00CD00EC"/>
    <w:rsid w:val="00CD0110"/>
    <w:rsid w:val="00CD035D"/>
    <w:rsid w:val="00CD038C"/>
    <w:rsid w:val="00CD0398"/>
    <w:rsid w:val="00CD0939"/>
    <w:rsid w:val="00CD097A"/>
    <w:rsid w:val="00CD0AAE"/>
    <w:rsid w:val="00CD0B4B"/>
    <w:rsid w:val="00CD0E35"/>
    <w:rsid w:val="00CD0E70"/>
    <w:rsid w:val="00CD0E89"/>
    <w:rsid w:val="00CD0EB3"/>
    <w:rsid w:val="00CD0F7B"/>
    <w:rsid w:val="00CD105E"/>
    <w:rsid w:val="00CD10B2"/>
    <w:rsid w:val="00CD11E4"/>
    <w:rsid w:val="00CD12E5"/>
    <w:rsid w:val="00CD13EA"/>
    <w:rsid w:val="00CD1695"/>
    <w:rsid w:val="00CD16AB"/>
    <w:rsid w:val="00CD1911"/>
    <w:rsid w:val="00CD1AC8"/>
    <w:rsid w:val="00CD1AD8"/>
    <w:rsid w:val="00CD1B0F"/>
    <w:rsid w:val="00CD1E71"/>
    <w:rsid w:val="00CD1FA4"/>
    <w:rsid w:val="00CD1FD5"/>
    <w:rsid w:val="00CD23D5"/>
    <w:rsid w:val="00CD24D0"/>
    <w:rsid w:val="00CD29A2"/>
    <w:rsid w:val="00CD2F0B"/>
    <w:rsid w:val="00CD2FFE"/>
    <w:rsid w:val="00CD31DD"/>
    <w:rsid w:val="00CD31FE"/>
    <w:rsid w:val="00CD33F2"/>
    <w:rsid w:val="00CD38D8"/>
    <w:rsid w:val="00CD3914"/>
    <w:rsid w:val="00CD399B"/>
    <w:rsid w:val="00CD3A2C"/>
    <w:rsid w:val="00CD3A90"/>
    <w:rsid w:val="00CD3AF0"/>
    <w:rsid w:val="00CD3CC1"/>
    <w:rsid w:val="00CD3CE7"/>
    <w:rsid w:val="00CD3D2F"/>
    <w:rsid w:val="00CD3DF4"/>
    <w:rsid w:val="00CD3F6A"/>
    <w:rsid w:val="00CD3F90"/>
    <w:rsid w:val="00CD43B8"/>
    <w:rsid w:val="00CD44DD"/>
    <w:rsid w:val="00CD4546"/>
    <w:rsid w:val="00CD4554"/>
    <w:rsid w:val="00CD478F"/>
    <w:rsid w:val="00CD48BD"/>
    <w:rsid w:val="00CD4B32"/>
    <w:rsid w:val="00CD53AB"/>
    <w:rsid w:val="00CD5757"/>
    <w:rsid w:val="00CD57AD"/>
    <w:rsid w:val="00CD5ABF"/>
    <w:rsid w:val="00CD5BF8"/>
    <w:rsid w:val="00CD5CBC"/>
    <w:rsid w:val="00CD5D5A"/>
    <w:rsid w:val="00CD5D6A"/>
    <w:rsid w:val="00CD5DA2"/>
    <w:rsid w:val="00CD5E9A"/>
    <w:rsid w:val="00CD68DB"/>
    <w:rsid w:val="00CD6972"/>
    <w:rsid w:val="00CD6C5E"/>
    <w:rsid w:val="00CD6ED5"/>
    <w:rsid w:val="00CD704E"/>
    <w:rsid w:val="00CD7304"/>
    <w:rsid w:val="00CD7387"/>
    <w:rsid w:val="00CD738F"/>
    <w:rsid w:val="00CD759F"/>
    <w:rsid w:val="00CD775F"/>
    <w:rsid w:val="00CD7D26"/>
    <w:rsid w:val="00CD7E1A"/>
    <w:rsid w:val="00CD7E79"/>
    <w:rsid w:val="00CE01BB"/>
    <w:rsid w:val="00CE05A7"/>
    <w:rsid w:val="00CE073D"/>
    <w:rsid w:val="00CE073F"/>
    <w:rsid w:val="00CE0854"/>
    <w:rsid w:val="00CE0914"/>
    <w:rsid w:val="00CE09C8"/>
    <w:rsid w:val="00CE09DE"/>
    <w:rsid w:val="00CE0AEA"/>
    <w:rsid w:val="00CE0B2D"/>
    <w:rsid w:val="00CE0C12"/>
    <w:rsid w:val="00CE0E33"/>
    <w:rsid w:val="00CE0E6A"/>
    <w:rsid w:val="00CE0E7F"/>
    <w:rsid w:val="00CE0EEB"/>
    <w:rsid w:val="00CE14A0"/>
    <w:rsid w:val="00CE159F"/>
    <w:rsid w:val="00CE15C0"/>
    <w:rsid w:val="00CE19BB"/>
    <w:rsid w:val="00CE1A6B"/>
    <w:rsid w:val="00CE1D0F"/>
    <w:rsid w:val="00CE1DDF"/>
    <w:rsid w:val="00CE1E42"/>
    <w:rsid w:val="00CE2159"/>
    <w:rsid w:val="00CE2400"/>
    <w:rsid w:val="00CE248A"/>
    <w:rsid w:val="00CE25EA"/>
    <w:rsid w:val="00CE2622"/>
    <w:rsid w:val="00CE2720"/>
    <w:rsid w:val="00CE282B"/>
    <w:rsid w:val="00CE2A8C"/>
    <w:rsid w:val="00CE2AB4"/>
    <w:rsid w:val="00CE2AE8"/>
    <w:rsid w:val="00CE2C30"/>
    <w:rsid w:val="00CE2D68"/>
    <w:rsid w:val="00CE2FBA"/>
    <w:rsid w:val="00CE31C6"/>
    <w:rsid w:val="00CE363A"/>
    <w:rsid w:val="00CE367B"/>
    <w:rsid w:val="00CE3B21"/>
    <w:rsid w:val="00CE3C11"/>
    <w:rsid w:val="00CE3E0C"/>
    <w:rsid w:val="00CE4077"/>
    <w:rsid w:val="00CE4080"/>
    <w:rsid w:val="00CE4217"/>
    <w:rsid w:val="00CE43AA"/>
    <w:rsid w:val="00CE45E7"/>
    <w:rsid w:val="00CE482A"/>
    <w:rsid w:val="00CE484D"/>
    <w:rsid w:val="00CE4AF2"/>
    <w:rsid w:val="00CE4BC6"/>
    <w:rsid w:val="00CE5134"/>
    <w:rsid w:val="00CE5169"/>
    <w:rsid w:val="00CE519A"/>
    <w:rsid w:val="00CE5752"/>
    <w:rsid w:val="00CE58A9"/>
    <w:rsid w:val="00CE596E"/>
    <w:rsid w:val="00CE5B80"/>
    <w:rsid w:val="00CE5F7A"/>
    <w:rsid w:val="00CE6040"/>
    <w:rsid w:val="00CE63EB"/>
    <w:rsid w:val="00CE65AB"/>
    <w:rsid w:val="00CE67DA"/>
    <w:rsid w:val="00CE68A7"/>
    <w:rsid w:val="00CE6964"/>
    <w:rsid w:val="00CE6D78"/>
    <w:rsid w:val="00CE6DE0"/>
    <w:rsid w:val="00CE6E21"/>
    <w:rsid w:val="00CE6EB2"/>
    <w:rsid w:val="00CE6F6A"/>
    <w:rsid w:val="00CE7058"/>
    <w:rsid w:val="00CE71FC"/>
    <w:rsid w:val="00CE7244"/>
    <w:rsid w:val="00CE7250"/>
    <w:rsid w:val="00CE727E"/>
    <w:rsid w:val="00CE72F8"/>
    <w:rsid w:val="00CE7430"/>
    <w:rsid w:val="00CE744F"/>
    <w:rsid w:val="00CE776C"/>
    <w:rsid w:val="00CE7AEA"/>
    <w:rsid w:val="00CE7C0D"/>
    <w:rsid w:val="00CE7C64"/>
    <w:rsid w:val="00CE7D62"/>
    <w:rsid w:val="00CE7E19"/>
    <w:rsid w:val="00CE7E51"/>
    <w:rsid w:val="00CE7F37"/>
    <w:rsid w:val="00CE7FED"/>
    <w:rsid w:val="00CF0178"/>
    <w:rsid w:val="00CF026A"/>
    <w:rsid w:val="00CF02BE"/>
    <w:rsid w:val="00CF0652"/>
    <w:rsid w:val="00CF0681"/>
    <w:rsid w:val="00CF07CE"/>
    <w:rsid w:val="00CF081C"/>
    <w:rsid w:val="00CF0828"/>
    <w:rsid w:val="00CF0964"/>
    <w:rsid w:val="00CF0B29"/>
    <w:rsid w:val="00CF0C00"/>
    <w:rsid w:val="00CF0C59"/>
    <w:rsid w:val="00CF0C7F"/>
    <w:rsid w:val="00CF0C92"/>
    <w:rsid w:val="00CF0D2F"/>
    <w:rsid w:val="00CF0E1F"/>
    <w:rsid w:val="00CF1072"/>
    <w:rsid w:val="00CF1574"/>
    <w:rsid w:val="00CF1593"/>
    <w:rsid w:val="00CF169F"/>
    <w:rsid w:val="00CF17CA"/>
    <w:rsid w:val="00CF17D8"/>
    <w:rsid w:val="00CF1A66"/>
    <w:rsid w:val="00CF1AA0"/>
    <w:rsid w:val="00CF1C3F"/>
    <w:rsid w:val="00CF1DC6"/>
    <w:rsid w:val="00CF213A"/>
    <w:rsid w:val="00CF21D1"/>
    <w:rsid w:val="00CF2A60"/>
    <w:rsid w:val="00CF2C1C"/>
    <w:rsid w:val="00CF2E46"/>
    <w:rsid w:val="00CF2FC2"/>
    <w:rsid w:val="00CF2FF7"/>
    <w:rsid w:val="00CF3008"/>
    <w:rsid w:val="00CF3300"/>
    <w:rsid w:val="00CF3353"/>
    <w:rsid w:val="00CF3540"/>
    <w:rsid w:val="00CF3597"/>
    <w:rsid w:val="00CF36CF"/>
    <w:rsid w:val="00CF3702"/>
    <w:rsid w:val="00CF3968"/>
    <w:rsid w:val="00CF3988"/>
    <w:rsid w:val="00CF3B62"/>
    <w:rsid w:val="00CF3CF9"/>
    <w:rsid w:val="00CF3D4A"/>
    <w:rsid w:val="00CF3DB6"/>
    <w:rsid w:val="00CF3DFD"/>
    <w:rsid w:val="00CF3F90"/>
    <w:rsid w:val="00CF40BD"/>
    <w:rsid w:val="00CF4368"/>
    <w:rsid w:val="00CF446B"/>
    <w:rsid w:val="00CF4488"/>
    <w:rsid w:val="00CF4692"/>
    <w:rsid w:val="00CF46B2"/>
    <w:rsid w:val="00CF4808"/>
    <w:rsid w:val="00CF4B25"/>
    <w:rsid w:val="00CF4CCE"/>
    <w:rsid w:val="00CF4CE8"/>
    <w:rsid w:val="00CF4E9E"/>
    <w:rsid w:val="00CF4FF7"/>
    <w:rsid w:val="00CF510F"/>
    <w:rsid w:val="00CF52C9"/>
    <w:rsid w:val="00CF54CD"/>
    <w:rsid w:val="00CF579F"/>
    <w:rsid w:val="00CF59DB"/>
    <w:rsid w:val="00CF5D62"/>
    <w:rsid w:val="00CF5DDD"/>
    <w:rsid w:val="00CF5ED5"/>
    <w:rsid w:val="00CF60B6"/>
    <w:rsid w:val="00CF684F"/>
    <w:rsid w:val="00CF685A"/>
    <w:rsid w:val="00CF68CE"/>
    <w:rsid w:val="00CF6987"/>
    <w:rsid w:val="00CF698A"/>
    <w:rsid w:val="00CF6F3B"/>
    <w:rsid w:val="00CF7581"/>
    <w:rsid w:val="00CF76BC"/>
    <w:rsid w:val="00CF76C3"/>
    <w:rsid w:val="00CF799F"/>
    <w:rsid w:val="00CF79BF"/>
    <w:rsid w:val="00CF7C76"/>
    <w:rsid w:val="00CF7D3C"/>
    <w:rsid w:val="00CF7E26"/>
    <w:rsid w:val="00CF7F6B"/>
    <w:rsid w:val="00CF7FDC"/>
    <w:rsid w:val="00D000BA"/>
    <w:rsid w:val="00D000F5"/>
    <w:rsid w:val="00D00106"/>
    <w:rsid w:val="00D002E1"/>
    <w:rsid w:val="00D0065A"/>
    <w:rsid w:val="00D00A04"/>
    <w:rsid w:val="00D00CC5"/>
    <w:rsid w:val="00D013E0"/>
    <w:rsid w:val="00D01497"/>
    <w:rsid w:val="00D0152B"/>
    <w:rsid w:val="00D016E5"/>
    <w:rsid w:val="00D0183E"/>
    <w:rsid w:val="00D01A91"/>
    <w:rsid w:val="00D01C08"/>
    <w:rsid w:val="00D01E40"/>
    <w:rsid w:val="00D02300"/>
    <w:rsid w:val="00D02848"/>
    <w:rsid w:val="00D02850"/>
    <w:rsid w:val="00D02DB1"/>
    <w:rsid w:val="00D03293"/>
    <w:rsid w:val="00D0332B"/>
    <w:rsid w:val="00D03366"/>
    <w:rsid w:val="00D03406"/>
    <w:rsid w:val="00D0366C"/>
    <w:rsid w:val="00D03679"/>
    <w:rsid w:val="00D0376F"/>
    <w:rsid w:val="00D03C0A"/>
    <w:rsid w:val="00D03C99"/>
    <w:rsid w:val="00D03CB0"/>
    <w:rsid w:val="00D03D73"/>
    <w:rsid w:val="00D03E72"/>
    <w:rsid w:val="00D03F29"/>
    <w:rsid w:val="00D04064"/>
    <w:rsid w:val="00D040D9"/>
    <w:rsid w:val="00D04284"/>
    <w:rsid w:val="00D04289"/>
    <w:rsid w:val="00D042DC"/>
    <w:rsid w:val="00D043E0"/>
    <w:rsid w:val="00D04403"/>
    <w:rsid w:val="00D0445C"/>
    <w:rsid w:val="00D044AF"/>
    <w:rsid w:val="00D0450B"/>
    <w:rsid w:val="00D04512"/>
    <w:rsid w:val="00D045C8"/>
    <w:rsid w:val="00D04659"/>
    <w:rsid w:val="00D04699"/>
    <w:rsid w:val="00D0473D"/>
    <w:rsid w:val="00D04785"/>
    <w:rsid w:val="00D049EE"/>
    <w:rsid w:val="00D04ADA"/>
    <w:rsid w:val="00D04B45"/>
    <w:rsid w:val="00D04BB1"/>
    <w:rsid w:val="00D04E5C"/>
    <w:rsid w:val="00D04F9B"/>
    <w:rsid w:val="00D051FA"/>
    <w:rsid w:val="00D05383"/>
    <w:rsid w:val="00D05403"/>
    <w:rsid w:val="00D0568B"/>
    <w:rsid w:val="00D0574C"/>
    <w:rsid w:val="00D0575E"/>
    <w:rsid w:val="00D0599E"/>
    <w:rsid w:val="00D05A0C"/>
    <w:rsid w:val="00D05EA2"/>
    <w:rsid w:val="00D060E2"/>
    <w:rsid w:val="00D06252"/>
    <w:rsid w:val="00D0648C"/>
    <w:rsid w:val="00D064E5"/>
    <w:rsid w:val="00D0654B"/>
    <w:rsid w:val="00D0661E"/>
    <w:rsid w:val="00D06687"/>
    <w:rsid w:val="00D0668B"/>
    <w:rsid w:val="00D067BF"/>
    <w:rsid w:val="00D06ADF"/>
    <w:rsid w:val="00D06B88"/>
    <w:rsid w:val="00D06B99"/>
    <w:rsid w:val="00D06BA9"/>
    <w:rsid w:val="00D06E00"/>
    <w:rsid w:val="00D0708C"/>
    <w:rsid w:val="00D070F2"/>
    <w:rsid w:val="00D07103"/>
    <w:rsid w:val="00D076C4"/>
    <w:rsid w:val="00D07725"/>
    <w:rsid w:val="00D07B2E"/>
    <w:rsid w:val="00D07BD5"/>
    <w:rsid w:val="00D07DEA"/>
    <w:rsid w:val="00D10190"/>
    <w:rsid w:val="00D1024E"/>
    <w:rsid w:val="00D10269"/>
    <w:rsid w:val="00D10344"/>
    <w:rsid w:val="00D1040B"/>
    <w:rsid w:val="00D10464"/>
    <w:rsid w:val="00D107F1"/>
    <w:rsid w:val="00D1080D"/>
    <w:rsid w:val="00D10875"/>
    <w:rsid w:val="00D109B4"/>
    <w:rsid w:val="00D10CC1"/>
    <w:rsid w:val="00D10E89"/>
    <w:rsid w:val="00D10EE2"/>
    <w:rsid w:val="00D10F9A"/>
    <w:rsid w:val="00D115E1"/>
    <w:rsid w:val="00D11926"/>
    <w:rsid w:val="00D11ABF"/>
    <w:rsid w:val="00D11D66"/>
    <w:rsid w:val="00D11D7A"/>
    <w:rsid w:val="00D11DAF"/>
    <w:rsid w:val="00D11E76"/>
    <w:rsid w:val="00D11E88"/>
    <w:rsid w:val="00D12025"/>
    <w:rsid w:val="00D1212D"/>
    <w:rsid w:val="00D121EF"/>
    <w:rsid w:val="00D12274"/>
    <w:rsid w:val="00D122A3"/>
    <w:rsid w:val="00D12459"/>
    <w:rsid w:val="00D126F9"/>
    <w:rsid w:val="00D12771"/>
    <w:rsid w:val="00D1282E"/>
    <w:rsid w:val="00D12854"/>
    <w:rsid w:val="00D12944"/>
    <w:rsid w:val="00D12956"/>
    <w:rsid w:val="00D12A71"/>
    <w:rsid w:val="00D12A79"/>
    <w:rsid w:val="00D12BFF"/>
    <w:rsid w:val="00D12F01"/>
    <w:rsid w:val="00D13152"/>
    <w:rsid w:val="00D1321E"/>
    <w:rsid w:val="00D13917"/>
    <w:rsid w:val="00D13A42"/>
    <w:rsid w:val="00D13CEC"/>
    <w:rsid w:val="00D13D4C"/>
    <w:rsid w:val="00D13DCC"/>
    <w:rsid w:val="00D13E48"/>
    <w:rsid w:val="00D1420C"/>
    <w:rsid w:val="00D142D1"/>
    <w:rsid w:val="00D1440C"/>
    <w:rsid w:val="00D14682"/>
    <w:rsid w:val="00D146DA"/>
    <w:rsid w:val="00D146E0"/>
    <w:rsid w:val="00D147E2"/>
    <w:rsid w:val="00D1484B"/>
    <w:rsid w:val="00D148E5"/>
    <w:rsid w:val="00D149D5"/>
    <w:rsid w:val="00D14B12"/>
    <w:rsid w:val="00D14B5E"/>
    <w:rsid w:val="00D14B67"/>
    <w:rsid w:val="00D15032"/>
    <w:rsid w:val="00D15063"/>
    <w:rsid w:val="00D150C2"/>
    <w:rsid w:val="00D15390"/>
    <w:rsid w:val="00D153C1"/>
    <w:rsid w:val="00D154DB"/>
    <w:rsid w:val="00D1554A"/>
    <w:rsid w:val="00D155AD"/>
    <w:rsid w:val="00D15912"/>
    <w:rsid w:val="00D1635F"/>
    <w:rsid w:val="00D163EC"/>
    <w:rsid w:val="00D16603"/>
    <w:rsid w:val="00D166A2"/>
    <w:rsid w:val="00D16818"/>
    <w:rsid w:val="00D16894"/>
    <w:rsid w:val="00D169DE"/>
    <w:rsid w:val="00D169E8"/>
    <w:rsid w:val="00D16C40"/>
    <w:rsid w:val="00D16C92"/>
    <w:rsid w:val="00D16CDC"/>
    <w:rsid w:val="00D16D24"/>
    <w:rsid w:val="00D1716F"/>
    <w:rsid w:val="00D17666"/>
    <w:rsid w:val="00D1777B"/>
    <w:rsid w:val="00D17885"/>
    <w:rsid w:val="00D17DF2"/>
    <w:rsid w:val="00D17E75"/>
    <w:rsid w:val="00D20247"/>
    <w:rsid w:val="00D203C0"/>
    <w:rsid w:val="00D2043C"/>
    <w:rsid w:val="00D20690"/>
    <w:rsid w:val="00D207FB"/>
    <w:rsid w:val="00D20B5E"/>
    <w:rsid w:val="00D20BCE"/>
    <w:rsid w:val="00D20C61"/>
    <w:rsid w:val="00D20DC5"/>
    <w:rsid w:val="00D20DC9"/>
    <w:rsid w:val="00D21250"/>
    <w:rsid w:val="00D2137B"/>
    <w:rsid w:val="00D21514"/>
    <w:rsid w:val="00D217BC"/>
    <w:rsid w:val="00D21A5C"/>
    <w:rsid w:val="00D21CFE"/>
    <w:rsid w:val="00D220E6"/>
    <w:rsid w:val="00D222AD"/>
    <w:rsid w:val="00D2268D"/>
    <w:rsid w:val="00D228F8"/>
    <w:rsid w:val="00D22A3F"/>
    <w:rsid w:val="00D22ADA"/>
    <w:rsid w:val="00D22C1C"/>
    <w:rsid w:val="00D2304D"/>
    <w:rsid w:val="00D23674"/>
    <w:rsid w:val="00D236D7"/>
    <w:rsid w:val="00D2384C"/>
    <w:rsid w:val="00D23877"/>
    <w:rsid w:val="00D23A57"/>
    <w:rsid w:val="00D23AD6"/>
    <w:rsid w:val="00D23F98"/>
    <w:rsid w:val="00D24347"/>
    <w:rsid w:val="00D245A5"/>
    <w:rsid w:val="00D24715"/>
    <w:rsid w:val="00D24B52"/>
    <w:rsid w:val="00D24B58"/>
    <w:rsid w:val="00D250B2"/>
    <w:rsid w:val="00D25135"/>
    <w:rsid w:val="00D253D9"/>
    <w:rsid w:val="00D2553A"/>
    <w:rsid w:val="00D2575D"/>
    <w:rsid w:val="00D25935"/>
    <w:rsid w:val="00D259C1"/>
    <w:rsid w:val="00D25FC3"/>
    <w:rsid w:val="00D260BC"/>
    <w:rsid w:val="00D26174"/>
    <w:rsid w:val="00D261A1"/>
    <w:rsid w:val="00D26521"/>
    <w:rsid w:val="00D26523"/>
    <w:rsid w:val="00D2654D"/>
    <w:rsid w:val="00D2661A"/>
    <w:rsid w:val="00D26623"/>
    <w:rsid w:val="00D26773"/>
    <w:rsid w:val="00D269D3"/>
    <w:rsid w:val="00D26AB1"/>
    <w:rsid w:val="00D26BB8"/>
    <w:rsid w:val="00D26C5F"/>
    <w:rsid w:val="00D26C98"/>
    <w:rsid w:val="00D26D96"/>
    <w:rsid w:val="00D26E45"/>
    <w:rsid w:val="00D270C6"/>
    <w:rsid w:val="00D271F1"/>
    <w:rsid w:val="00D27216"/>
    <w:rsid w:val="00D27362"/>
    <w:rsid w:val="00D274B4"/>
    <w:rsid w:val="00D275CD"/>
    <w:rsid w:val="00D27BEC"/>
    <w:rsid w:val="00D27CFC"/>
    <w:rsid w:val="00D30197"/>
    <w:rsid w:val="00D301B7"/>
    <w:rsid w:val="00D302D2"/>
    <w:rsid w:val="00D3033A"/>
    <w:rsid w:val="00D307EA"/>
    <w:rsid w:val="00D30853"/>
    <w:rsid w:val="00D30B4E"/>
    <w:rsid w:val="00D30B9B"/>
    <w:rsid w:val="00D30C82"/>
    <w:rsid w:val="00D30C9A"/>
    <w:rsid w:val="00D30DAA"/>
    <w:rsid w:val="00D30FBD"/>
    <w:rsid w:val="00D310BC"/>
    <w:rsid w:val="00D31159"/>
    <w:rsid w:val="00D31B54"/>
    <w:rsid w:val="00D31B70"/>
    <w:rsid w:val="00D31C9C"/>
    <w:rsid w:val="00D31E2D"/>
    <w:rsid w:val="00D31E96"/>
    <w:rsid w:val="00D32181"/>
    <w:rsid w:val="00D3264E"/>
    <w:rsid w:val="00D326C3"/>
    <w:rsid w:val="00D326C8"/>
    <w:rsid w:val="00D32966"/>
    <w:rsid w:val="00D32A92"/>
    <w:rsid w:val="00D32CA2"/>
    <w:rsid w:val="00D32FC7"/>
    <w:rsid w:val="00D33048"/>
    <w:rsid w:val="00D33112"/>
    <w:rsid w:val="00D33639"/>
    <w:rsid w:val="00D337F5"/>
    <w:rsid w:val="00D338AC"/>
    <w:rsid w:val="00D338BF"/>
    <w:rsid w:val="00D339A8"/>
    <w:rsid w:val="00D33A27"/>
    <w:rsid w:val="00D33C88"/>
    <w:rsid w:val="00D33CA1"/>
    <w:rsid w:val="00D33D28"/>
    <w:rsid w:val="00D34092"/>
    <w:rsid w:val="00D3413C"/>
    <w:rsid w:val="00D34141"/>
    <w:rsid w:val="00D34409"/>
    <w:rsid w:val="00D34496"/>
    <w:rsid w:val="00D34679"/>
    <w:rsid w:val="00D34739"/>
    <w:rsid w:val="00D34889"/>
    <w:rsid w:val="00D34941"/>
    <w:rsid w:val="00D349EA"/>
    <w:rsid w:val="00D34B43"/>
    <w:rsid w:val="00D34C25"/>
    <w:rsid w:val="00D34C36"/>
    <w:rsid w:val="00D34FD5"/>
    <w:rsid w:val="00D35041"/>
    <w:rsid w:val="00D35056"/>
    <w:rsid w:val="00D35090"/>
    <w:rsid w:val="00D3533C"/>
    <w:rsid w:val="00D3535E"/>
    <w:rsid w:val="00D356CE"/>
    <w:rsid w:val="00D357DF"/>
    <w:rsid w:val="00D35CE8"/>
    <w:rsid w:val="00D35D2E"/>
    <w:rsid w:val="00D35D5D"/>
    <w:rsid w:val="00D35FE8"/>
    <w:rsid w:val="00D35FFD"/>
    <w:rsid w:val="00D36245"/>
    <w:rsid w:val="00D363CA"/>
    <w:rsid w:val="00D3642F"/>
    <w:rsid w:val="00D367C5"/>
    <w:rsid w:val="00D36889"/>
    <w:rsid w:val="00D36A0B"/>
    <w:rsid w:val="00D36AFD"/>
    <w:rsid w:val="00D36B7E"/>
    <w:rsid w:val="00D36CE9"/>
    <w:rsid w:val="00D36D37"/>
    <w:rsid w:val="00D36D7A"/>
    <w:rsid w:val="00D36DAF"/>
    <w:rsid w:val="00D3700C"/>
    <w:rsid w:val="00D37294"/>
    <w:rsid w:val="00D37312"/>
    <w:rsid w:val="00D373B9"/>
    <w:rsid w:val="00D374D8"/>
    <w:rsid w:val="00D378A7"/>
    <w:rsid w:val="00D37ABB"/>
    <w:rsid w:val="00D37CE1"/>
    <w:rsid w:val="00D37E97"/>
    <w:rsid w:val="00D40351"/>
    <w:rsid w:val="00D40358"/>
    <w:rsid w:val="00D40926"/>
    <w:rsid w:val="00D40CA4"/>
    <w:rsid w:val="00D40D63"/>
    <w:rsid w:val="00D40D6D"/>
    <w:rsid w:val="00D40EC3"/>
    <w:rsid w:val="00D4136C"/>
    <w:rsid w:val="00D413D6"/>
    <w:rsid w:val="00D418DF"/>
    <w:rsid w:val="00D41A50"/>
    <w:rsid w:val="00D41E21"/>
    <w:rsid w:val="00D41E6B"/>
    <w:rsid w:val="00D41FD0"/>
    <w:rsid w:val="00D42002"/>
    <w:rsid w:val="00D420BA"/>
    <w:rsid w:val="00D42192"/>
    <w:rsid w:val="00D421F6"/>
    <w:rsid w:val="00D42282"/>
    <w:rsid w:val="00D424B0"/>
    <w:rsid w:val="00D42507"/>
    <w:rsid w:val="00D4280C"/>
    <w:rsid w:val="00D429F6"/>
    <w:rsid w:val="00D42A04"/>
    <w:rsid w:val="00D42A2E"/>
    <w:rsid w:val="00D42D68"/>
    <w:rsid w:val="00D42D83"/>
    <w:rsid w:val="00D4319F"/>
    <w:rsid w:val="00D433CB"/>
    <w:rsid w:val="00D43568"/>
    <w:rsid w:val="00D435F3"/>
    <w:rsid w:val="00D436AC"/>
    <w:rsid w:val="00D43891"/>
    <w:rsid w:val="00D43F4A"/>
    <w:rsid w:val="00D442DE"/>
    <w:rsid w:val="00D442E4"/>
    <w:rsid w:val="00D442FC"/>
    <w:rsid w:val="00D444EF"/>
    <w:rsid w:val="00D449C6"/>
    <w:rsid w:val="00D449FB"/>
    <w:rsid w:val="00D44A3F"/>
    <w:rsid w:val="00D44C9A"/>
    <w:rsid w:val="00D44D31"/>
    <w:rsid w:val="00D44F92"/>
    <w:rsid w:val="00D44FD0"/>
    <w:rsid w:val="00D450FB"/>
    <w:rsid w:val="00D45399"/>
    <w:rsid w:val="00D45744"/>
    <w:rsid w:val="00D459D7"/>
    <w:rsid w:val="00D45A6E"/>
    <w:rsid w:val="00D45AD1"/>
    <w:rsid w:val="00D45DAD"/>
    <w:rsid w:val="00D45EE3"/>
    <w:rsid w:val="00D45F29"/>
    <w:rsid w:val="00D45FED"/>
    <w:rsid w:val="00D46037"/>
    <w:rsid w:val="00D46058"/>
    <w:rsid w:val="00D460A0"/>
    <w:rsid w:val="00D46207"/>
    <w:rsid w:val="00D467A4"/>
    <w:rsid w:val="00D46820"/>
    <w:rsid w:val="00D46840"/>
    <w:rsid w:val="00D46CE1"/>
    <w:rsid w:val="00D47079"/>
    <w:rsid w:val="00D473F2"/>
    <w:rsid w:val="00D47551"/>
    <w:rsid w:val="00D475E2"/>
    <w:rsid w:val="00D47F62"/>
    <w:rsid w:val="00D50293"/>
    <w:rsid w:val="00D5079D"/>
    <w:rsid w:val="00D50865"/>
    <w:rsid w:val="00D5094C"/>
    <w:rsid w:val="00D50A63"/>
    <w:rsid w:val="00D50A78"/>
    <w:rsid w:val="00D50D3F"/>
    <w:rsid w:val="00D50EF5"/>
    <w:rsid w:val="00D51062"/>
    <w:rsid w:val="00D51164"/>
    <w:rsid w:val="00D511C3"/>
    <w:rsid w:val="00D51301"/>
    <w:rsid w:val="00D513A6"/>
    <w:rsid w:val="00D515CE"/>
    <w:rsid w:val="00D517AB"/>
    <w:rsid w:val="00D517FE"/>
    <w:rsid w:val="00D51A1F"/>
    <w:rsid w:val="00D51D1D"/>
    <w:rsid w:val="00D51E03"/>
    <w:rsid w:val="00D52199"/>
    <w:rsid w:val="00D525B8"/>
    <w:rsid w:val="00D52713"/>
    <w:rsid w:val="00D528EC"/>
    <w:rsid w:val="00D5299F"/>
    <w:rsid w:val="00D52FDB"/>
    <w:rsid w:val="00D53103"/>
    <w:rsid w:val="00D5322B"/>
    <w:rsid w:val="00D53318"/>
    <w:rsid w:val="00D53455"/>
    <w:rsid w:val="00D53544"/>
    <w:rsid w:val="00D53604"/>
    <w:rsid w:val="00D536A1"/>
    <w:rsid w:val="00D5390E"/>
    <w:rsid w:val="00D53A41"/>
    <w:rsid w:val="00D53E1D"/>
    <w:rsid w:val="00D53E93"/>
    <w:rsid w:val="00D53F32"/>
    <w:rsid w:val="00D5416F"/>
    <w:rsid w:val="00D542A2"/>
    <w:rsid w:val="00D5474A"/>
    <w:rsid w:val="00D54983"/>
    <w:rsid w:val="00D54AC3"/>
    <w:rsid w:val="00D54ED0"/>
    <w:rsid w:val="00D550BC"/>
    <w:rsid w:val="00D5515A"/>
    <w:rsid w:val="00D55488"/>
    <w:rsid w:val="00D556EF"/>
    <w:rsid w:val="00D557C3"/>
    <w:rsid w:val="00D55827"/>
    <w:rsid w:val="00D55A09"/>
    <w:rsid w:val="00D55AAF"/>
    <w:rsid w:val="00D55CCD"/>
    <w:rsid w:val="00D55CE0"/>
    <w:rsid w:val="00D55CE6"/>
    <w:rsid w:val="00D55E8E"/>
    <w:rsid w:val="00D563D7"/>
    <w:rsid w:val="00D564D8"/>
    <w:rsid w:val="00D56558"/>
    <w:rsid w:val="00D56E24"/>
    <w:rsid w:val="00D56EE5"/>
    <w:rsid w:val="00D56F00"/>
    <w:rsid w:val="00D574F6"/>
    <w:rsid w:val="00D57776"/>
    <w:rsid w:val="00D57893"/>
    <w:rsid w:val="00D57988"/>
    <w:rsid w:val="00D57B1D"/>
    <w:rsid w:val="00D57C4E"/>
    <w:rsid w:val="00D57D21"/>
    <w:rsid w:val="00D57EA5"/>
    <w:rsid w:val="00D60219"/>
    <w:rsid w:val="00D6032A"/>
    <w:rsid w:val="00D6046C"/>
    <w:rsid w:val="00D60514"/>
    <w:rsid w:val="00D606F1"/>
    <w:rsid w:val="00D6087A"/>
    <w:rsid w:val="00D60C3A"/>
    <w:rsid w:val="00D60CE5"/>
    <w:rsid w:val="00D60D97"/>
    <w:rsid w:val="00D60E1C"/>
    <w:rsid w:val="00D60FDA"/>
    <w:rsid w:val="00D61163"/>
    <w:rsid w:val="00D6118B"/>
    <w:rsid w:val="00D61396"/>
    <w:rsid w:val="00D614A0"/>
    <w:rsid w:val="00D615B6"/>
    <w:rsid w:val="00D6177E"/>
    <w:rsid w:val="00D6179E"/>
    <w:rsid w:val="00D61BFB"/>
    <w:rsid w:val="00D61D03"/>
    <w:rsid w:val="00D61DC8"/>
    <w:rsid w:val="00D62160"/>
    <w:rsid w:val="00D6248A"/>
    <w:rsid w:val="00D6260A"/>
    <w:rsid w:val="00D62620"/>
    <w:rsid w:val="00D62739"/>
    <w:rsid w:val="00D62765"/>
    <w:rsid w:val="00D628A1"/>
    <w:rsid w:val="00D628DF"/>
    <w:rsid w:val="00D62EB3"/>
    <w:rsid w:val="00D62EB7"/>
    <w:rsid w:val="00D62F1F"/>
    <w:rsid w:val="00D62F9D"/>
    <w:rsid w:val="00D630FE"/>
    <w:rsid w:val="00D6312B"/>
    <w:rsid w:val="00D631A3"/>
    <w:rsid w:val="00D634D8"/>
    <w:rsid w:val="00D63520"/>
    <w:rsid w:val="00D636A8"/>
    <w:rsid w:val="00D637A0"/>
    <w:rsid w:val="00D638BC"/>
    <w:rsid w:val="00D63938"/>
    <w:rsid w:val="00D63AB7"/>
    <w:rsid w:val="00D63ACF"/>
    <w:rsid w:val="00D63AF1"/>
    <w:rsid w:val="00D63D52"/>
    <w:rsid w:val="00D63D68"/>
    <w:rsid w:val="00D63F48"/>
    <w:rsid w:val="00D63FBF"/>
    <w:rsid w:val="00D64192"/>
    <w:rsid w:val="00D645FC"/>
    <w:rsid w:val="00D64621"/>
    <w:rsid w:val="00D64677"/>
    <w:rsid w:val="00D64759"/>
    <w:rsid w:val="00D64A70"/>
    <w:rsid w:val="00D64ADF"/>
    <w:rsid w:val="00D64AE9"/>
    <w:rsid w:val="00D64BEF"/>
    <w:rsid w:val="00D64DC1"/>
    <w:rsid w:val="00D64E45"/>
    <w:rsid w:val="00D64E86"/>
    <w:rsid w:val="00D64F2B"/>
    <w:rsid w:val="00D65073"/>
    <w:rsid w:val="00D65108"/>
    <w:rsid w:val="00D652C8"/>
    <w:rsid w:val="00D653D4"/>
    <w:rsid w:val="00D653D9"/>
    <w:rsid w:val="00D65947"/>
    <w:rsid w:val="00D659EB"/>
    <w:rsid w:val="00D65C26"/>
    <w:rsid w:val="00D65C96"/>
    <w:rsid w:val="00D660EE"/>
    <w:rsid w:val="00D660FE"/>
    <w:rsid w:val="00D6629F"/>
    <w:rsid w:val="00D667AA"/>
    <w:rsid w:val="00D66959"/>
    <w:rsid w:val="00D66A0F"/>
    <w:rsid w:val="00D66B39"/>
    <w:rsid w:val="00D66BD9"/>
    <w:rsid w:val="00D66DAD"/>
    <w:rsid w:val="00D66DBC"/>
    <w:rsid w:val="00D66EBE"/>
    <w:rsid w:val="00D67024"/>
    <w:rsid w:val="00D67098"/>
    <w:rsid w:val="00D670A9"/>
    <w:rsid w:val="00D670BC"/>
    <w:rsid w:val="00D6725D"/>
    <w:rsid w:val="00D6736D"/>
    <w:rsid w:val="00D675C8"/>
    <w:rsid w:val="00D677BE"/>
    <w:rsid w:val="00D678CC"/>
    <w:rsid w:val="00D67A79"/>
    <w:rsid w:val="00D67B36"/>
    <w:rsid w:val="00D67D6D"/>
    <w:rsid w:val="00D67FDC"/>
    <w:rsid w:val="00D70145"/>
    <w:rsid w:val="00D70270"/>
    <w:rsid w:val="00D703E5"/>
    <w:rsid w:val="00D7054C"/>
    <w:rsid w:val="00D708D2"/>
    <w:rsid w:val="00D7097F"/>
    <w:rsid w:val="00D70B7C"/>
    <w:rsid w:val="00D70CA7"/>
    <w:rsid w:val="00D70F9C"/>
    <w:rsid w:val="00D70FA0"/>
    <w:rsid w:val="00D71031"/>
    <w:rsid w:val="00D715BD"/>
    <w:rsid w:val="00D71774"/>
    <w:rsid w:val="00D718BF"/>
    <w:rsid w:val="00D71B06"/>
    <w:rsid w:val="00D71C3A"/>
    <w:rsid w:val="00D71C55"/>
    <w:rsid w:val="00D71DB7"/>
    <w:rsid w:val="00D71E5D"/>
    <w:rsid w:val="00D71F08"/>
    <w:rsid w:val="00D7241E"/>
    <w:rsid w:val="00D7250A"/>
    <w:rsid w:val="00D725C5"/>
    <w:rsid w:val="00D72632"/>
    <w:rsid w:val="00D727A4"/>
    <w:rsid w:val="00D7299B"/>
    <w:rsid w:val="00D729BE"/>
    <w:rsid w:val="00D72BB2"/>
    <w:rsid w:val="00D72C64"/>
    <w:rsid w:val="00D72E88"/>
    <w:rsid w:val="00D72FAA"/>
    <w:rsid w:val="00D73246"/>
    <w:rsid w:val="00D732A4"/>
    <w:rsid w:val="00D732BA"/>
    <w:rsid w:val="00D73320"/>
    <w:rsid w:val="00D733E5"/>
    <w:rsid w:val="00D7344F"/>
    <w:rsid w:val="00D734D2"/>
    <w:rsid w:val="00D73601"/>
    <w:rsid w:val="00D73805"/>
    <w:rsid w:val="00D739D7"/>
    <w:rsid w:val="00D73BDB"/>
    <w:rsid w:val="00D73E57"/>
    <w:rsid w:val="00D73E78"/>
    <w:rsid w:val="00D740F4"/>
    <w:rsid w:val="00D740FB"/>
    <w:rsid w:val="00D7434A"/>
    <w:rsid w:val="00D74642"/>
    <w:rsid w:val="00D74696"/>
    <w:rsid w:val="00D746CA"/>
    <w:rsid w:val="00D74770"/>
    <w:rsid w:val="00D74A55"/>
    <w:rsid w:val="00D74BAA"/>
    <w:rsid w:val="00D74C75"/>
    <w:rsid w:val="00D74E01"/>
    <w:rsid w:val="00D74E13"/>
    <w:rsid w:val="00D74E34"/>
    <w:rsid w:val="00D74FCE"/>
    <w:rsid w:val="00D75011"/>
    <w:rsid w:val="00D7514F"/>
    <w:rsid w:val="00D75370"/>
    <w:rsid w:val="00D754B7"/>
    <w:rsid w:val="00D7551F"/>
    <w:rsid w:val="00D755FF"/>
    <w:rsid w:val="00D7563E"/>
    <w:rsid w:val="00D759FE"/>
    <w:rsid w:val="00D75ED5"/>
    <w:rsid w:val="00D7608F"/>
    <w:rsid w:val="00D76197"/>
    <w:rsid w:val="00D761E0"/>
    <w:rsid w:val="00D7654F"/>
    <w:rsid w:val="00D76A6F"/>
    <w:rsid w:val="00D76D88"/>
    <w:rsid w:val="00D771C4"/>
    <w:rsid w:val="00D7771B"/>
    <w:rsid w:val="00D778A3"/>
    <w:rsid w:val="00D77A24"/>
    <w:rsid w:val="00D77AD5"/>
    <w:rsid w:val="00D77BCF"/>
    <w:rsid w:val="00D77C1C"/>
    <w:rsid w:val="00D77C2E"/>
    <w:rsid w:val="00D77C71"/>
    <w:rsid w:val="00D77FEC"/>
    <w:rsid w:val="00D8021A"/>
    <w:rsid w:val="00D80292"/>
    <w:rsid w:val="00D80324"/>
    <w:rsid w:val="00D80777"/>
    <w:rsid w:val="00D80A54"/>
    <w:rsid w:val="00D80CED"/>
    <w:rsid w:val="00D80E18"/>
    <w:rsid w:val="00D810B4"/>
    <w:rsid w:val="00D81120"/>
    <w:rsid w:val="00D81321"/>
    <w:rsid w:val="00D814AF"/>
    <w:rsid w:val="00D81505"/>
    <w:rsid w:val="00D81595"/>
    <w:rsid w:val="00D81630"/>
    <w:rsid w:val="00D81750"/>
    <w:rsid w:val="00D81798"/>
    <w:rsid w:val="00D819C0"/>
    <w:rsid w:val="00D81B08"/>
    <w:rsid w:val="00D81E79"/>
    <w:rsid w:val="00D8209F"/>
    <w:rsid w:val="00D8223A"/>
    <w:rsid w:val="00D8292E"/>
    <w:rsid w:val="00D82A0A"/>
    <w:rsid w:val="00D82A11"/>
    <w:rsid w:val="00D82B4A"/>
    <w:rsid w:val="00D82D73"/>
    <w:rsid w:val="00D82FBA"/>
    <w:rsid w:val="00D83068"/>
    <w:rsid w:val="00D83144"/>
    <w:rsid w:val="00D83501"/>
    <w:rsid w:val="00D8388D"/>
    <w:rsid w:val="00D83A48"/>
    <w:rsid w:val="00D83B64"/>
    <w:rsid w:val="00D83DEE"/>
    <w:rsid w:val="00D84043"/>
    <w:rsid w:val="00D840E6"/>
    <w:rsid w:val="00D84147"/>
    <w:rsid w:val="00D845A3"/>
    <w:rsid w:val="00D847AE"/>
    <w:rsid w:val="00D849AB"/>
    <w:rsid w:val="00D84A4B"/>
    <w:rsid w:val="00D84BC0"/>
    <w:rsid w:val="00D84C72"/>
    <w:rsid w:val="00D84C9E"/>
    <w:rsid w:val="00D85197"/>
    <w:rsid w:val="00D8527F"/>
    <w:rsid w:val="00D852A3"/>
    <w:rsid w:val="00D854FB"/>
    <w:rsid w:val="00D85552"/>
    <w:rsid w:val="00D85816"/>
    <w:rsid w:val="00D858F6"/>
    <w:rsid w:val="00D85A9B"/>
    <w:rsid w:val="00D85E35"/>
    <w:rsid w:val="00D861F7"/>
    <w:rsid w:val="00D862FF"/>
    <w:rsid w:val="00D86313"/>
    <w:rsid w:val="00D864B7"/>
    <w:rsid w:val="00D8653A"/>
    <w:rsid w:val="00D86726"/>
    <w:rsid w:val="00D86B77"/>
    <w:rsid w:val="00D86C4A"/>
    <w:rsid w:val="00D86C95"/>
    <w:rsid w:val="00D86F2F"/>
    <w:rsid w:val="00D8709C"/>
    <w:rsid w:val="00D870C4"/>
    <w:rsid w:val="00D870CB"/>
    <w:rsid w:val="00D87243"/>
    <w:rsid w:val="00D87318"/>
    <w:rsid w:val="00D873DA"/>
    <w:rsid w:val="00D876B9"/>
    <w:rsid w:val="00D879EA"/>
    <w:rsid w:val="00D87ABC"/>
    <w:rsid w:val="00D87BA8"/>
    <w:rsid w:val="00D87CCB"/>
    <w:rsid w:val="00D87CD0"/>
    <w:rsid w:val="00D87D0E"/>
    <w:rsid w:val="00D87D45"/>
    <w:rsid w:val="00D87E98"/>
    <w:rsid w:val="00D87F1D"/>
    <w:rsid w:val="00D87F2E"/>
    <w:rsid w:val="00D87FEF"/>
    <w:rsid w:val="00D87FF9"/>
    <w:rsid w:val="00D9004B"/>
    <w:rsid w:val="00D901A3"/>
    <w:rsid w:val="00D9072F"/>
    <w:rsid w:val="00D90849"/>
    <w:rsid w:val="00D90993"/>
    <w:rsid w:val="00D90B5F"/>
    <w:rsid w:val="00D90BC9"/>
    <w:rsid w:val="00D91174"/>
    <w:rsid w:val="00D914E5"/>
    <w:rsid w:val="00D91514"/>
    <w:rsid w:val="00D9156F"/>
    <w:rsid w:val="00D9162F"/>
    <w:rsid w:val="00D916EE"/>
    <w:rsid w:val="00D91907"/>
    <w:rsid w:val="00D91922"/>
    <w:rsid w:val="00D9196E"/>
    <w:rsid w:val="00D91970"/>
    <w:rsid w:val="00D919C3"/>
    <w:rsid w:val="00D91B5E"/>
    <w:rsid w:val="00D91C05"/>
    <w:rsid w:val="00D91C95"/>
    <w:rsid w:val="00D922C5"/>
    <w:rsid w:val="00D92649"/>
    <w:rsid w:val="00D926A9"/>
    <w:rsid w:val="00D926B0"/>
    <w:rsid w:val="00D92773"/>
    <w:rsid w:val="00D92979"/>
    <w:rsid w:val="00D92C18"/>
    <w:rsid w:val="00D92D59"/>
    <w:rsid w:val="00D92DCD"/>
    <w:rsid w:val="00D92EC3"/>
    <w:rsid w:val="00D92F30"/>
    <w:rsid w:val="00D92F6A"/>
    <w:rsid w:val="00D933BD"/>
    <w:rsid w:val="00D933FF"/>
    <w:rsid w:val="00D934EC"/>
    <w:rsid w:val="00D93743"/>
    <w:rsid w:val="00D93827"/>
    <w:rsid w:val="00D93A12"/>
    <w:rsid w:val="00D93A15"/>
    <w:rsid w:val="00D93A86"/>
    <w:rsid w:val="00D93BE1"/>
    <w:rsid w:val="00D93D74"/>
    <w:rsid w:val="00D93E64"/>
    <w:rsid w:val="00D93FEA"/>
    <w:rsid w:val="00D94154"/>
    <w:rsid w:val="00D94506"/>
    <w:rsid w:val="00D9459D"/>
    <w:rsid w:val="00D946C6"/>
    <w:rsid w:val="00D94778"/>
    <w:rsid w:val="00D94AC9"/>
    <w:rsid w:val="00D94BF8"/>
    <w:rsid w:val="00D94F0D"/>
    <w:rsid w:val="00D94F1B"/>
    <w:rsid w:val="00D9517A"/>
    <w:rsid w:val="00D9520E"/>
    <w:rsid w:val="00D95428"/>
    <w:rsid w:val="00D955A2"/>
    <w:rsid w:val="00D95728"/>
    <w:rsid w:val="00D957C3"/>
    <w:rsid w:val="00D959D4"/>
    <w:rsid w:val="00D95D82"/>
    <w:rsid w:val="00D95F1C"/>
    <w:rsid w:val="00D95F2B"/>
    <w:rsid w:val="00D95FA3"/>
    <w:rsid w:val="00D9606F"/>
    <w:rsid w:val="00D96249"/>
    <w:rsid w:val="00D96404"/>
    <w:rsid w:val="00D96501"/>
    <w:rsid w:val="00D965A4"/>
    <w:rsid w:val="00D965BB"/>
    <w:rsid w:val="00D96AD8"/>
    <w:rsid w:val="00D96C17"/>
    <w:rsid w:val="00D96D12"/>
    <w:rsid w:val="00D96E03"/>
    <w:rsid w:val="00D96E65"/>
    <w:rsid w:val="00D970A9"/>
    <w:rsid w:val="00D97305"/>
    <w:rsid w:val="00D97399"/>
    <w:rsid w:val="00D97542"/>
    <w:rsid w:val="00D97568"/>
    <w:rsid w:val="00D97616"/>
    <w:rsid w:val="00D97880"/>
    <w:rsid w:val="00D978C0"/>
    <w:rsid w:val="00D979F5"/>
    <w:rsid w:val="00D97A2C"/>
    <w:rsid w:val="00D97F13"/>
    <w:rsid w:val="00D97FD9"/>
    <w:rsid w:val="00DA00A2"/>
    <w:rsid w:val="00DA0386"/>
    <w:rsid w:val="00DA03BF"/>
    <w:rsid w:val="00DA05CE"/>
    <w:rsid w:val="00DA08A8"/>
    <w:rsid w:val="00DA09B6"/>
    <w:rsid w:val="00DA09F9"/>
    <w:rsid w:val="00DA0ACF"/>
    <w:rsid w:val="00DA0AFD"/>
    <w:rsid w:val="00DA0B25"/>
    <w:rsid w:val="00DA0B82"/>
    <w:rsid w:val="00DA0CCE"/>
    <w:rsid w:val="00DA0E92"/>
    <w:rsid w:val="00DA11D7"/>
    <w:rsid w:val="00DA12A9"/>
    <w:rsid w:val="00DA1352"/>
    <w:rsid w:val="00DA1458"/>
    <w:rsid w:val="00DA153F"/>
    <w:rsid w:val="00DA172B"/>
    <w:rsid w:val="00DA1841"/>
    <w:rsid w:val="00DA18FC"/>
    <w:rsid w:val="00DA1A72"/>
    <w:rsid w:val="00DA1A92"/>
    <w:rsid w:val="00DA1DC2"/>
    <w:rsid w:val="00DA1E53"/>
    <w:rsid w:val="00DA1F3B"/>
    <w:rsid w:val="00DA1F3D"/>
    <w:rsid w:val="00DA1F60"/>
    <w:rsid w:val="00DA2373"/>
    <w:rsid w:val="00DA2476"/>
    <w:rsid w:val="00DA269E"/>
    <w:rsid w:val="00DA29EF"/>
    <w:rsid w:val="00DA2A21"/>
    <w:rsid w:val="00DA2B05"/>
    <w:rsid w:val="00DA2B0F"/>
    <w:rsid w:val="00DA2EAB"/>
    <w:rsid w:val="00DA31CD"/>
    <w:rsid w:val="00DA31D6"/>
    <w:rsid w:val="00DA327B"/>
    <w:rsid w:val="00DA3331"/>
    <w:rsid w:val="00DA352F"/>
    <w:rsid w:val="00DA35B3"/>
    <w:rsid w:val="00DA382F"/>
    <w:rsid w:val="00DA387B"/>
    <w:rsid w:val="00DA389F"/>
    <w:rsid w:val="00DA3ADE"/>
    <w:rsid w:val="00DA3E41"/>
    <w:rsid w:val="00DA400C"/>
    <w:rsid w:val="00DA409B"/>
    <w:rsid w:val="00DA427A"/>
    <w:rsid w:val="00DA4577"/>
    <w:rsid w:val="00DA45D9"/>
    <w:rsid w:val="00DA46FA"/>
    <w:rsid w:val="00DA4750"/>
    <w:rsid w:val="00DA4811"/>
    <w:rsid w:val="00DA487A"/>
    <w:rsid w:val="00DA4CDA"/>
    <w:rsid w:val="00DA4CDF"/>
    <w:rsid w:val="00DA4D9B"/>
    <w:rsid w:val="00DA5004"/>
    <w:rsid w:val="00DA508D"/>
    <w:rsid w:val="00DA5098"/>
    <w:rsid w:val="00DA52E1"/>
    <w:rsid w:val="00DA53BE"/>
    <w:rsid w:val="00DA542C"/>
    <w:rsid w:val="00DA550F"/>
    <w:rsid w:val="00DA55B8"/>
    <w:rsid w:val="00DA561F"/>
    <w:rsid w:val="00DA599D"/>
    <w:rsid w:val="00DA5B81"/>
    <w:rsid w:val="00DA5BD2"/>
    <w:rsid w:val="00DA5DAB"/>
    <w:rsid w:val="00DA5E13"/>
    <w:rsid w:val="00DA5EFD"/>
    <w:rsid w:val="00DA5F5E"/>
    <w:rsid w:val="00DA5FD8"/>
    <w:rsid w:val="00DA62BF"/>
    <w:rsid w:val="00DA63BA"/>
    <w:rsid w:val="00DA6580"/>
    <w:rsid w:val="00DA6677"/>
    <w:rsid w:val="00DA68E1"/>
    <w:rsid w:val="00DA68EE"/>
    <w:rsid w:val="00DA69AC"/>
    <w:rsid w:val="00DA6B79"/>
    <w:rsid w:val="00DA6D4B"/>
    <w:rsid w:val="00DA6F3F"/>
    <w:rsid w:val="00DA6FFF"/>
    <w:rsid w:val="00DA70DD"/>
    <w:rsid w:val="00DA718F"/>
    <w:rsid w:val="00DA77AA"/>
    <w:rsid w:val="00DA7CA3"/>
    <w:rsid w:val="00DA7E3A"/>
    <w:rsid w:val="00DB037B"/>
    <w:rsid w:val="00DB03D8"/>
    <w:rsid w:val="00DB05D0"/>
    <w:rsid w:val="00DB060F"/>
    <w:rsid w:val="00DB06B1"/>
    <w:rsid w:val="00DB06CA"/>
    <w:rsid w:val="00DB07C1"/>
    <w:rsid w:val="00DB08EA"/>
    <w:rsid w:val="00DB0DE0"/>
    <w:rsid w:val="00DB1004"/>
    <w:rsid w:val="00DB123F"/>
    <w:rsid w:val="00DB126F"/>
    <w:rsid w:val="00DB1354"/>
    <w:rsid w:val="00DB149A"/>
    <w:rsid w:val="00DB168F"/>
    <w:rsid w:val="00DB1C5D"/>
    <w:rsid w:val="00DB1E0E"/>
    <w:rsid w:val="00DB1EBF"/>
    <w:rsid w:val="00DB24AA"/>
    <w:rsid w:val="00DB24F3"/>
    <w:rsid w:val="00DB25B6"/>
    <w:rsid w:val="00DB26EF"/>
    <w:rsid w:val="00DB2810"/>
    <w:rsid w:val="00DB28AC"/>
    <w:rsid w:val="00DB2949"/>
    <w:rsid w:val="00DB2AFB"/>
    <w:rsid w:val="00DB2C35"/>
    <w:rsid w:val="00DB2CD5"/>
    <w:rsid w:val="00DB2EE4"/>
    <w:rsid w:val="00DB31D7"/>
    <w:rsid w:val="00DB33C0"/>
    <w:rsid w:val="00DB3868"/>
    <w:rsid w:val="00DB3A82"/>
    <w:rsid w:val="00DB3C75"/>
    <w:rsid w:val="00DB3D12"/>
    <w:rsid w:val="00DB3F59"/>
    <w:rsid w:val="00DB4065"/>
    <w:rsid w:val="00DB4076"/>
    <w:rsid w:val="00DB41A8"/>
    <w:rsid w:val="00DB432E"/>
    <w:rsid w:val="00DB4484"/>
    <w:rsid w:val="00DB470D"/>
    <w:rsid w:val="00DB4740"/>
    <w:rsid w:val="00DB491E"/>
    <w:rsid w:val="00DB5119"/>
    <w:rsid w:val="00DB54C2"/>
    <w:rsid w:val="00DB55C7"/>
    <w:rsid w:val="00DB55C8"/>
    <w:rsid w:val="00DB5831"/>
    <w:rsid w:val="00DB5949"/>
    <w:rsid w:val="00DB5A15"/>
    <w:rsid w:val="00DB5B3C"/>
    <w:rsid w:val="00DB5CE1"/>
    <w:rsid w:val="00DB5CEC"/>
    <w:rsid w:val="00DB5D59"/>
    <w:rsid w:val="00DB5DB5"/>
    <w:rsid w:val="00DB5E35"/>
    <w:rsid w:val="00DB5E46"/>
    <w:rsid w:val="00DB5E8D"/>
    <w:rsid w:val="00DB6056"/>
    <w:rsid w:val="00DB623E"/>
    <w:rsid w:val="00DB6361"/>
    <w:rsid w:val="00DB63C6"/>
    <w:rsid w:val="00DB652C"/>
    <w:rsid w:val="00DB6784"/>
    <w:rsid w:val="00DB67CB"/>
    <w:rsid w:val="00DB6939"/>
    <w:rsid w:val="00DB6968"/>
    <w:rsid w:val="00DB6DC8"/>
    <w:rsid w:val="00DB6FD9"/>
    <w:rsid w:val="00DB71A4"/>
    <w:rsid w:val="00DB7230"/>
    <w:rsid w:val="00DB73E2"/>
    <w:rsid w:val="00DB7EAB"/>
    <w:rsid w:val="00DC0096"/>
    <w:rsid w:val="00DC00E2"/>
    <w:rsid w:val="00DC0131"/>
    <w:rsid w:val="00DC0315"/>
    <w:rsid w:val="00DC03B6"/>
    <w:rsid w:val="00DC04D7"/>
    <w:rsid w:val="00DC063F"/>
    <w:rsid w:val="00DC066E"/>
    <w:rsid w:val="00DC08E8"/>
    <w:rsid w:val="00DC0A16"/>
    <w:rsid w:val="00DC0A9C"/>
    <w:rsid w:val="00DC0CD6"/>
    <w:rsid w:val="00DC0D70"/>
    <w:rsid w:val="00DC0E86"/>
    <w:rsid w:val="00DC0FB3"/>
    <w:rsid w:val="00DC1019"/>
    <w:rsid w:val="00DC11D8"/>
    <w:rsid w:val="00DC11E3"/>
    <w:rsid w:val="00DC1220"/>
    <w:rsid w:val="00DC1456"/>
    <w:rsid w:val="00DC14FD"/>
    <w:rsid w:val="00DC18F8"/>
    <w:rsid w:val="00DC1920"/>
    <w:rsid w:val="00DC1B84"/>
    <w:rsid w:val="00DC1D26"/>
    <w:rsid w:val="00DC1FA2"/>
    <w:rsid w:val="00DC2277"/>
    <w:rsid w:val="00DC2450"/>
    <w:rsid w:val="00DC27B2"/>
    <w:rsid w:val="00DC281A"/>
    <w:rsid w:val="00DC2849"/>
    <w:rsid w:val="00DC2984"/>
    <w:rsid w:val="00DC29A3"/>
    <w:rsid w:val="00DC2A0E"/>
    <w:rsid w:val="00DC2A2B"/>
    <w:rsid w:val="00DC2B8D"/>
    <w:rsid w:val="00DC2FFB"/>
    <w:rsid w:val="00DC301A"/>
    <w:rsid w:val="00DC32D0"/>
    <w:rsid w:val="00DC357B"/>
    <w:rsid w:val="00DC3602"/>
    <w:rsid w:val="00DC3841"/>
    <w:rsid w:val="00DC391A"/>
    <w:rsid w:val="00DC3A8C"/>
    <w:rsid w:val="00DC3CC9"/>
    <w:rsid w:val="00DC3CF2"/>
    <w:rsid w:val="00DC3FC4"/>
    <w:rsid w:val="00DC4168"/>
    <w:rsid w:val="00DC43E1"/>
    <w:rsid w:val="00DC4657"/>
    <w:rsid w:val="00DC46C2"/>
    <w:rsid w:val="00DC4842"/>
    <w:rsid w:val="00DC49DA"/>
    <w:rsid w:val="00DC49E4"/>
    <w:rsid w:val="00DC4A1C"/>
    <w:rsid w:val="00DC4A44"/>
    <w:rsid w:val="00DC4B8B"/>
    <w:rsid w:val="00DC4C6D"/>
    <w:rsid w:val="00DC4CCF"/>
    <w:rsid w:val="00DC4F0B"/>
    <w:rsid w:val="00DC51FE"/>
    <w:rsid w:val="00DC527A"/>
    <w:rsid w:val="00DC5428"/>
    <w:rsid w:val="00DC5469"/>
    <w:rsid w:val="00DC54E2"/>
    <w:rsid w:val="00DC5AAC"/>
    <w:rsid w:val="00DC5BDC"/>
    <w:rsid w:val="00DC5C8F"/>
    <w:rsid w:val="00DC5D59"/>
    <w:rsid w:val="00DC6121"/>
    <w:rsid w:val="00DC61CF"/>
    <w:rsid w:val="00DC62A0"/>
    <w:rsid w:val="00DC6439"/>
    <w:rsid w:val="00DC677C"/>
    <w:rsid w:val="00DC6850"/>
    <w:rsid w:val="00DC68A8"/>
    <w:rsid w:val="00DC6BC8"/>
    <w:rsid w:val="00DC6C42"/>
    <w:rsid w:val="00DC6EEC"/>
    <w:rsid w:val="00DC6FE1"/>
    <w:rsid w:val="00DC73D8"/>
    <w:rsid w:val="00DC7737"/>
    <w:rsid w:val="00DC788A"/>
    <w:rsid w:val="00DC78D9"/>
    <w:rsid w:val="00DC7B43"/>
    <w:rsid w:val="00DC7C7E"/>
    <w:rsid w:val="00DC7EF4"/>
    <w:rsid w:val="00DD033B"/>
    <w:rsid w:val="00DD04DE"/>
    <w:rsid w:val="00DD052E"/>
    <w:rsid w:val="00DD0641"/>
    <w:rsid w:val="00DD06C0"/>
    <w:rsid w:val="00DD0BB4"/>
    <w:rsid w:val="00DD0D75"/>
    <w:rsid w:val="00DD0DDF"/>
    <w:rsid w:val="00DD0DF6"/>
    <w:rsid w:val="00DD0EB6"/>
    <w:rsid w:val="00DD0F48"/>
    <w:rsid w:val="00DD10B2"/>
    <w:rsid w:val="00DD10E5"/>
    <w:rsid w:val="00DD1150"/>
    <w:rsid w:val="00DD12B1"/>
    <w:rsid w:val="00DD1377"/>
    <w:rsid w:val="00DD14B4"/>
    <w:rsid w:val="00DD1598"/>
    <w:rsid w:val="00DD1599"/>
    <w:rsid w:val="00DD1704"/>
    <w:rsid w:val="00DD1732"/>
    <w:rsid w:val="00DD1803"/>
    <w:rsid w:val="00DD19B2"/>
    <w:rsid w:val="00DD1ED2"/>
    <w:rsid w:val="00DD24DF"/>
    <w:rsid w:val="00DD2556"/>
    <w:rsid w:val="00DD258E"/>
    <w:rsid w:val="00DD25D8"/>
    <w:rsid w:val="00DD2661"/>
    <w:rsid w:val="00DD2C57"/>
    <w:rsid w:val="00DD2C8E"/>
    <w:rsid w:val="00DD2FBF"/>
    <w:rsid w:val="00DD3345"/>
    <w:rsid w:val="00DD34B3"/>
    <w:rsid w:val="00DD3501"/>
    <w:rsid w:val="00DD35B2"/>
    <w:rsid w:val="00DD35B8"/>
    <w:rsid w:val="00DD363B"/>
    <w:rsid w:val="00DD376E"/>
    <w:rsid w:val="00DD381D"/>
    <w:rsid w:val="00DD38A3"/>
    <w:rsid w:val="00DD38B9"/>
    <w:rsid w:val="00DD38C2"/>
    <w:rsid w:val="00DD38FA"/>
    <w:rsid w:val="00DD3B19"/>
    <w:rsid w:val="00DD3B66"/>
    <w:rsid w:val="00DD3C95"/>
    <w:rsid w:val="00DD3C9A"/>
    <w:rsid w:val="00DD3DC5"/>
    <w:rsid w:val="00DD3E83"/>
    <w:rsid w:val="00DD3F0E"/>
    <w:rsid w:val="00DD404B"/>
    <w:rsid w:val="00DD420A"/>
    <w:rsid w:val="00DD42DC"/>
    <w:rsid w:val="00DD4363"/>
    <w:rsid w:val="00DD44FD"/>
    <w:rsid w:val="00DD454A"/>
    <w:rsid w:val="00DD455E"/>
    <w:rsid w:val="00DD4655"/>
    <w:rsid w:val="00DD4A5D"/>
    <w:rsid w:val="00DD4A71"/>
    <w:rsid w:val="00DD4C71"/>
    <w:rsid w:val="00DD4C7E"/>
    <w:rsid w:val="00DD4C93"/>
    <w:rsid w:val="00DD4D7F"/>
    <w:rsid w:val="00DD4FEB"/>
    <w:rsid w:val="00DD53E1"/>
    <w:rsid w:val="00DD5489"/>
    <w:rsid w:val="00DD5AAE"/>
    <w:rsid w:val="00DD5B99"/>
    <w:rsid w:val="00DD5CB8"/>
    <w:rsid w:val="00DD5D54"/>
    <w:rsid w:val="00DD5DC7"/>
    <w:rsid w:val="00DD5E69"/>
    <w:rsid w:val="00DD5EC3"/>
    <w:rsid w:val="00DD5EC5"/>
    <w:rsid w:val="00DD5F39"/>
    <w:rsid w:val="00DD5FC0"/>
    <w:rsid w:val="00DD654A"/>
    <w:rsid w:val="00DD6574"/>
    <w:rsid w:val="00DD6C3A"/>
    <w:rsid w:val="00DD6D14"/>
    <w:rsid w:val="00DD6D8D"/>
    <w:rsid w:val="00DD6DDB"/>
    <w:rsid w:val="00DD6EBD"/>
    <w:rsid w:val="00DD6EDB"/>
    <w:rsid w:val="00DD6EE8"/>
    <w:rsid w:val="00DD6F65"/>
    <w:rsid w:val="00DD70EB"/>
    <w:rsid w:val="00DD745A"/>
    <w:rsid w:val="00DD75A4"/>
    <w:rsid w:val="00DD75F7"/>
    <w:rsid w:val="00DD796F"/>
    <w:rsid w:val="00DD79FB"/>
    <w:rsid w:val="00DD7A99"/>
    <w:rsid w:val="00DD7ACC"/>
    <w:rsid w:val="00DD7ED6"/>
    <w:rsid w:val="00DE0135"/>
    <w:rsid w:val="00DE0861"/>
    <w:rsid w:val="00DE0898"/>
    <w:rsid w:val="00DE08CA"/>
    <w:rsid w:val="00DE0A42"/>
    <w:rsid w:val="00DE0AC2"/>
    <w:rsid w:val="00DE0BFE"/>
    <w:rsid w:val="00DE0D63"/>
    <w:rsid w:val="00DE0EAB"/>
    <w:rsid w:val="00DE0F95"/>
    <w:rsid w:val="00DE1634"/>
    <w:rsid w:val="00DE1715"/>
    <w:rsid w:val="00DE1778"/>
    <w:rsid w:val="00DE1891"/>
    <w:rsid w:val="00DE1A24"/>
    <w:rsid w:val="00DE1B57"/>
    <w:rsid w:val="00DE1C29"/>
    <w:rsid w:val="00DE1F8D"/>
    <w:rsid w:val="00DE1FD0"/>
    <w:rsid w:val="00DE2323"/>
    <w:rsid w:val="00DE26D3"/>
    <w:rsid w:val="00DE26E5"/>
    <w:rsid w:val="00DE280A"/>
    <w:rsid w:val="00DE28F1"/>
    <w:rsid w:val="00DE29B8"/>
    <w:rsid w:val="00DE2B33"/>
    <w:rsid w:val="00DE2BD6"/>
    <w:rsid w:val="00DE2ED8"/>
    <w:rsid w:val="00DE306B"/>
    <w:rsid w:val="00DE30C0"/>
    <w:rsid w:val="00DE3344"/>
    <w:rsid w:val="00DE3483"/>
    <w:rsid w:val="00DE37A9"/>
    <w:rsid w:val="00DE37BF"/>
    <w:rsid w:val="00DE37FD"/>
    <w:rsid w:val="00DE38CE"/>
    <w:rsid w:val="00DE39EE"/>
    <w:rsid w:val="00DE3A80"/>
    <w:rsid w:val="00DE3A8D"/>
    <w:rsid w:val="00DE3A92"/>
    <w:rsid w:val="00DE3C22"/>
    <w:rsid w:val="00DE3E66"/>
    <w:rsid w:val="00DE41E1"/>
    <w:rsid w:val="00DE4673"/>
    <w:rsid w:val="00DE476F"/>
    <w:rsid w:val="00DE499A"/>
    <w:rsid w:val="00DE4AAC"/>
    <w:rsid w:val="00DE4B68"/>
    <w:rsid w:val="00DE4E00"/>
    <w:rsid w:val="00DE4F4C"/>
    <w:rsid w:val="00DE4F58"/>
    <w:rsid w:val="00DE505C"/>
    <w:rsid w:val="00DE53E9"/>
    <w:rsid w:val="00DE559C"/>
    <w:rsid w:val="00DE5664"/>
    <w:rsid w:val="00DE577C"/>
    <w:rsid w:val="00DE59E6"/>
    <w:rsid w:val="00DE5BFA"/>
    <w:rsid w:val="00DE5C56"/>
    <w:rsid w:val="00DE5CCD"/>
    <w:rsid w:val="00DE5E2B"/>
    <w:rsid w:val="00DE61E3"/>
    <w:rsid w:val="00DE64DD"/>
    <w:rsid w:val="00DE65C1"/>
    <w:rsid w:val="00DE678E"/>
    <w:rsid w:val="00DE6987"/>
    <w:rsid w:val="00DE6AA9"/>
    <w:rsid w:val="00DE6E37"/>
    <w:rsid w:val="00DE6F2D"/>
    <w:rsid w:val="00DE7179"/>
    <w:rsid w:val="00DE727E"/>
    <w:rsid w:val="00DE72B0"/>
    <w:rsid w:val="00DE74B2"/>
    <w:rsid w:val="00DE74DF"/>
    <w:rsid w:val="00DE782A"/>
    <w:rsid w:val="00DE7BC7"/>
    <w:rsid w:val="00DE7D05"/>
    <w:rsid w:val="00DE7E78"/>
    <w:rsid w:val="00DF0020"/>
    <w:rsid w:val="00DF0415"/>
    <w:rsid w:val="00DF05AA"/>
    <w:rsid w:val="00DF0653"/>
    <w:rsid w:val="00DF075A"/>
    <w:rsid w:val="00DF0C19"/>
    <w:rsid w:val="00DF0ED3"/>
    <w:rsid w:val="00DF0FDD"/>
    <w:rsid w:val="00DF0FE3"/>
    <w:rsid w:val="00DF1125"/>
    <w:rsid w:val="00DF1141"/>
    <w:rsid w:val="00DF12BA"/>
    <w:rsid w:val="00DF12F7"/>
    <w:rsid w:val="00DF13BD"/>
    <w:rsid w:val="00DF158C"/>
    <w:rsid w:val="00DF1937"/>
    <w:rsid w:val="00DF1956"/>
    <w:rsid w:val="00DF1AE0"/>
    <w:rsid w:val="00DF1F6D"/>
    <w:rsid w:val="00DF2202"/>
    <w:rsid w:val="00DF25D1"/>
    <w:rsid w:val="00DF2621"/>
    <w:rsid w:val="00DF2766"/>
    <w:rsid w:val="00DF2856"/>
    <w:rsid w:val="00DF2D3A"/>
    <w:rsid w:val="00DF2D78"/>
    <w:rsid w:val="00DF309E"/>
    <w:rsid w:val="00DF30AF"/>
    <w:rsid w:val="00DF31A1"/>
    <w:rsid w:val="00DF3388"/>
    <w:rsid w:val="00DF3440"/>
    <w:rsid w:val="00DF345F"/>
    <w:rsid w:val="00DF3497"/>
    <w:rsid w:val="00DF38B0"/>
    <w:rsid w:val="00DF3A6C"/>
    <w:rsid w:val="00DF3CC4"/>
    <w:rsid w:val="00DF3D9C"/>
    <w:rsid w:val="00DF43F5"/>
    <w:rsid w:val="00DF44CF"/>
    <w:rsid w:val="00DF454D"/>
    <w:rsid w:val="00DF458E"/>
    <w:rsid w:val="00DF46A4"/>
    <w:rsid w:val="00DF48E7"/>
    <w:rsid w:val="00DF490D"/>
    <w:rsid w:val="00DF4AB3"/>
    <w:rsid w:val="00DF4AFE"/>
    <w:rsid w:val="00DF4C9B"/>
    <w:rsid w:val="00DF4D14"/>
    <w:rsid w:val="00DF4D73"/>
    <w:rsid w:val="00DF5107"/>
    <w:rsid w:val="00DF5446"/>
    <w:rsid w:val="00DF550A"/>
    <w:rsid w:val="00DF568E"/>
    <w:rsid w:val="00DF57AE"/>
    <w:rsid w:val="00DF5886"/>
    <w:rsid w:val="00DF5930"/>
    <w:rsid w:val="00DF5943"/>
    <w:rsid w:val="00DF5B44"/>
    <w:rsid w:val="00DF5E26"/>
    <w:rsid w:val="00DF6326"/>
    <w:rsid w:val="00DF654D"/>
    <w:rsid w:val="00DF6A4F"/>
    <w:rsid w:val="00DF6B68"/>
    <w:rsid w:val="00DF6EFD"/>
    <w:rsid w:val="00DF7633"/>
    <w:rsid w:val="00DF79A8"/>
    <w:rsid w:val="00DF7B7A"/>
    <w:rsid w:val="00DF7CB6"/>
    <w:rsid w:val="00DF7D0E"/>
    <w:rsid w:val="00DF7EEB"/>
    <w:rsid w:val="00DF7F90"/>
    <w:rsid w:val="00DF7FF6"/>
    <w:rsid w:val="00E00121"/>
    <w:rsid w:val="00E0013C"/>
    <w:rsid w:val="00E00164"/>
    <w:rsid w:val="00E00234"/>
    <w:rsid w:val="00E00305"/>
    <w:rsid w:val="00E003EB"/>
    <w:rsid w:val="00E0058E"/>
    <w:rsid w:val="00E008BD"/>
    <w:rsid w:val="00E0098E"/>
    <w:rsid w:val="00E00A61"/>
    <w:rsid w:val="00E00B4C"/>
    <w:rsid w:val="00E00B5D"/>
    <w:rsid w:val="00E00B63"/>
    <w:rsid w:val="00E00CE1"/>
    <w:rsid w:val="00E00FC0"/>
    <w:rsid w:val="00E01202"/>
    <w:rsid w:val="00E012B7"/>
    <w:rsid w:val="00E013F5"/>
    <w:rsid w:val="00E0154F"/>
    <w:rsid w:val="00E015E7"/>
    <w:rsid w:val="00E01757"/>
    <w:rsid w:val="00E01772"/>
    <w:rsid w:val="00E019BD"/>
    <w:rsid w:val="00E01A51"/>
    <w:rsid w:val="00E01AF2"/>
    <w:rsid w:val="00E01C05"/>
    <w:rsid w:val="00E01C11"/>
    <w:rsid w:val="00E01D30"/>
    <w:rsid w:val="00E01E97"/>
    <w:rsid w:val="00E021AC"/>
    <w:rsid w:val="00E022D5"/>
    <w:rsid w:val="00E02313"/>
    <w:rsid w:val="00E024EC"/>
    <w:rsid w:val="00E026F2"/>
    <w:rsid w:val="00E026F9"/>
    <w:rsid w:val="00E02790"/>
    <w:rsid w:val="00E028DB"/>
    <w:rsid w:val="00E02A68"/>
    <w:rsid w:val="00E02BAE"/>
    <w:rsid w:val="00E02BCD"/>
    <w:rsid w:val="00E02D8F"/>
    <w:rsid w:val="00E02EDE"/>
    <w:rsid w:val="00E02F2C"/>
    <w:rsid w:val="00E0321D"/>
    <w:rsid w:val="00E032E1"/>
    <w:rsid w:val="00E03349"/>
    <w:rsid w:val="00E035C9"/>
    <w:rsid w:val="00E03608"/>
    <w:rsid w:val="00E03649"/>
    <w:rsid w:val="00E0370B"/>
    <w:rsid w:val="00E03818"/>
    <w:rsid w:val="00E03AC6"/>
    <w:rsid w:val="00E03B5A"/>
    <w:rsid w:val="00E03CD9"/>
    <w:rsid w:val="00E041C8"/>
    <w:rsid w:val="00E04208"/>
    <w:rsid w:val="00E0431F"/>
    <w:rsid w:val="00E0440A"/>
    <w:rsid w:val="00E04477"/>
    <w:rsid w:val="00E04577"/>
    <w:rsid w:val="00E04897"/>
    <w:rsid w:val="00E04C35"/>
    <w:rsid w:val="00E04C76"/>
    <w:rsid w:val="00E04CA2"/>
    <w:rsid w:val="00E04D4C"/>
    <w:rsid w:val="00E04D7E"/>
    <w:rsid w:val="00E04D95"/>
    <w:rsid w:val="00E04E0D"/>
    <w:rsid w:val="00E053F6"/>
    <w:rsid w:val="00E05589"/>
    <w:rsid w:val="00E0561E"/>
    <w:rsid w:val="00E059F0"/>
    <w:rsid w:val="00E05D75"/>
    <w:rsid w:val="00E05E05"/>
    <w:rsid w:val="00E05E57"/>
    <w:rsid w:val="00E05F40"/>
    <w:rsid w:val="00E06198"/>
    <w:rsid w:val="00E061BF"/>
    <w:rsid w:val="00E065BC"/>
    <w:rsid w:val="00E06835"/>
    <w:rsid w:val="00E0695C"/>
    <w:rsid w:val="00E06C4B"/>
    <w:rsid w:val="00E06D9D"/>
    <w:rsid w:val="00E06DAD"/>
    <w:rsid w:val="00E06FD9"/>
    <w:rsid w:val="00E071E1"/>
    <w:rsid w:val="00E07258"/>
    <w:rsid w:val="00E07295"/>
    <w:rsid w:val="00E072D9"/>
    <w:rsid w:val="00E07AA9"/>
    <w:rsid w:val="00E07C92"/>
    <w:rsid w:val="00E07F97"/>
    <w:rsid w:val="00E10073"/>
    <w:rsid w:val="00E1009A"/>
    <w:rsid w:val="00E103CE"/>
    <w:rsid w:val="00E105C6"/>
    <w:rsid w:val="00E10A75"/>
    <w:rsid w:val="00E110DB"/>
    <w:rsid w:val="00E111A0"/>
    <w:rsid w:val="00E11428"/>
    <w:rsid w:val="00E11586"/>
    <w:rsid w:val="00E11619"/>
    <w:rsid w:val="00E116BD"/>
    <w:rsid w:val="00E119A3"/>
    <w:rsid w:val="00E11A49"/>
    <w:rsid w:val="00E11AF5"/>
    <w:rsid w:val="00E11C1F"/>
    <w:rsid w:val="00E11E2F"/>
    <w:rsid w:val="00E11E7C"/>
    <w:rsid w:val="00E11EC0"/>
    <w:rsid w:val="00E11EF7"/>
    <w:rsid w:val="00E12012"/>
    <w:rsid w:val="00E1207C"/>
    <w:rsid w:val="00E120D5"/>
    <w:rsid w:val="00E12196"/>
    <w:rsid w:val="00E12365"/>
    <w:rsid w:val="00E12599"/>
    <w:rsid w:val="00E126B9"/>
    <w:rsid w:val="00E127F0"/>
    <w:rsid w:val="00E12879"/>
    <w:rsid w:val="00E1298E"/>
    <w:rsid w:val="00E129FF"/>
    <w:rsid w:val="00E12C48"/>
    <w:rsid w:val="00E12D1F"/>
    <w:rsid w:val="00E13185"/>
    <w:rsid w:val="00E133B9"/>
    <w:rsid w:val="00E133DA"/>
    <w:rsid w:val="00E13465"/>
    <w:rsid w:val="00E1352B"/>
    <w:rsid w:val="00E13575"/>
    <w:rsid w:val="00E135DB"/>
    <w:rsid w:val="00E138A7"/>
    <w:rsid w:val="00E1396D"/>
    <w:rsid w:val="00E13C17"/>
    <w:rsid w:val="00E13E33"/>
    <w:rsid w:val="00E13F8F"/>
    <w:rsid w:val="00E1409A"/>
    <w:rsid w:val="00E14550"/>
    <w:rsid w:val="00E1459B"/>
    <w:rsid w:val="00E145B4"/>
    <w:rsid w:val="00E14754"/>
    <w:rsid w:val="00E14787"/>
    <w:rsid w:val="00E1490E"/>
    <w:rsid w:val="00E14B50"/>
    <w:rsid w:val="00E14C30"/>
    <w:rsid w:val="00E14CAB"/>
    <w:rsid w:val="00E14D4F"/>
    <w:rsid w:val="00E14E0E"/>
    <w:rsid w:val="00E14F31"/>
    <w:rsid w:val="00E15224"/>
    <w:rsid w:val="00E15232"/>
    <w:rsid w:val="00E1531E"/>
    <w:rsid w:val="00E15337"/>
    <w:rsid w:val="00E155E5"/>
    <w:rsid w:val="00E1564B"/>
    <w:rsid w:val="00E1572D"/>
    <w:rsid w:val="00E159CB"/>
    <w:rsid w:val="00E15AE3"/>
    <w:rsid w:val="00E15D66"/>
    <w:rsid w:val="00E15F4A"/>
    <w:rsid w:val="00E15F4D"/>
    <w:rsid w:val="00E15FCF"/>
    <w:rsid w:val="00E16002"/>
    <w:rsid w:val="00E160AC"/>
    <w:rsid w:val="00E16142"/>
    <w:rsid w:val="00E163A0"/>
    <w:rsid w:val="00E16467"/>
    <w:rsid w:val="00E16551"/>
    <w:rsid w:val="00E1673D"/>
    <w:rsid w:val="00E16855"/>
    <w:rsid w:val="00E16B2A"/>
    <w:rsid w:val="00E16B3F"/>
    <w:rsid w:val="00E16C39"/>
    <w:rsid w:val="00E16DB4"/>
    <w:rsid w:val="00E17109"/>
    <w:rsid w:val="00E17131"/>
    <w:rsid w:val="00E172E8"/>
    <w:rsid w:val="00E1745F"/>
    <w:rsid w:val="00E1746E"/>
    <w:rsid w:val="00E178BB"/>
    <w:rsid w:val="00E179BF"/>
    <w:rsid w:val="00E179F7"/>
    <w:rsid w:val="00E17B8F"/>
    <w:rsid w:val="00E17ED6"/>
    <w:rsid w:val="00E17F4D"/>
    <w:rsid w:val="00E2031B"/>
    <w:rsid w:val="00E2033E"/>
    <w:rsid w:val="00E204B5"/>
    <w:rsid w:val="00E207E4"/>
    <w:rsid w:val="00E20804"/>
    <w:rsid w:val="00E20F36"/>
    <w:rsid w:val="00E212C6"/>
    <w:rsid w:val="00E217DC"/>
    <w:rsid w:val="00E218CF"/>
    <w:rsid w:val="00E21A33"/>
    <w:rsid w:val="00E21BF2"/>
    <w:rsid w:val="00E21CCF"/>
    <w:rsid w:val="00E21DAD"/>
    <w:rsid w:val="00E22116"/>
    <w:rsid w:val="00E22261"/>
    <w:rsid w:val="00E22401"/>
    <w:rsid w:val="00E22426"/>
    <w:rsid w:val="00E224F9"/>
    <w:rsid w:val="00E225AB"/>
    <w:rsid w:val="00E22747"/>
    <w:rsid w:val="00E22A48"/>
    <w:rsid w:val="00E22ADE"/>
    <w:rsid w:val="00E22B0E"/>
    <w:rsid w:val="00E22C30"/>
    <w:rsid w:val="00E22F1D"/>
    <w:rsid w:val="00E22F36"/>
    <w:rsid w:val="00E23067"/>
    <w:rsid w:val="00E23147"/>
    <w:rsid w:val="00E23158"/>
    <w:rsid w:val="00E2319B"/>
    <w:rsid w:val="00E231B4"/>
    <w:rsid w:val="00E233D8"/>
    <w:rsid w:val="00E23618"/>
    <w:rsid w:val="00E237D4"/>
    <w:rsid w:val="00E2386A"/>
    <w:rsid w:val="00E2399A"/>
    <w:rsid w:val="00E239EA"/>
    <w:rsid w:val="00E23A20"/>
    <w:rsid w:val="00E23A97"/>
    <w:rsid w:val="00E23B1C"/>
    <w:rsid w:val="00E242D2"/>
    <w:rsid w:val="00E24307"/>
    <w:rsid w:val="00E2437E"/>
    <w:rsid w:val="00E243A2"/>
    <w:rsid w:val="00E243AD"/>
    <w:rsid w:val="00E24449"/>
    <w:rsid w:val="00E24682"/>
    <w:rsid w:val="00E24870"/>
    <w:rsid w:val="00E2489E"/>
    <w:rsid w:val="00E249C3"/>
    <w:rsid w:val="00E24A12"/>
    <w:rsid w:val="00E24B4F"/>
    <w:rsid w:val="00E24D6C"/>
    <w:rsid w:val="00E24F63"/>
    <w:rsid w:val="00E250E4"/>
    <w:rsid w:val="00E253E9"/>
    <w:rsid w:val="00E25751"/>
    <w:rsid w:val="00E2590D"/>
    <w:rsid w:val="00E25C4B"/>
    <w:rsid w:val="00E25F10"/>
    <w:rsid w:val="00E25F89"/>
    <w:rsid w:val="00E2604D"/>
    <w:rsid w:val="00E263B9"/>
    <w:rsid w:val="00E26433"/>
    <w:rsid w:val="00E264ED"/>
    <w:rsid w:val="00E26565"/>
    <w:rsid w:val="00E265B7"/>
    <w:rsid w:val="00E265E5"/>
    <w:rsid w:val="00E26B34"/>
    <w:rsid w:val="00E26C8A"/>
    <w:rsid w:val="00E26EA0"/>
    <w:rsid w:val="00E26F64"/>
    <w:rsid w:val="00E2704C"/>
    <w:rsid w:val="00E274CF"/>
    <w:rsid w:val="00E27687"/>
    <w:rsid w:val="00E279EE"/>
    <w:rsid w:val="00E27A65"/>
    <w:rsid w:val="00E27B29"/>
    <w:rsid w:val="00E27B91"/>
    <w:rsid w:val="00E27C5C"/>
    <w:rsid w:val="00E27CAA"/>
    <w:rsid w:val="00E27CEE"/>
    <w:rsid w:val="00E27D89"/>
    <w:rsid w:val="00E27DF2"/>
    <w:rsid w:val="00E27F71"/>
    <w:rsid w:val="00E30010"/>
    <w:rsid w:val="00E30051"/>
    <w:rsid w:val="00E3025A"/>
    <w:rsid w:val="00E303A4"/>
    <w:rsid w:val="00E30656"/>
    <w:rsid w:val="00E306E5"/>
    <w:rsid w:val="00E307A0"/>
    <w:rsid w:val="00E3097E"/>
    <w:rsid w:val="00E30B25"/>
    <w:rsid w:val="00E30B5F"/>
    <w:rsid w:val="00E30BCD"/>
    <w:rsid w:val="00E30F54"/>
    <w:rsid w:val="00E30FF1"/>
    <w:rsid w:val="00E31067"/>
    <w:rsid w:val="00E310D8"/>
    <w:rsid w:val="00E31110"/>
    <w:rsid w:val="00E311B4"/>
    <w:rsid w:val="00E31455"/>
    <w:rsid w:val="00E316CB"/>
    <w:rsid w:val="00E31BC8"/>
    <w:rsid w:val="00E31C94"/>
    <w:rsid w:val="00E32068"/>
    <w:rsid w:val="00E32390"/>
    <w:rsid w:val="00E32755"/>
    <w:rsid w:val="00E329D3"/>
    <w:rsid w:val="00E32FAE"/>
    <w:rsid w:val="00E32FF4"/>
    <w:rsid w:val="00E33122"/>
    <w:rsid w:val="00E331E9"/>
    <w:rsid w:val="00E33342"/>
    <w:rsid w:val="00E33472"/>
    <w:rsid w:val="00E334C0"/>
    <w:rsid w:val="00E3379A"/>
    <w:rsid w:val="00E3388C"/>
    <w:rsid w:val="00E33EBD"/>
    <w:rsid w:val="00E34336"/>
    <w:rsid w:val="00E3456F"/>
    <w:rsid w:val="00E34692"/>
    <w:rsid w:val="00E347DE"/>
    <w:rsid w:val="00E34854"/>
    <w:rsid w:val="00E348D6"/>
    <w:rsid w:val="00E34B0D"/>
    <w:rsid w:val="00E34B58"/>
    <w:rsid w:val="00E34BFC"/>
    <w:rsid w:val="00E35278"/>
    <w:rsid w:val="00E352E6"/>
    <w:rsid w:val="00E3539F"/>
    <w:rsid w:val="00E353CE"/>
    <w:rsid w:val="00E35580"/>
    <w:rsid w:val="00E355CB"/>
    <w:rsid w:val="00E35894"/>
    <w:rsid w:val="00E35A0C"/>
    <w:rsid w:val="00E35A3F"/>
    <w:rsid w:val="00E35ADB"/>
    <w:rsid w:val="00E35C12"/>
    <w:rsid w:val="00E35F96"/>
    <w:rsid w:val="00E36242"/>
    <w:rsid w:val="00E3635E"/>
    <w:rsid w:val="00E36381"/>
    <w:rsid w:val="00E363F2"/>
    <w:rsid w:val="00E3642F"/>
    <w:rsid w:val="00E36457"/>
    <w:rsid w:val="00E364E7"/>
    <w:rsid w:val="00E36828"/>
    <w:rsid w:val="00E3693E"/>
    <w:rsid w:val="00E369E3"/>
    <w:rsid w:val="00E36C27"/>
    <w:rsid w:val="00E36CDC"/>
    <w:rsid w:val="00E36E8C"/>
    <w:rsid w:val="00E373B8"/>
    <w:rsid w:val="00E37483"/>
    <w:rsid w:val="00E3758E"/>
    <w:rsid w:val="00E376BD"/>
    <w:rsid w:val="00E377E4"/>
    <w:rsid w:val="00E378C0"/>
    <w:rsid w:val="00E37C38"/>
    <w:rsid w:val="00E37C93"/>
    <w:rsid w:val="00E37FE1"/>
    <w:rsid w:val="00E402B2"/>
    <w:rsid w:val="00E403D3"/>
    <w:rsid w:val="00E4056B"/>
    <w:rsid w:val="00E40612"/>
    <w:rsid w:val="00E40DC1"/>
    <w:rsid w:val="00E40EF0"/>
    <w:rsid w:val="00E410A3"/>
    <w:rsid w:val="00E4120E"/>
    <w:rsid w:val="00E4128E"/>
    <w:rsid w:val="00E41306"/>
    <w:rsid w:val="00E41384"/>
    <w:rsid w:val="00E415A6"/>
    <w:rsid w:val="00E41931"/>
    <w:rsid w:val="00E41A1C"/>
    <w:rsid w:val="00E423BD"/>
    <w:rsid w:val="00E423CF"/>
    <w:rsid w:val="00E426C6"/>
    <w:rsid w:val="00E42720"/>
    <w:rsid w:val="00E4287B"/>
    <w:rsid w:val="00E429B6"/>
    <w:rsid w:val="00E4334F"/>
    <w:rsid w:val="00E437AC"/>
    <w:rsid w:val="00E43A89"/>
    <w:rsid w:val="00E43A9D"/>
    <w:rsid w:val="00E43AAD"/>
    <w:rsid w:val="00E43E44"/>
    <w:rsid w:val="00E43E79"/>
    <w:rsid w:val="00E44004"/>
    <w:rsid w:val="00E444AD"/>
    <w:rsid w:val="00E4450E"/>
    <w:rsid w:val="00E4489F"/>
    <w:rsid w:val="00E448BF"/>
    <w:rsid w:val="00E44ADD"/>
    <w:rsid w:val="00E44B22"/>
    <w:rsid w:val="00E44C5B"/>
    <w:rsid w:val="00E44DBD"/>
    <w:rsid w:val="00E44E7A"/>
    <w:rsid w:val="00E44F04"/>
    <w:rsid w:val="00E45044"/>
    <w:rsid w:val="00E45106"/>
    <w:rsid w:val="00E451AD"/>
    <w:rsid w:val="00E45221"/>
    <w:rsid w:val="00E45335"/>
    <w:rsid w:val="00E454A3"/>
    <w:rsid w:val="00E455BD"/>
    <w:rsid w:val="00E455DE"/>
    <w:rsid w:val="00E456B6"/>
    <w:rsid w:val="00E45783"/>
    <w:rsid w:val="00E4583F"/>
    <w:rsid w:val="00E45944"/>
    <w:rsid w:val="00E45C12"/>
    <w:rsid w:val="00E45D1A"/>
    <w:rsid w:val="00E45D90"/>
    <w:rsid w:val="00E46088"/>
    <w:rsid w:val="00E464CB"/>
    <w:rsid w:val="00E46628"/>
    <w:rsid w:val="00E46660"/>
    <w:rsid w:val="00E46668"/>
    <w:rsid w:val="00E46A8E"/>
    <w:rsid w:val="00E46AC9"/>
    <w:rsid w:val="00E46ACA"/>
    <w:rsid w:val="00E46B75"/>
    <w:rsid w:val="00E46C9C"/>
    <w:rsid w:val="00E46CDD"/>
    <w:rsid w:val="00E46E4C"/>
    <w:rsid w:val="00E46F62"/>
    <w:rsid w:val="00E47481"/>
    <w:rsid w:val="00E476D7"/>
    <w:rsid w:val="00E4777F"/>
    <w:rsid w:val="00E47895"/>
    <w:rsid w:val="00E4790A"/>
    <w:rsid w:val="00E47986"/>
    <w:rsid w:val="00E47A39"/>
    <w:rsid w:val="00E47D49"/>
    <w:rsid w:val="00E47D8B"/>
    <w:rsid w:val="00E47FE9"/>
    <w:rsid w:val="00E502C7"/>
    <w:rsid w:val="00E50BB9"/>
    <w:rsid w:val="00E50EE8"/>
    <w:rsid w:val="00E514E8"/>
    <w:rsid w:val="00E51912"/>
    <w:rsid w:val="00E51930"/>
    <w:rsid w:val="00E51AC3"/>
    <w:rsid w:val="00E51BC6"/>
    <w:rsid w:val="00E51F60"/>
    <w:rsid w:val="00E522B6"/>
    <w:rsid w:val="00E5257B"/>
    <w:rsid w:val="00E526AF"/>
    <w:rsid w:val="00E5273E"/>
    <w:rsid w:val="00E52A4D"/>
    <w:rsid w:val="00E52BD5"/>
    <w:rsid w:val="00E52C93"/>
    <w:rsid w:val="00E52E57"/>
    <w:rsid w:val="00E52ECC"/>
    <w:rsid w:val="00E52F11"/>
    <w:rsid w:val="00E52F96"/>
    <w:rsid w:val="00E52FB1"/>
    <w:rsid w:val="00E5314E"/>
    <w:rsid w:val="00E5317D"/>
    <w:rsid w:val="00E533D5"/>
    <w:rsid w:val="00E53408"/>
    <w:rsid w:val="00E5352A"/>
    <w:rsid w:val="00E53573"/>
    <w:rsid w:val="00E53B2F"/>
    <w:rsid w:val="00E53B31"/>
    <w:rsid w:val="00E53B51"/>
    <w:rsid w:val="00E53C6E"/>
    <w:rsid w:val="00E53F98"/>
    <w:rsid w:val="00E53FA6"/>
    <w:rsid w:val="00E540B7"/>
    <w:rsid w:val="00E54125"/>
    <w:rsid w:val="00E54A5C"/>
    <w:rsid w:val="00E54DAC"/>
    <w:rsid w:val="00E54F4C"/>
    <w:rsid w:val="00E55217"/>
    <w:rsid w:val="00E555D9"/>
    <w:rsid w:val="00E557E9"/>
    <w:rsid w:val="00E55815"/>
    <w:rsid w:val="00E559CD"/>
    <w:rsid w:val="00E55A39"/>
    <w:rsid w:val="00E55B0E"/>
    <w:rsid w:val="00E55EFA"/>
    <w:rsid w:val="00E5621D"/>
    <w:rsid w:val="00E5631D"/>
    <w:rsid w:val="00E5632C"/>
    <w:rsid w:val="00E56456"/>
    <w:rsid w:val="00E56664"/>
    <w:rsid w:val="00E5666A"/>
    <w:rsid w:val="00E56B10"/>
    <w:rsid w:val="00E56C96"/>
    <w:rsid w:val="00E56DA4"/>
    <w:rsid w:val="00E56E1C"/>
    <w:rsid w:val="00E570BE"/>
    <w:rsid w:val="00E57165"/>
    <w:rsid w:val="00E572A9"/>
    <w:rsid w:val="00E57550"/>
    <w:rsid w:val="00E57944"/>
    <w:rsid w:val="00E579B4"/>
    <w:rsid w:val="00E57B19"/>
    <w:rsid w:val="00E57CFE"/>
    <w:rsid w:val="00E57DBC"/>
    <w:rsid w:val="00E57FF4"/>
    <w:rsid w:val="00E6010E"/>
    <w:rsid w:val="00E601C6"/>
    <w:rsid w:val="00E6022D"/>
    <w:rsid w:val="00E6027E"/>
    <w:rsid w:val="00E603E9"/>
    <w:rsid w:val="00E60513"/>
    <w:rsid w:val="00E60668"/>
    <w:rsid w:val="00E60C19"/>
    <w:rsid w:val="00E60D0C"/>
    <w:rsid w:val="00E60EDA"/>
    <w:rsid w:val="00E610B1"/>
    <w:rsid w:val="00E6144F"/>
    <w:rsid w:val="00E61525"/>
    <w:rsid w:val="00E61730"/>
    <w:rsid w:val="00E61B81"/>
    <w:rsid w:val="00E61D68"/>
    <w:rsid w:val="00E61ED4"/>
    <w:rsid w:val="00E62149"/>
    <w:rsid w:val="00E62305"/>
    <w:rsid w:val="00E62334"/>
    <w:rsid w:val="00E623B9"/>
    <w:rsid w:val="00E62420"/>
    <w:rsid w:val="00E624FF"/>
    <w:rsid w:val="00E627AD"/>
    <w:rsid w:val="00E628F3"/>
    <w:rsid w:val="00E62A20"/>
    <w:rsid w:val="00E62DEA"/>
    <w:rsid w:val="00E63030"/>
    <w:rsid w:val="00E63188"/>
    <w:rsid w:val="00E6329C"/>
    <w:rsid w:val="00E633D0"/>
    <w:rsid w:val="00E635E1"/>
    <w:rsid w:val="00E637D8"/>
    <w:rsid w:val="00E63949"/>
    <w:rsid w:val="00E63A0A"/>
    <w:rsid w:val="00E63A59"/>
    <w:rsid w:val="00E63BE6"/>
    <w:rsid w:val="00E63C06"/>
    <w:rsid w:val="00E63C92"/>
    <w:rsid w:val="00E63E6F"/>
    <w:rsid w:val="00E63EDC"/>
    <w:rsid w:val="00E63F8E"/>
    <w:rsid w:val="00E6415D"/>
    <w:rsid w:val="00E64441"/>
    <w:rsid w:val="00E6467B"/>
    <w:rsid w:val="00E6478C"/>
    <w:rsid w:val="00E6491A"/>
    <w:rsid w:val="00E64EBA"/>
    <w:rsid w:val="00E64F98"/>
    <w:rsid w:val="00E65303"/>
    <w:rsid w:val="00E65310"/>
    <w:rsid w:val="00E65634"/>
    <w:rsid w:val="00E656F4"/>
    <w:rsid w:val="00E6594D"/>
    <w:rsid w:val="00E6598A"/>
    <w:rsid w:val="00E65A75"/>
    <w:rsid w:val="00E65E24"/>
    <w:rsid w:val="00E6611C"/>
    <w:rsid w:val="00E6612A"/>
    <w:rsid w:val="00E661CF"/>
    <w:rsid w:val="00E661DE"/>
    <w:rsid w:val="00E66498"/>
    <w:rsid w:val="00E66661"/>
    <w:rsid w:val="00E6666C"/>
    <w:rsid w:val="00E66679"/>
    <w:rsid w:val="00E666D2"/>
    <w:rsid w:val="00E66834"/>
    <w:rsid w:val="00E66915"/>
    <w:rsid w:val="00E6693D"/>
    <w:rsid w:val="00E66A41"/>
    <w:rsid w:val="00E66B5B"/>
    <w:rsid w:val="00E66D83"/>
    <w:rsid w:val="00E66EE6"/>
    <w:rsid w:val="00E67093"/>
    <w:rsid w:val="00E67223"/>
    <w:rsid w:val="00E6723A"/>
    <w:rsid w:val="00E673C1"/>
    <w:rsid w:val="00E675A6"/>
    <w:rsid w:val="00E67631"/>
    <w:rsid w:val="00E676D2"/>
    <w:rsid w:val="00E677C1"/>
    <w:rsid w:val="00E6783E"/>
    <w:rsid w:val="00E6786E"/>
    <w:rsid w:val="00E679AA"/>
    <w:rsid w:val="00E67A96"/>
    <w:rsid w:val="00E67ACE"/>
    <w:rsid w:val="00E67E94"/>
    <w:rsid w:val="00E67FEB"/>
    <w:rsid w:val="00E70140"/>
    <w:rsid w:val="00E7015D"/>
    <w:rsid w:val="00E70811"/>
    <w:rsid w:val="00E70EDF"/>
    <w:rsid w:val="00E71018"/>
    <w:rsid w:val="00E71122"/>
    <w:rsid w:val="00E71188"/>
    <w:rsid w:val="00E7151F"/>
    <w:rsid w:val="00E71553"/>
    <w:rsid w:val="00E7175B"/>
    <w:rsid w:val="00E719FE"/>
    <w:rsid w:val="00E71A40"/>
    <w:rsid w:val="00E71AE7"/>
    <w:rsid w:val="00E71D73"/>
    <w:rsid w:val="00E71E59"/>
    <w:rsid w:val="00E71F2C"/>
    <w:rsid w:val="00E7212C"/>
    <w:rsid w:val="00E722E9"/>
    <w:rsid w:val="00E72481"/>
    <w:rsid w:val="00E72684"/>
    <w:rsid w:val="00E72718"/>
    <w:rsid w:val="00E72A67"/>
    <w:rsid w:val="00E72A7D"/>
    <w:rsid w:val="00E7318E"/>
    <w:rsid w:val="00E7352F"/>
    <w:rsid w:val="00E737AB"/>
    <w:rsid w:val="00E73C69"/>
    <w:rsid w:val="00E73CAD"/>
    <w:rsid w:val="00E740CC"/>
    <w:rsid w:val="00E74399"/>
    <w:rsid w:val="00E743FF"/>
    <w:rsid w:val="00E74507"/>
    <w:rsid w:val="00E74625"/>
    <w:rsid w:val="00E7468B"/>
    <w:rsid w:val="00E74945"/>
    <w:rsid w:val="00E74A61"/>
    <w:rsid w:val="00E74BCE"/>
    <w:rsid w:val="00E74FD3"/>
    <w:rsid w:val="00E75059"/>
    <w:rsid w:val="00E75482"/>
    <w:rsid w:val="00E75490"/>
    <w:rsid w:val="00E754EC"/>
    <w:rsid w:val="00E7584B"/>
    <w:rsid w:val="00E75949"/>
    <w:rsid w:val="00E75A1E"/>
    <w:rsid w:val="00E75A46"/>
    <w:rsid w:val="00E75B04"/>
    <w:rsid w:val="00E75B4A"/>
    <w:rsid w:val="00E75C5B"/>
    <w:rsid w:val="00E75D88"/>
    <w:rsid w:val="00E75E81"/>
    <w:rsid w:val="00E760CB"/>
    <w:rsid w:val="00E76117"/>
    <w:rsid w:val="00E76500"/>
    <w:rsid w:val="00E7654E"/>
    <w:rsid w:val="00E767FF"/>
    <w:rsid w:val="00E769FC"/>
    <w:rsid w:val="00E769FF"/>
    <w:rsid w:val="00E76ED0"/>
    <w:rsid w:val="00E76F01"/>
    <w:rsid w:val="00E76F0B"/>
    <w:rsid w:val="00E76FC5"/>
    <w:rsid w:val="00E77273"/>
    <w:rsid w:val="00E77488"/>
    <w:rsid w:val="00E7756A"/>
    <w:rsid w:val="00E7761D"/>
    <w:rsid w:val="00E776DD"/>
    <w:rsid w:val="00E77812"/>
    <w:rsid w:val="00E7784C"/>
    <w:rsid w:val="00E77884"/>
    <w:rsid w:val="00E77E7B"/>
    <w:rsid w:val="00E77FE4"/>
    <w:rsid w:val="00E80394"/>
    <w:rsid w:val="00E803FF"/>
    <w:rsid w:val="00E8040B"/>
    <w:rsid w:val="00E8065E"/>
    <w:rsid w:val="00E8078A"/>
    <w:rsid w:val="00E807CE"/>
    <w:rsid w:val="00E80928"/>
    <w:rsid w:val="00E80B06"/>
    <w:rsid w:val="00E80C4F"/>
    <w:rsid w:val="00E80D28"/>
    <w:rsid w:val="00E80F3E"/>
    <w:rsid w:val="00E80F7E"/>
    <w:rsid w:val="00E8127A"/>
    <w:rsid w:val="00E8135A"/>
    <w:rsid w:val="00E813BA"/>
    <w:rsid w:val="00E814B1"/>
    <w:rsid w:val="00E8169F"/>
    <w:rsid w:val="00E81928"/>
    <w:rsid w:val="00E819B2"/>
    <w:rsid w:val="00E81A75"/>
    <w:rsid w:val="00E81CEA"/>
    <w:rsid w:val="00E81D3A"/>
    <w:rsid w:val="00E82206"/>
    <w:rsid w:val="00E822A3"/>
    <w:rsid w:val="00E823C4"/>
    <w:rsid w:val="00E823CB"/>
    <w:rsid w:val="00E8240C"/>
    <w:rsid w:val="00E82570"/>
    <w:rsid w:val="00E82650"/>
    <w:rsid w:val="00E82C6C"/>
    <w:rsid w:val="00E82DD5"/>
    <w:rsid w:val="00E82F72"/>
    <w:rsid w:val="00E82F94"/>
    <w:rsid w:val="00E83024"/>
    <w:rsid w:val="00E831A9"/>
    <w:rsid w:val="00E83480"/>
    <w:rsid w:val="00E83775"/>
    <w:rsid w:val="00E83AA4"/>
    <w:rsid w:val="00E83BFD"/>
    <w:rsid w:val="00E83C76"/>
    <w:rsid w:val="00E83EE0"/>
    <w:rsid w:val="00E83F33"/>
    <w:rsid w:val="00E8401F"/>
    <w:rsid w:val="00E841CC"/>
    <w:rsid w:val="00E842B4"/>
    <w:rsid w:val="00E845DC"/>
    <w:rsid w:val="00E847B9"/>
    <w:rsid w:val="00E8493D"/>
    <w:rsid w:val="00E849EC"/>
    <w:rsid w:val="00E84BE3"/>
    <w:rsid w:val="00E84D76"/>
    <w:rsid w:val="00E85032"/>
    <w:rsid w:val="00E8521E"/>
    <w:rsid w:val="00E8544C"/>
    <w:rsid w:val="00E85685"/>
    <w:rsid w:val="00E8572A"/>
    <w:rsid w:val="00E859AC"/>
    <w:rsid w:val="00E85A18"/>
    <w:rsid w:val="00E85B2C"/>
    <w:rsid w:val="00E85C12"/>
    <w:rsid w:val="00E85CA5"/>
    <w:rsid w:val="00E85F57"/>
    <w:rsid w:val="00E85F6A"/>
    <w:rsid w:val="00E86270"/>
    <w:rsid w:val="00E8646D"/>
    <w:rsid w:val="00E864ED"/>
    <w:rsid w:val="00E86536"/>
    <w:rsid w:val="00E86577"/>
    <w:rsid w:val="00E865C5"/>
    <w:rsid w:val="00E866B0"/>
    <w:rsid w:val="00E8679E"/>
    <w:rsid w:val="00E8685C"/>
    <w:rsid w:val="00E86C65"/>
    <w:rsid w:val="00E87118"/>
    <w:rsid w:val="00E8724C"/>
    <w:rsid w:val="00E87303"/>
    <w:rsid w:val="00E87375"/>
    <w:rsid w:val="00E87527"/>
    <w:rsid w:val="00E875EC"/>
    <w:rsid w:val="00E87763"/>
    <w:rsid w:val="00E878EE"/>
    <w:rsid w:val="00E87B8A"/>
    <w:rsid w:val="00E87D38"/>
    <w:rsid w:val="00E87FAA"/>
    <w:rsid w:val="00E901E1"/>
    <w:rsid w:val="00E902E0"/>
    <w:rsid w:val="00E904B5"/>
    <w:rsid w:val="00E904C7"/>
    <w:rsid w:val="00E90578"/>
    <w:rsid w:val="00E90877"/>
    <w:rsid w:val="00E90A9C"/>
    <w:rsid w:val="00E90C0F"/>
    <w:rsid w:val="00E90C3F"/>
    <w:rsid w:val="00E90CE5"/>
    <w:rsid w:val="00E90DFE"/>
    <w:rsid w:val="00E9163D"/>
    <w:rsid w:val="00E91784"/>
    <w:rsid w:val="00E918CD"/>
    <w:rsid w:val="00E919C7"/>
    <w:rsid w:val="00E91B04"/>
    <w:rsid w:val="00E91B14"/>
    <w:rsid w:val="00E91E68"/>
    <w:rsid w:val="00E9218F"/>
    <w:rsid w:val="00E92277"/>
    <w:rsid w:val="00E922EC"/>
    <w:rsid w:val="00E923FD"/>
    <w:rsid w:val="00E92829"/>
    <w:rsid w:val="00E9283E"/>
    <w:rsid w:val="00E92A7D"/>
    <w:rsid w:val="00E92B23"/>
    <w:rsid w:val="00E92B50"/>
    <w:rsid w:val="00E92C50"/>
    <w:rsid w:val="00E92D16"/>
    <w:rsid w:val="00E92DBD"/>
    <w:rsid w:val="00E9312A"/>
    <w:rsid w:val="00E9320E"/>
    <w:rsid w:val="00E936FE"/>
    <w:rsid w:val="00E937CD"/>
    <w:rsid w:val="00E938EE"/>
    <w:rsid w:val="00E93BF7"/>
    <w:rsid w:val="00E93E41"/>
    <w:rsid w:val="00E93E53"/>
    <w:rsid w:val="00E94425"/>
    <w:rsid w:val="00E94BBA"/>
    <w:rsid w:val="00E94CD9"/>
    <w:rsid w:val="00E94DFF"/>
    <w:rsid w:val="00E94F29"/>
    <w:rsid w:val="00E94FDA"/>
    <w:rsid w:val="00E95070"/>
    <w:rsid w:val="00E95096"/>
    <w:rsid w:val="00E955FD"/>
    <w:rsid w:val="00E957F4"/>
    <w:rsid w:val="00E95943"/>
    <w:rsid w:val="00E95A3B"/>
    <w:rsid w:val="00E95B5B"/>
    <w:rsid w:val="00E961AF"/>
    <w:rsid w:val="00E9642F"/>
    <w:rsid w:val="00E96725"/>
    <w:rsid w:val="00E96993"/>
    <w:rsid w:val="00E969D8"/>
    <w:rsid w:val="00E96B1D"/>
    <w:rsid w:val="00E96C6E"/>
    <w:rsid w:val="00E96F39"/>
    <w:rsid w:val="00E96FC7"/>
    <w:rsid w:val="00E97094"/>
    <w:rsid w:val="00E97316"/>
    <w:rsid w:val="00E974F4"/>
    <w:rsid w:val="00E9782D"/>
    <w:rsid w:val="00E978A5"/>
    <w:rsid w:val="00E979B1"/>
    <w:rsid w:val="00E97A88"/>
    <w:rsid w:val="00E97CAA"/>
    <w:rsid w:val="00E97FB4"/>
    <w:rsid w:val="00EA022A"/>
    <w:rsid w:val="00EA06DB"/>
    <w:rsid w:val="00EA06F2"/>
    <w:rsid w:val="00EA07AE"/>
    <w:rsid w:val="00EA0A41"/>
    <w:rsid w:val="00EA0A8C"/>
    <w:rsid w:val="00EA0ACE"/>
    <w:rsid w:val="00EA0E7A"/>
    <w:rsid w:val="00EA0FB0"/>
    <w:rsid w:val="00EA1151"/>
    <w:rsid w:val="00EA1A6D"/>
    <w:rsid w:val="00EA1A9B"/>
    <w:rsid w:val="00EA1CE9"/>
    <w:rsid w:val="00EA1FEA"/>
    <w:rsid w:val="00EA20A2"/>
    <w:rsid w:val="00EA20C7"/>
    <w:rsid w:val="00EA20FB"/>
    <w:rsid w:val="00EA2260"/>
    <w:rsid w:val="00EA2481"/>
    <w:rsid w:val="00EA2601"/>
    <w:rsid w:val="00EA26FB"/>
    <w:rsid w:val="00EA27EF"/>
    <w:rsid w:val="00EA2C69"/>
    <w:rsid w:val="00EA2D22"/>
    <w:rsid w:val="00EA2E93"/>
    <w:rsid w:val="00EA301B"/>
    <w:rsid w:val="00EA3067"/>
    <w:rsid w:val="00EA3428"/>
    <w:rsid w:val="00EA3542"/>
    <w:rsid w:val="00EA35B6"/>
    <w:rsid w:val="00EA3612"/>
    <w:rsid w:val="00EA3A3F"/>
    <w:rsid w:val="00EA3ABE"/>
    <w:rsid w:val="00EA3CE7"/>
    <w:rsid w:val="00EA3DFA"/>
    <w:rsid w:val="00EA3FBE"/>
    <w:rsid w:val="00EA4026"/>
    <w:rsid w:val="00EA430B"/>
    <w:rsid w:val="00EA4474"/>
    <w:rsid w:val="00EA45E7"/>
    <w:rsid w:val="00EA46D1"/>
    <w:rsid w:val="00EA4791"/>
    <w:rsid w:val="00EA496E"/>
    <w:rsid w:val="00EA4A4F"/>
    <w:rsid w:val="00EA4B64"/>
    <w:rsid w:val="00EA4EB6"/>
    <w:rsid w:val="00EA4EFB"/>
    <w:rsid w:val="00EA4F34"/>
    <w:rsid w:val="00EA4F7B"/>
    <w:rsid w:val="00EA511B"/>
    <w:rsid w:val="00EA5409"/>
    <w:rsid w:val="00EA5465"/>
    <w:rsid w:val="00EA56D3"/>
    <w:rsid w:val="00EA5741"/>
    <w:rsid w:val="00EA5A7C"/>
    <w:rsid w:val="00EA5B70"/>
    <w:rsid w:val="00EA6033"/>
    <w:rsid w:val="00EA61D5"/>
    <w:rsid w:val="00EA625A"/>
    <w:rsid w:val="00EA67B6"/>
    <w:rsid w:val="00EA6AF5"/>
    <w:rsid w:val="00EA6BFC"/>
    <w:rsid w:val="00EA6C7A"/>
    <w:rsid w:val="00EA6CA9"/>
    <w:rsid w:val="00EA6DB2"/>
    <w:rsid w:val="00EA6E32"/>
    <w:rsid w:val="00EA6E3B"/>
    <w:rsid w:val="00EA700B"/>
    <w:rsid w:val="00EA702C"/>
    <w:rsid w:val="00EA703F"/>
    <w:rsid w:val="00EA7367"/>
    <w:rsid w:val="00EA73C9"/>
    <w:rsid w:val="00EA7447"/>
    <w:rsid w:val="00EA7661"/>
    <w:rsid w:val="00EA7707"/>
    <w:rsid w:val="00EA7970"/>
    <w:rsid w:val="00EA7B44"/>
    <w:rsid w:val="00EA7B8B"/>
    <w:rsid w:val="00EB007A"/>
    <w:rsid w:val="00EB0415"/>
    <w:rsid w:val="00EB068F"/>
    <w:rsid w:val="00EB0854"/>
    <w:rsid w:val="00EB085F"/>
    <w:rsid w:val="00EB0995"/>
    <w:rsid w:val="00EB0AF7"/>
    <w:rsid w:val="00EB0B7F"/>
    <w:rsid w:val="00EB0BAC"/>
    <w:rsid w:val="00EB0C15"/>
    <w:rsid w:val="00EB0D0E"/>
    <w:rsid w:val="00EB0D5F"/>
    <w:rsid w:val="00EB0E8C"/>
    <w:rsid w:val="00EB0FCD"/>
    <w:rsid w:val="00EB0FF7"/>
    <w:rsid w:val="00EB12AF"/>
    <w:rsid w:val="00EB133E"/>
    <w:rsid w:val="00EB13BB"/>
    <w:rsid w:val="00EB13D9"/>
    <w:rsid w:val="00EB16FA"/>
    <w:rsid w:val="00EB170B"/>
    <w:rsid w:val="00EB1C0F"/>
    <w:rsid w:val="00EB1D24"/>
    <w:rsid w:val="00EB1F0E"/>
    <w:rsid w:val="00EB20A8"/>
    <w:rsid w:val="00EB2156"/>
    <w:rsid w:val="00EB2362"/>
    <w:rsid w:val="00EB236A"/>
    <w:rsid w:val="00EB253D"/>
    <w:rsid w:val="00EB2A1F"/>
    <w:rsid w:val="00EB2CBC"/>
    <w:rsid w:val="00EB2D9A"/>
    <w:rsid w:val="00EB2E77"/>
    <w:rsid w:val="00EB3063"/>
    <w:rsid w:val="00EB3067"/>
    <w:rsid w:val="00EB3140"/>
    <w:rsid w:val="00EB3181"/>
    <w:rsid w:val="00EB3487"/>
    <w:rsid w:val="00EB351A"/>
    <w:rsid w:val="00EB3604"/>
    <w:rsid w:val="00EB3683"/>
    <w:rsid w:val="00EB38D9"/>
    <w:rsid w:val="00EB3C59"/>
    <w:rsid w:val="00EB3C79"/>
    <w:rsid w:val="00EB3D3C"/>
    <w:rsid w:val="00EB3D50"/>
    <w:rsid w:val="00EB3D9B"/>
    <w:rsid w:val="00EB3FB5"/>
    <w:rsid w:val="00EB4145"/>
    <w:rsid w:val="00EB4222"/>
    <w:rsid w:val="00EB42C4"/>
    <w:rsid w:val="00EB437D"/>
    <w:rsid w:val="00EB4563"/>
    <w:rsid w:val="00EB45CD"/>
    <w:rsid w:val="00EB46A5"/>
    <w:rsid w:val="00EB4B18"/>
    <w:rsid w:val="00EB4D3A"/>
    <w:rsid w:val="00EB597C"/>
    <w:rsid w:val="00EB59EF"/>
    <w:rsid w:val="00EB5B42"/>
    <w:rsid w:val="00EB5B53"/>
    <w:rsid w:val="00EB5BCA"/>
    <w:rsid w:val="00EB5C55"/>
    <w:rsid w:val="00EB5E8E"/>
    <w:rsid w:val="00EB60E8"/>
    <w:rsid w:val="00EB6257"/>
    <w:rsid w:val="00EB632B"/>
    <w:rsid w:val="00EB6379"/>
    <w:rsid w:val="00EB6740"/>
    <w:rsid w:val="00EB6876"/>
    <w:rsid w:val="00EB6CB7"/>
    <w:rsid w:val="00EB6D2B"/>
    <w:rsid w:val="00EB7021"/>
    <w:rsid w:val="00EB70C6"/>
    <w:rsid w:val="00EB7216"/>
    <w:rsid w:val="00EB722F"/>
    <w:rsid w:val="00EB759F"/>
    <w:rsid w:val="00EB76CF"/>
    <w:rsid w:val="00EB77F2"/>
    <w:rsid w:val="00EB786C"/>
    <w:rsid w:val="00EB78C9"/>
    <w:rsid w:val="00EB796E"/>
    <w:rsid w:val="00EB7F89"/>
    <w:rsid w:val="00EC007E"/>
    <w:rsid w:val="00EC02D2"/>
    <w:rsid w:val="00EC02DC"/>
    <w:rsid w:val="00EC0309"/>
    <w:rsid w:val="00EC03EC"/>
    <w:rsid w:val="00EC0472"/>
    <w:rsid w:val="00EC066A"/>
    <w:rsid w:val="00EC07E2"/>
    <w:rsid w:val="00EC0A22"/>
    <w:rsid w:val="00EC0A50"/>
    <w:rsid w:val="00EC0F64"/>
    <w:rsid w:val="00EC10C1"/>
    <w:rsid w:val="00EC1665"/>
    <w:rsid w:val="00EC16AA"/>
    <w:rsid w:val="00EC1899"/>
    <w:rsid w:val="00EC18AF"/>
    <w:rsid w:val="00EC1C47"/>
    <w:rsid w:val="00EC1C89"/>
    <w:rsid w:val="00EC1CF1"/>
    <w:rsid w:val="00EC20F4"/>
    <w:rsid w:val="00EC224E"/>
    <w:rsid w:val="00EC2312"/>
    <w:rsid w:val="00EC2477"/>
    <w:rsid w:val="00EC2561"/>
    <w:rsid w:val="00EC29AE"/>
    <w:rsid w:val="00EC2AB4"/>
    <w:rsid w:val="00EC2B27"/>
    <w:rsid w:val="00EC3217"/>
    <w:rsid w:val="00EC3296"/>
    <w:rsid w:val="00EC32EF"/>
    <w:rsid w:val="00EC34A0"/>
    <w:rsid w:val="00EC34FF"/>
    <w:rsid w:val="00EC3644"/>
    <w:rsid w:val="00EC38F5"/>
    <w:rsid w:val="00EC3C7D"/>
    <w:rsid w:val="00EC3F6D"/>
    <w:rsid w:val="00EC47A4"/>
    <w:rsid w:val="00EC495A"/>
    <w:rsid w:val="00EC4985"/>
    <w:rsid w:val="00EC4E0C"/>
    <w:rsid w:val="00EC4EEF"/>
    <w:rsid w:val="00EC5371"/>
    <w:rsid w:val="00EC53F2"/>
    <w:rsid w:val="00EC54E0"/>
    <w:rsid w:val="00EC56A1"/>
    <w:rsid w:val="00EC579F"/>
    <w:rsid w:val="00EC57E9"/>
    <w:rsid w:val="00EC5A79"/>
    <w:rsid w:val="00EC5BB6"/>
    <w:rsid w:val="00EC6129"/>
    <w:rsid w:val="00EC629A"/>
    <w:rsid w:val="00EC669D"/>
    <w:rsid w:val="00EC6766"/>
    <w:rsid w:val="00EC690E"/>
    <w:rsid w:val="00EC6E3B"/>
    <w:rsid w:val="00EC6EEE"/>
    <w:rsid w:val="00EC6F92"/>
    <w:rsid w:val="00EC70E5"/>
    <w:rsid w:val="00EC7209"/>
    <w:rsid w:val="00EC74D4"/>
    <w:rsid w:val="00EC74D5"/>
    <w:rsid w:val="00EC79E7"/>
    <w:rsid w:val="00EC7A30"/>
    <w:rsid w:val="00EC7D93"/>
    <w:rsid w:val="00EC7F96"/>
    <w:rsid w:val="00ED03B9"/>
    <w:rsid w:val="00ED0508"/>
    <w:rsid w:val="00ED05E1"/>
    <w:rsid w:val="00ED0761"/>
    <w:rsid w:val="00ED096D"/>
    <w:rsid w:val="00ED09B0"/>
    <w:rsid w:val="00ED0E9E"/>
    <w:rsid w:val="00ED0EC8"/>
    <w:rsid w:val="00ED0EF7"/>
    <w:rsid w:val="00ED0FE8"/>
    <w:rsid w:val="00ED10DE"/>
    <w:rsid w:val="00ED113C"/>
    <w:rsid w:val="00ED12B7"/>
    <w:rsid w:val="00ED165E"/>
    <w:rsid w:val="00ED1927"/>
    <w:rsid w:val="00ED1BF9"/>
    <w:rsid w:val="00ED1CC4"/>
    <w:rsid w:val="00ED1FCF"/>
    <w:rsid w:val="00ED21EA"/>
    <w:rsid w:val="00ED23E6"/>
    <w:rsid w:val="00ED2A42"/>
    <w:rsid w:val="00ED2AF4"/>
    <w:rsid w:val="00ED2CA8"/>
    <w:rsid w:val="00ED2F2E"/>
    <w:rsid w:val="00ED2F8D"/>
    <w:rsid w:val="00ED307E"/>
    <w:rsid w:val="00ED33ED"/>
    <w:rsid w:val="00ED3698"/>
    <w:rsid w:val="00ED3753"/>
    <w:rsid w:val="00ED3A4D"/>
    <w:rsid w:val="00ED3B82"/>
    <w:rsid w:val="00ED3BFA"/>
    <w:rsid w:val="00ED3C7F"/>
    <w:rsid w:val="00ED3F2F"/>
    <w:rsid w:val="00ED44FC"/>
    <w:rsid w:val="00ED45E4"/>
    <w:rsid w:val="00ED460E"/>
    <w:rsid w:val="00ED4644"/>
    <w:rsid w:val="00ED476B"/>
    <w:rsid w:val="00ED5086"/>
    <w:rsid w:val="00ED5202"/>
    <w:rsid w:val="00ED52AE"/>
    <w:rsid w:val="00ED5366"/>
    <w:rsid w:val="00ED5373"/>
    <w:rsid w:val="00ED5746"/>
    <w:rsid w:val="00ED58A8"/>
    <w:rsid w:val="00ED58E7"/>
    <w:rsid w:val="00ED595D"/>
    <w:rsid w:val="00ED5B2E"/>
    <w:rsid w:val="00ED5BA8"/>
    <w:rsid w:val="00ED5F08"/>
    <w:rsid w:val="00ED6098"/>
    <w:rsid w:val="00ED642E"/>
    <w:rsid w:val="00ED649A"/>
    <w:rsid w:val="00ED659C"/>
    <w:rsid w:val="00ED6636"/>
    <w:rsid w:val="00ED719F"/>
    <w:rsid w:val="00ED7698"/>
    <w:rsid w:val="00ED77AA"/>
    <w:rsid w:val="00ED7AF2"/>
    <w:rsid w:val="00ED7CFB"/>
    <w:rsid w:val="00EE047C"/>
    <w:rsid w:val="00EE04D5"/>
    <w:rsid w:val="00EE056E"/>
    <w:rsid w:val="00EE06EE"/>
    <w:rsid w:val="00EE0970"/>
    <w:rsid w:val="00EE0B04"/>
    <w:rsid w:val="00EE0B24"/>
    <w:rsid w:val="00EE0B40"/>
    <w:rsid w:val="00EE0C99"/>
    <w:rsid w:val="00EE0C9B"/>
    <w:rsid w:val="00EE0E4A"/>
    <w:rsid w:val="00EE0E56"/>
    <w:rsid w:val="00EE0F56"/>
    <w:rsid w:val="00EE1059"/>
    <w:rsid w:val="00EE18DB"/>
    <w:rsid w:val="00EE1AB7"/>
    <w:rsid w:val="00EE1C28"/>
    <w:rsid w:val="00EE1C5B"/>
    <w:rsid w:val="00EE1CCC"/>
    <w:rsid w:val="00EE1F88"/>
    <w:rsid w:val="00EE206B"/>
    <w:rsid w:val="00EE20F8"/>
    <w:rsid w:val="00EE21A4"/>
    <w:rsid w:val="00EE2251"/>
    <w:rsid w:val="00EE24AE"/>
    <w:rsid w:val="00EE24F2"/>
    <w:rsid w:val="00EE2536"/>
    <w:rsid w:val="00EE26FD"/>
    <w:rsid w:val="00EE28A2"/>
    <w:rsid w:val="00EE2A83"/>
    <w:rsid w:val="00EE2A8A"/>
    <w:rsid w:val="00EE2B93"/>
    <w:rsid w:val="00EE2BB2"/>
    <w:rsid w:val="00EE2D82"/>
    <w:rsid w:val="00EE361C"/>
    <w:rsid w:val="00EE3710"/>
    <w:rsid w:val="00EE3855"/>
    <w:rsid w:val="00EE3D21"/>
    <w:rsid w:val="00EE3EB4"/>
    <w:rsid w:val="00EE40DA"/>
    <w:rsid w:val="00EE4155"/>
    <w:rsid w:val="00EE425B"/>
    <w:rsid w:val="00EE4283"/>
    <w:rsid w:val="00EE4534"/>
    <w:rsid w:val="00EE4838"/>
    <w:rsid w:val="00EE4AE4"/>
    <w:rsid w:val="00EE4B0E"/>
    <w:rsid w:val="00EE4BAF"/>
    <w:rsid w:val="00EE4BCE"/>
    <w:rsid w:val="00EE4FB4"/>
    <w:rsid w:val="00EE5056"/>
    <w:rsid w:val="00EE518A"/>
    <w:rsid w:val="00EE52C1"/>
    <w:rsid w:val="00EE5457"/>
    <w:rsid w:val="00EE5597"/>
    <w:rsid w:val="00EE5AC3"/>
    <w:rsid w:val="00EE5CAA"/>
    <w:rsid w:val="00EE5CB8"/>
    <w:rsid w:val="00EE5D8C"/>
    <w:rsid w:val="00EE5F85"/>
    <w:rsid w:val="00EE62BC"/>
    <w:rsid w:val="00EE6330"/>
    <w:rsid w:val="00EE6332"/>
    <w:rsid w:val="00EE65A9"/>
    <w:rsid w:val="00EE6692"/>
    <w:rsid w:val="00EE675D"/>
    <w:rsid w:val="00EE6921"/>
    <w:rsid w:val="00EE6AED"/>
    <w:rsid w:val="00EE6B4E"/>
    <w:rsid w:val="00EE6D49"/>
    <w:rsid w:val="00EE6D65"/>
    <w:rsid w:val="00EE6E02"/>
    <w:rsid w:val="00EE6F2B"/>
    <w:rsid w:val="00EE6FF8"/>
    <w:rsid w:val="00EE717D"/>
    <w:rsid w:val="00EE71D7"/>
    <w:rsid w:val="00EE739E"/>
    <w:rsid w:val="00EE771B"/>
    <w:rsid w:val="00EE7BE5"/>
    <w:rsid w:val="00EE7E31"/>
    <w:rsid w:val="00EF032F"/>
    <w:rsid w:val="00EF03BA"/>
    <w:rsid w:val="00EF03F5"/>
    <w:rsid w:val="00EF0980"/>
    <w:rsid w:val="00EF0CB9"/>
    <w:rsid w:val="00EF0CE9"/>
    <w:rsid w:val="00EF0FF3"/>
    <w:rsid w:val="00EF10DD"/>
    <w:rsid w:val="00EF111F"/>
    <w:rsid w:val="00EF1125"/>
    <w:rsid w:val="00EF1252"/>
    <w:rsid w:val="00EF137F"/>
    <w:rsid w:val="00EF1553"/>
    <w:rsid w:val="00EF16AC"/>
    <w:rsid w:val="00EF1722"/>
    <w:rsid w:val="00EF18C3"/>
    <w:rsid w:val="00EF1D1B"/>
    <w:rsid w:val="00EF1FB2"/>
    <w:rsid w:val="00EF214F"/>
    <w:rsid w:val="00EF220C"/>
    <w:rsid w:val="00EF2280"/>
    <w:rsid w:val="00EF2405"/>
    <w:rsid w:val="00EF2443"/>
    <w:rsid w:val="00EF251E"/>
    <w:rsid w:val="00EF281B"/>
    <w:rsid w:val="00EF295E"/>
    <w:rsid w:val="00EF2C41"/>
    <w:rsid w:val="00EF2C5F"/>
    <w:rsid w:val="00EF2C70"/>
    <w:rsid w:val="00EF2E3E"/>
    <w:rsid w:val="00EF2EC0"/>
    <w:rsid w:val="00EF3099"/>
    <w:rsid w:val="00EF32B8"/>
    <w:rsid w:val="00EF3400"/>
    <w:rsid w:val="00EF361E"/>
    <w:rsid w:val="00EF36D3"/>
    <w:rsid w:val="00EF3871"/>
    <w:rsid w:val="00EF3A50"/>
    <w:rsid w:val="00EF3BFC"/>
    <w:rsid w:val="00EF3CC9"/>
    <w:rsid w:val="00EF3E8B"/>
    <w:rsid w:val="00EF4161"/>
    <w:rsid w:val="00EF42B2"/>
    <w:rsid w:val="00EF433B"/>
    <w:rsid w:val="00EF4804"/>
    <w:rsid w:val="00EF4AE6"/>
    <w:rsid w:val="00EF4B28"/>
    <w:rsid w:val="00EF4BE3"/>
    <w:rsid w:val="00EF4D64"/>
    <w:rsid w:val="00EF5154"/>
    <w:rsid w:val="00EF536B"/>
    <w:rsid w:val="00EF587D"/>
    <w:rsid w:val="00EF5A95"/>
    <w:rsid w:val="00EF5CB0"/>
    <w:rsid w:val="00EF5CCB"/>
    <w:rsid w:val="00EF6300"/>
    <w:rsid w:val="00EF6497"/>
    <w:rsid w:val="00EF6567"/>
    <w:rsid w:val="00EF6ABC"/>
    <w:rsid w:val="00EF6B02"/>
    <w:rsid w:val="00EF6D03"/>
    <w:rsid w:val="00EF6ED7"/>
    <w:rsid w:val="00EF6F6F"/>
    <w:rsid w:val="00EF70C4"/>
    <w:rsid w:val="00EF71ED"/>
    <w:rsid w:val="00EF73D4"/>
    <w:rsid w:val="00EF767E"/>
    <w:rsid w:val="00EF78E7"/>
    <w:rsid w:val="00EF7952"/>
    <w:rsid w:val="00EF7B6A"/>
    <w:rsid w:val="00EF7DEE"/>
    <w:rsid w:val="00EF7ED3"/>
    <w:rsid w:val="00EF7F71"/>
    <w:rsid w:val="00F001F9"/>
    <w:rsid w:val="00F006CC"/>
    <w:rsid w:val="00F0088B"/>
    <w:rsid w:val="00F00995"/>
    <w:rsid w:val="00F00A72"/>
    <w:rsid w:val="00F00B74"/>
    <w:rsid w:val="00F00C52"/>
    <w:rsid w:val="00F00EDD"/>
    <w:rsid w:val="00F013FA"/>
    <w:rsid w:val="00F0141A"/>
    <w:rsid w:val="00F01543"/>
    <w:rsid w:val="00F0154C"/>
    <w:rsid w:val="00F015B5"/>
    <w:rsid w:val="00F01808"/>
    <w:rsid w:val="00F01DFF"/>
    <w:rsid w:val="00F02567"/>
    <w:rsid w:val="00F0276F"/>
    <w:rsid w:val="00F02932"/>
    <w:rsid w:val="00F029C9"/>
    <w:rsid w:val="00F02BA1"/>
    <w:rsid w:val="00F02C92"/>
    <w:rsid w:val="00F02D62"/>
    <w:rsid w:val="00F02E28"/>
    <w:rsid w:val="00F030C2"/>
    <w:rsid w:val="00F030DD"/>
    <w:rsid w:val="00F031B0"/>
    <w:rsid w:val="00F032A6"/>
    <w:rsid w:val="00F032BB"/>
    <w:rsid w:val="00F033B2"/>
    <w:rsid w:val="00F0351A"/>
    <w:rsid w:val="00F03B3E"/>
    <w:rsid w:val="00F03F23"/>
    <w:rsid w:val="00F0405F"/>
    <w:rsid w:val="00F04181"/>
    <w:rsid w:val="00F044E7"/>
    <w:rsid w:val="00F04543"/>
    <w:rsid w:val="00F0463C"/>
    <w:rsid w:val="00F046A8"/>
    <w:rsid w:val="00F0483B"/>
    <w:rsid w:val="00F04904"/>
    <w:rsid w:val="00F04B16"/>
    <w:rsid w:val="00F04B49"/>
    <w:rsid w:val="00F04E35"/>
    <w:rsid w:val="00F04FBE"/>
    <w:rsid w:val="00F0515A"/>
    <w:rsid w:val="00F051CB"/>
    <w:rsid w:val="00F052D1"/>
    <w:rsid w:val="00F052DB"/>
    <w:rsid w:val="00F05322"/>
    <w:rsid w:val="00F0549E"/>
    <w:rsid w:val="00F05613"/>
    <w:rsid w:val="00F05702"/>
    <w:rsid w:val="00F05ADD"/>
    <w:rsid w:val="00F05B76"/>
    <w:rsid w:val="00F05F0D"/>
    <w:rsid w:val="00F05F93"/>
    <w:rsid w:val="00F060ED"/>
    <w:rsid w:val="00F0616E"/>
    <w:rsid w:val="00F062F5"/>
    <w:rsid w:val="00F06311"/>
    <w:rsid w:val="00F063CF"/>
    <w:rsid w:val="00F064B4"/>
    <w:rsid w:val="00F066D8"/>
    <w:rsid w:val="00F06982"/>
    <w:rsid w:val="00F06A4E"/>
    <w:rsid w:val="00F06A56"/>
    <w:rsid w:val="00F06AB7"/>
    <w:rsid w:val="00F06E52"/>
    <w:rsid w:val="00F074B7"/>
    <w:rsid w:val="00F077DA"/>
    <w:rsid w:val="00F078BB"/>
    <w:rsid w:val="00F078DA"/>
    <w:rsid w:val="00F079A1"/>
    <w:rsid w:val="00F07C47"/>
    <w:rsid w:val="00F07D6B"/>
    <w:rsid w:val="00F100D1"/>
    <w:rsid w:val="00F101F9"/>
    <w:rsid w:val="00F1020B"/>
    <w:rsid w:val="00F10314"/>
    <w:rsid w:val="00F1033D"/>
    <w:rsid w:val="00F1045C"/>
    <w:rsid w:val="00F104D0"/>
    <w:rsid w:val="00F1051E"/>
    <w:rsid w:val="00F10579"/>
    <w:rsid w:val="00F107F2"/>
    <w:rsid w:val="00F109A1"/>
    <w:rsid w:val="00F10FC7"/>
    <w:rsid w:val="00F10FDB"/>
    <w:rsid w:val="00F10FE7"/>
    <w:rsid w:val="00F110C1"/>
    <w:rsid w:val="00F114F9"/>
    <w:rsid w:val="00F1154B"/>
    <w:rsid w:val="00F11732"/>
    <w:rsid w:val="00F11850"/>
    <w:rsid w:val="00F119CD"/>
    <w:rsid w:val="00F11A7A"/>
    <w:rsid w:val="00F11DA1"/>
    <w:rsid w:val="00F11ED3"/>
    <w:rsid w:val="00F12152"/>
    <w:rsid w:val="00F12395"/>
    <w:rsid w:val="00F12827"/>
    <w:rsid w:val="00F128D3"/>
    <w:rsid w:val="00F12914"/>
    <w:rsid w:val="00F12A65"/>
    <w:rsid w:val="00F12A74"/>
    <w:rsid w:val="00F12C9E"/>
    <w:rsid w:val="00F12CA2"/>
    <w:rsid w:val="00F12D53"/>
    <w:rsid w:val="00F12E51"/>
    <w:rsid w:val="00F133B9"/>
    <w:rsid w:val="00F134C4"/>
    <w:rsid w:val="00F134C5"/>
    <w:rsid w:val="00F13853"/>
    <w:rsid w:val="00F13ACD"/>
    <w:rsid w:val="00F13B61"/>
    <w:rsid w:val="00F13BBD"/>
    <w:rsid w:val="00F13CA0"/>
    <w:rsid w:val="00F141EB"/>
    <w:rsid w:val="00F142EB"/>
    <w:rsid w:val="00F14463"/>
    <w:rsid w:val="00F14561"/>
    <w:rsid w:val="00F146DC"/>
    <w:rsid w:val="00F1471E"/>
    <w:rsid w:val="00F148C7"/>
    <w:rsid w:val="00F148F0"/>
    <w:rsid w:val="00F14BBB"/>
    <w:rsid w:val="00F14BEB"/>
    <w:rsid w:val="00F1507F"/>
    <w:rsid w:val="00F151B4"/>
    <w:rsid w:val="00F151BB"/>
    <w:rsid w:val="00F15250"/>
    <w:rsid w:val="00F15361"/>
    <w:rsid w:val="00F154A4"/>
    <w:rsid w:val="00F156F9"/>
    <w:rsid w:val="00F15941"/>
    <w:rsid w:val="00F159D4"/>
    <w:rsid w:val="00F15B07"/>
    <w:rsid w:val="00F15B7E"/>
    <w:rsid w:val="00F15BA9"/>
    <w:rsid w:val="00F15D36"/>
    <w:rsid w:val="00F15D98"/>
    <w:rsid w:val="00F16124"/>
    <w:rsid w:val="00F1675E"/>
    <w:rsid w:val="00F167A8"/>
    <w:rsid w:val="00F16A38"/>
    <w:rsid w:val="00F16C12"/>
    <w:rsid w:val="00F16DFB"/>
    <w:rsid w:val="00F16E04"/>
    <w:rsid w:val="00F171E2"/>
    <w:rsid w:val="00F17218"/>
    <w:rsid w:val="00F17235"/>
    <w:rsid w:val="00F1728E"/>
    <w:rsid w:val="00F1734F"/>
    <w:rsid w:val="00F1779C"/>
    <w:rsid w:val="00F17883"/>
    <w:rsid w:val="00F17891"/>
    <w:rsid w:val="00F1792D"/>
    <w:rsid w:val="00F1797D"/>
    <w:rsid w:val="00F17AE9"/>
    <w:rsid w:val="00F17D64"/>
    <w:rsid w:val="00F17D9D"/>
    <w:rsid w:val="00F17E64"/>
    <w:rsid w:val="00F17EF6"/>
    <w:rsid w:val="00F20672"/>
    <w:rsid w:val="00F206FD"/>
    <w:rsid w:val="00F207F6"/>
    <w:rsid w:val="00F20846"/>
    <w:rsid w:val="00F208F6"/>
    <w:rsid w:val="00F20B14"/>
    <w:rsid w:val="00F20F6E"/>
    <w:rsid w:val="00F2158E"/>
    <w:rsid w:val="00F21C7C"/>
    <w:rsid w:val="00F21EA8"/>
    <w:rsid w:val="00F21F9B"/>
    <w:rsid w:val="00F21FD3"/>
    <w:rsid w:val="00F22131"/>
    <w:rsid w:val="00F222BA"/>
    <w:rsid w:val="00F22374"/>
    <w:rsid w:val="00F22582"/>
    <w:rsid w:val="00F22696"/>
    <w:rsid w:val="00F22760"/>
    <w:rsid w:val="00F22832"/>
    <w:rsid w:val="00F22980"/>
    <w:rsid w:val="00F229C0"/>
    <w:rsid w:val="00F22F23"/>
    <w:rsid w:val="00F2300A"/>
    <w:rsid w:val="00F23127"/>
    <w:rsid w:val="00F234D6"/>
    <w:rsid w:val="00F2378B"/>
    <w:rsid w:val="00F239A9"/>
    <w:rsid w:val="00F23A89"/>
    <w:rsid w:val="00F23BE3"/>
    <w:rsid w:val="00F23D69"/>
    <w:rsid w:val="00F23E29"/>
    <w:rsid w:val="00F24094"/>
    <w:rsid w:val="00F2417E"/>
    <w:rsid w:val="00F245B4"/>
    <w:rsid w:val="00F245D4"/>
    <w:rsid w:val="00F2476C"/>
    <w:rsid w:val="00F2482F"/>
    <w:rsid w:val="00F248A2"/>
    <w:rsid w:val="00F24BEF"/>
    <w:rsid w:val="00F24CD5"/>
    <w:rsid w:val="00F24D94"/>
    <w:rsid w:val="00F25224"/>
    <w:rsid w:val="00F2546A"/>
    <w:rsid w:val="00F256E6"/>
    <w:rsid w:val="00F25A43"/>
    <w:rsid w:val="00F25CA1"/>
    <w:rsid w:val="00F26180"/>
    <w:rsid w:val="00F261EC"/>
    <w:rsid w:val="00F264EF"/>
    <w:rsid w:val="00F266D5"/>
    <w:rsid w:val="00F26701"/>
    <w:rsid w:val="00F26A0A"/>
    <w:rsid w:val="00F27366"/>
    <w:rsid w:val="00F27454"/>
    <w:rsid w:val="00F2760D"/>
    <w:rsid w:val="00F2787B"/>
    <w:rsid w:val="00F278A3"/>
    <w:rsid w:val="00F27AD6"/>
    <w:rsid w:val="00F27CEC"/>
    <w:rsid w:val="00F27D22"/>
    <w:rsid w:val="00F27DE1"/>
    <w:rsid w:val="00F27E6B"/>
    <w:rsid w:val="00F3008E"/>
    <w:rsid w:val="00F3078F"/>
    <w:rsid w:val="00F307F1"/>
    <w:rsid w:val="00F30950"/>
    <w:rsid w:val="00F30AA9"/>
    <w:rsid w:val="00F30AC6"/>
    <w:rsid w:val="00F30D4E"/>
    <w:rsid w:val="00F310A8"/>
    <w:rsid w:val="00F31272"/>
    <w:rsid w:val="00F31417"/>
    <w:rsid w:val="00F314E6"/>
    <w:rsid w:val="00F3172F"/>
    <w:rsid w:val="00F317E0"/>
    <w:rsid w:val="00F31991"/>
    <w:rsid w:val="00F31CB7"/>
    <w:rsid w:val="00F31E4A"/>
    <w:rsid w:val="00F31F80"/>
    <w:rsid w:val="00F321C4"/>
    <w:rsid w:val="00F32299"/>
    <w:rsid w:val="00F322FD"/>
    <w:rsid w:val="00F32358"/>
    <w:rsid w:val="00F32415"/>
    <w:rsid w:val="00F3263F"/>
    <w:rsid w:val="00F32854"/>
    <w:rsid w:val="00F32903"/>
    <w:rsid w:val="00F32AC4"/>
    <w:rsid w:val="00F32AE4"/>
    <w:rsid w:val="00F32CC6"/>
    <w:rsid w:val="00F32FD6"/>
    <w:rsid w:val="00F3315A"/>
    <w:rsid w:val="00F334D7"/>
    <w:rsid w:val="00F336F7"/>
    <w:rsid w:val="00F33768"/>
    <w:rsid w:val="00F337EF"/>
    <w:rsid w:val="00F3387B"/>
    <w:rsid w:val="00F33AA7"/>
    <w:rsid w:val="00F33AE5"/>
    <w:rsid w:val="00F33BF4"/>
    <w:rsid w:val="00F33BFA"/>
    <w:rsid w:val="00F33C0C"/>
    <w:rsid w:val="00F33CBA"/>
    <w:rsid w:val="00F33E9E"/>
    <w:rsid w:val="00F341D2"/>
    <w:rsid w:val="00F343C8"/>
    <w:rsid w:val="00F347DC"/>
    <w:rsid w:val="00F34847"/>
    <w:rsid w:val="00F34981"/>
    <w:rsid w:val="00F34CCA"/>
    <w:rsid w:val="00F34E29"/>
    <w:rsid w:val="00F34F2C"/>
    <w:rsid w:val="00F34FB0"/>
    <w:rsid w:val="00F3524A"/>
    <w:rsid w:val="00F3526B"/>
    <w:rsid w:val="00F35423"/>
    <w:rsid w:val="00F35ABC"/>
    <w:rsid w:val="00F35B81"/>
    <w:rsid w:val="00F35C7B"/>
    <w:rsid w:val="00F35DC8"/>
    <w:rsid w:val="00F35E71"/>
    <w:rsid w:val="00F35F31"/>
    <w:rsid w:val="00F3621B"/>
    <w:rsid w:val="00F362B6"/>
    <w:rsid w:val="00F363E5"/>
    <w:rsid w:val="00F36450"/>
    <w:rsid w:val="00F36460"/>
    <w:rsid w:val="00F367CF"/>
    <w:rsid w:val="00F3689E"/>
    <w:rsid w:val="00F368DF"/>
    <w:rsid w:val="00F36A5F"/>
    <w:rsid w:val="00F36A92"/>
    <w:rsid w:val="00F36C29"/>
    <w:rsid w:val="00F36D1A"/>
    <w:rsid w:val="00F36DD9"/>
    <w:rsid w:val="00F36E06"/>
    <w:rsid w:val="00F36F52"/>
    <w:rsid w:val="00F370EE"/>
    <w:rsid w:val="00F372DD"/>
    <w:rsid w:val="00F37453"/>
    <w:rsid w:val="00F37557"/>
    <w:rsid w:val="00F37578"/>
    <w:rsid w:val="00F37628"/>
    <w:rsid w:val="00F377CA"/>
    <w:rsid w:val="00F37B43"/>
    <w:rsid w:val="00F37B66"/>
    <w:rsid w:val="00F37C13"/>
    <w:rsid w:val="00F37C17"/>
    <w:rsid w:val="00F37CFC"/>
    <w:rsid w:val="00F37FAE"/>
    <w:rsid w:val="00F37FF7"/>
    <w:rsid w:val="00F4012B"/>
    <w:rsid w:val="00F402EF"/>
    <w:rsid w:val="00F402F6"/>
    <w:rsid w:val="00F40524"/>
    <w:rsid w:val="00F405EA"/>
    <w:rsid w:val="00F40685"/>
    <w:rsid w:val="00F40B04"/>
    <w:rsid w:val="00F40DD1"/>
    <w:rsid w:val="00F40EFE"/>
    <w:rsid w:val="00F41008"/>
    <w:rsid w:val="00F41178"/>
    <w:rsid w:val="00F4147F"/>
    <w:rsid w:val="00F417C2"/>
    <w:rsid w:val="00F41A80"/>
    <w:rsid w:val="00F41B1A"/>
    <w:rsid w:val="00F41E1F"/>
    <w:rsid w:val="00F41F87"/>
    <w:rsid w:val="00F420D9"/>
    <w:rsid w:val="00F42182"/>
    <w:rsid w:val="00F42279"/>
    <w:rsid w:val="00F424D4"/>
    <w:rsid w:val="00F42660"/>
    <w:rsid w:val="00F427AD"/>
    <w:rsid w:val="00F42A2F"/>
    <w:rsid w:val="00F42AFF"/>
    <w:rsid w:val="00F42E0D"/>
    <w:rsid w:val="00F42F16"/>
    <w:rsid w:val="00F4309A"/>
    <w:rsid w:val="00F4318A"/>
    <w:rsid w:val="00F431DB"/>
    <w:rsid w:val="00F43263"/>
    <w:rsid w:val="00F4344C"/>
    <w:rsid w:val="00F43498"/>
    <w:rsid w:val="00F43699"/>
    <w:rsid w:val="00F437FF"/>
    <w:rsid w:val="00F439DA"/>
    <w:rsid w:val="00F439F7"/>
    <w:rsid w:val="00F43A13"/>
    <w:rsid w:val="00F43CC6"/>
    <w:rsid w:val="00F43CFC"/>
    <w:rsid w:val="00F43E08"/>
    <w:rsid w:val="00F442A0"/>
    <w:rsid w:val="00F442E0"/>
    <w:rsid w:val="00F4437B"/>
    <w:rsid w:val="00F44423"/>
    <w:rsid w:val="00F4444D"/>
    <w:rsid w:val="00F445CB"/>
    <w:rsid w:val="00F4464D"/>
    <w:rsid w:val="00F449C1"/>
    <w:rsid w:val="00F449E8"/>
    <w:rsid w:val="00F44D8F"/>
    <w:rsid w:val="00F44EFB"/>
    <w:rsid w:val="00F44F89"/>
    <w:rsid w:val="00F4513B"/>
    <w:rsid w:val="00F451BC"/>
    <w:rsid w:val="00F45285"/>
    <w:rsid w:val="00F452CD"/>
    <w:rsid w:val="00F45508"/>
    <w:rsid w:val="00F457B7"/>
    <w:rsid w:val="00F458E7"/>
    <w:rsid w:val="00F45AA7"/>
    <w:rsid w:val="00F45DF1"/>
    <w:rsid w:val="00F460F3"/>
    <w:rsid w:val="00F461D2"/>
    <w:rsid w:val="00F461D6"/>
    <w:rsid w:val="00F46451"/>
    <w:rsid w:val="00F46544"/>
    <w:rsid w:val="00F467A6"/>
    <w:rsid w:val="00F469C2"/>
    <w:rsid w:val="00F46B34"/>
    <w:rsid w:val="00F46CB0"/>
    <w:rsid w:val="00F46E7A"/>
    <w:rsid w:val="00F470DD"/>
    <w:rsid w:val="00F4710F"/>
    <w:rsid w:val="00F476AD"/>
    <w:rsid w:val="00F476D1"/>
    <w:rsid w:val="00F47842"/>
    <w:rsid w:val="00F4799B"/>
    <w:rsid w:val="00F479D6"/>
    <w:rsid w:val="00F47E12"/>
    <w:rsid w:val="00F50002"/>
    <w:rsid w:val="00F5023A"/>
    <w:rsid w:val="00F508B8"/>
    <w:rsid w:val="00F50911"/>
    <w:rsid w:val="00F5094B"/>
    <w:rsid w:val="00F50A2B"/>
    <w:rsid w:val="00F50AF1"/>
    <w:rsid w:val="00F50B6E"/>
    <w:rsid w:val="00F50C12"/>
    <w:rsid w:val="00F50CDA"/>
    <w:rsid w:val="00F50CF7"/>
    <w:rsid w:val="00F50E04"/>
    <w:rsid w:val="00F50F8A"/>
    <w:rsid w:val="00F510DD"/>
    <w:rsid w:val="00F51145"/>
    <w:rsid w:val="00F511B7"/>
    <w:rsid w:val="00F5122A"/>
    <w:rsid w:val="00F512AD"/>
    <w:rsid w:val="00F51305"/>
    <w:rsid w:val="00F513E8"/>
    <w:rsid w:val="00F51401"/>
    <w:rsid w:val="00F5145F"/>
    <w:rsid w:val="00F518CE"/>
    <w:rsid w:val="00F51925"/>
    <w:rsid w:val="00F51B95"/>
    <w:rsid w:val="00F51E23"/>
    <w:rsid w:val="00F51E60"/>
    <w:rsid w:val="00F525B9"/>
    <w:rsid w:val="00F52666"/>
    <w:rsid w:val="00F5279E"/>
    <w:rsid w:val="00F527A2"/>
    <w:rsid w:val="00F52863"/>
    <w:rsid w:val="00F52957"/>
    <w:rsid w:val="00F529D0"/>
    <w:rsid w:val="00F52BE0"/>
    <w:rsid w:val="00F52DE9"/>
    <w:rsid w:val="00F52E5E"/>
    <w:rsid w:val="00F52F51"/>
    <w:rsid w:val="00F52FC5"/>
    <w:rsid w:val="00F5316D"/>
    <w:rsid w:val="00F53443"/>
    <w:rsid w:val="00F534F8"/>
    <w:rsid w:val="00F535EF"/>
    <w:rsid w:val="00F536F5"/>
    <w:rsid w:val="00F53756"/>
    <w:rsid w:val="00F53A1E"/>
    <w:rsid w:val="00F53B35"/>
    <w:rsid w:val="00F53B7C"/>
    <w:rsid w:val="00F542D9"/>
    <w:rsid w:val="00F5433D"/>
    <w:rsid w:val="00F545EE"/>
    <w:rsid w:val="00F5491A"/>
    <w:rsid w:val="00F54C80"/>
    <w:rsid w:val="00F54E0A"/>
    <w:rsid w:val="00F54EC6"/>
    <w:rsid w:val="00F54EE7"/>
    <w:rsid w:val="00F54FB9"/>
    <w:rsid w:val="00F55112"/>
    <w:rsid w:val="00F55615"/>
    <w:rsid w:val="00F557BB"/>
    <w:rsid w:val="00F558FC"/>
    <w:rsid w:val="00F5595D"/>
    <w:rsid w:val="00F55A05"/>
    <w:rsid w:val="00F55B65"/>
    <w:rsid w:val="00F55CA8"/>
    <w:rsid w:val="00F55F5E"/>
    <w:rsid w:val="00F566A3"/>
    <w:rsid w:val="00F5674F"/>
    <w:rsid w:val="00F5675C"/>
    <w:rsid w:val="00F56791"/>
    <w:rsid w:val="00F56812"/>
    <w:rsid w:val="00F56898"/>
    <w:rsid w:val="00F56D10"/>
    <w:rsid w:val="00F56D3C"/>
    <w:rsid w:val="00F56D8B"/>
    <w:rsid w:val="00F56FE6"/>
    <w:rsid w:val="00F5734C"/>
    <w:rsid w:val="00F57610"/>
    <w:rsid w:val="00F57960"/>
    <w:rsid w:val="00F57B9F"/>
    <w:rsid w:val="00F57BA1"/>
    <w:rsid w:val="00F57D34"/>
    <w:rsid w:val="00F57E5B"/>
    <w:rsid w:val="00F60128"/>
    <w:rsid w:val="00F6017B"/>
    <w:rsid w:val="00F604B3"/>
    <w:rsid w:val="00F6062E"/>
    <w:rsid w:val="00F6066A"/>
    <w:rsid w:val="00F60714"/>
    <w:rsid w:val="00F608BD"/>
    <w:rsid w:val="00F609E5"/>
    <w:rsid w:val="00F60A46"/>
    <w:rsid w:val="00F60A7C"/>
    <w:rsid w:val="00F60AE8"/>
    <w:rsid w:val="00F60B5F"/>
    <w:rsid w:val="00F60BFA"/>
    <w:rsid w:val="00F60C1B"/>
    <w:rsid w:val="00F60CFC"/>
    <w:rsid w:val="00F60D6F"/>
    <w:rsid w:val="00F60DBE"/>
    <w:rsid w:val="00F61075"/>
    <w:rsid w:val="00F6109D"/>
    <w:rsid w:val="00F610B1"/>
    <w:rsid w:val="00F610D1"/>
    <w:rsid w:val="00F612E8"/>
    <w:rsid w:val="00F61512"/>
    <w:rsid w:val="00F616AA"/>
    <w:rsid w:val="00F61735"/>
    <w:rsid w:val="00F61AF6"/>
    <w:rsid w:val="00F61B06"/>
    <w:rsid w:val="00F61BD7"/>
    <w:rsid w:val="00F61CD9"/>
    <w:rsid w:val="00F61F04"/>
    <w:rsid w:val="00F6215D"/>
    <w:rsid w:val="00F6220C"/>
    <w:rsid w:val="00F6246C"/>
    <w:rsid w:val="00F62624"/>
    <w:rsid w:val="00F62ADA"/>
    <w:rsid w:val="00F62EEC"/>
    <w:rsid w:val="00F62F36"/>
    <w:rsid w:val="00F63176"/>
    <w:rsid w:val="00F63266"/>
    <w:rsid w:val="00F632C7"/>
    <w:rsid w:val="00F632EC"/>
    <w:rsid w:val="00F633A8"/>
    <w:rsid w:val="00F633C8"/>
    <w:rsid w:val="00F63424"/>
    <w:rsid w:val="00F63426"/>
    <w:rsid w:val="00F63574"/>
    <w:rsid w:val="00F63929"/>
    <w:rsid w:val="00F6394F"/>
    <w:rsid w:val="00F639A5"/>
    <w:rsid w:val="00F639E0"/>
    <w:rsid w:val="00F63D01"/>
    <w:rsid w:val="00F63FCA"/>
    <w:rsid w:val="00F64129"/>
    <w:rsid w:val="00F641C2"/>
    <w:rsid w:val="00F64278"/>
    <w:rsid w:val="00F64390"/>
    <w:rsid w:val="00F643FE"/>
    <w:rsid w:val="00F64410"/>
    <w:rsid w:val="00F64521"/>
    <w:rsid w:val="00F647C9"/>
    <w:rsid w:val="00F64B6F"/>
    <w:rsid w:val="00F64B93"/>
    <w:rsid w:val="00F64DFD"/>
    <w:rsid w:val="00F64E0B"/>
    <w:rsid w:val="00F65303"/>
    <w:rsid w:val="00F653CA"/>
    <w:rsid w:val="00F6542B"/>
    <w:rsid w:val="00F657E9"/>
    <w:rsid w:val="00F65926"/>
    <w:rsid w:val="00F65AB0"/>
    <w:rsid w:val="00F65FAF"/>
    <w:rsid w:val="00F65FE0"/>
    <w:rsid w:val="00F6643A"/>
    <w:rsid w:val="00F6677C"/>
    <w:rsid w:val="00F667E1"/>
    <w:rsid w:val="00F66E6C"/>
    <w:rsid w:val="00F67281"/>
    <w:rsid w:val="00F67313"/>
    <w:rsid w:val="00F6738A"/>
    <w:rsid w:val="00F67421"/>
    <w:rsid w:val="00F6750A"/>
    <w:rsid w:val="00F67979"/>
    <w:rsid w:val="00F67A7F"/>
    <w:rsid w:val="00F67B11"/>
    <w:rsid w:val="00F67BB7"/>
    <w:rsid w:val="00F67E58"/>
    <w:rsid w:val="00F701E2"/>
    <w:rsid w:val="00F70462"/>
    <w:rsid w:val="00F704EC"/>
    <w:rsid w:val="00F70599"/>
    <w:rsid w:val="00F70839"/>
    <w:rsid w:val="00F708BD"/>
    <w:rsid w:val="00F709C3"/>
    <w:rsid w:val="00F709C6"/>
    <w:rsid w:val="00F70C86"/>
    <w:rsid w:val="00F71049"/>
    <w:rsid w:val="00F71122"/>
    <w:rsid w:val="00F7133E"/>
    <w:rsid w:val="00F7157E"/>
    <w:rsid w:val="00F7165C"/>
    <w:rsid w:val="00F717FC"/>
    <w:rsid w:val="00F718D7"/>
    <w:rsid w:val="00F71AF8"/>
    <w:rsid w:val="00F71B26"/>
    <w:rsid w:val="00F71B75"/>
    <w:rsid w:val="00F71CA5"/>
    <w:rsid w:val="00F71DD1"/>
    <w:rsid w:val="00F71EB6"/>
    <w:rsid w:val="00F71F25"/>
    <w:rsid w:val="00F72120"/>
    <w:rsid w:val="00F7214F"/>
    <w:rsid w:val="00F72329"/>
    <w:rsid w:val="00F723B1"/>
    <w:rsid w:val="00F723C7"/>
    <w:rsid w:val="00F723E1"/>
    <w:rsid w:val="00F7256E"/>
    <w:rsid w:val="00F725B1"/>
    <w:rsid w:val="00F7277D"/>
    <w:rsid w:val="00F72802"/>
    <w:rsid w:val="00F72928"/>
    <w:rsid w:val="00F729EF"/>
    <w:rsid w:val="00F72B6A"/>
    <w:rsid w:val="00F72C87"/>
    <w:rsid w:val="00F72CFE"/>
    <w:rsid w:val="00F72D09"/>
    <w:rsid w:val="00F72D7F"/>
    <w:rsid w:val="00F72EA7"/>
    <w:rsid w:val="00F72EE3"/>
    <w:rsid w:val="00F731A0"/>
    <w:rsid w:val="00F732EA"/>
    <w:rsid w:val="00F73565"/>
    <w:rsid w:val="00F735D7"/>
    <w:rsid w:val="00F73999"/>
    <w:rsid w:val="00F739B5"/>
    <w:rsid w:val="00F73A1E"/>
    <w:rsid w:val="00F73B2B"/>
    <w:rsid w:val="00F73BF3"/>
    <w:rsid w:val="00F73C84"/>
    <w:rsid w:val="00F73D64"/>
    <w:rsid w:val="00F73F75"/>
    <w:rsid w:val="00F741CF"/>
    <w:rsid w:val="00F74379"/>
    <w:rsid w:val="00F745F6"/>
    <w:rsid w:val="00F7465C"/>
    <w:rsid w:val="00F74689"/>
    <w:rsid w:val="00F747AB"/>
    <w:rsid w:val="00F748C9"/>
    <w:rsid w:val="00F74B9D"/>
    <w:rsid w:val="00F74CC3"/>
    <w:rsid w:val="00F751E6"/>
    <w:rsid w:val="00F7525A"/>
    <w:rsid w:val="00F75356"/>
    <w:rsid w:val="00F7554A"/>
    <w:rsid w:val="00F7584C"/>
    <w:rsid w:val="00F758BF"/>
    <w:rsid w:val="00F75953"/>
    <w:rsid w:val="00F75D1C"/>
    <w:rsid w:val="00F75DB1"/>
    <w:rsid w:val="00F760D5"/>
    <w:rsid w:val="00F76241"/>
    <w:rsid w:val="00F7627A"/>
    <w:rsid w:val="00F7627D"/>
    <w:rsid w:val="00F762D2"/>
    <w:rsid w:val="00F763DC"/>
    <w:rsid w:val="00F7642A"/>
    <w:rsid w:val="00F764DA"/>
    <w:rsid w:val="00F768B1"/>
    <w:rsid w:val="00F76A78"/>
    <w:rsid w:val="00F76B0E"/>
    <w:rsid w:val="00F76DF4"/>
    <w:rsid w:val="00F770C8"/>
    <w:rsid w:val="00F771C8"/>
    <w:rsid w:val="00F77240"/>
    <w:rsid w:val="00F7745D"/>
    <w:rsid w:val="00F77468"/>
    <w:rsid w:val="00F7751A"/>
    <w:rsid w:val="00F7757F"/>
    <w:rsid w:val="00F77892"/>
    <w:rsid w:val="00F77D26"/>
    <w:rsid w:val="00F8038E"/>
    <w:rsid w:val="00F806B7"/>
    <w:rsid w:val="00F8070F"/>
    <w:rsid w:val="00F80802"/>
    <w:rsid w:val="00F80AAB"/>
    <w:rsid w:val="00F80E67"/>
    <w:rsid w:val="00F81067"/>
    <w:rsid w:val="00F811C2"/>
    <w:rsid w:val="00F81438"/>
    <w:rsid w:val="00F8164C"/>
    <w:rsid w:val="00F816E3"/>
    <w:rsid w:val="00F81864"/>
    <w:rsid w:val="00F81A39"/>
    <w:rsid w:val="00F81CB6"/>
    <w:rsid w:val="00F81E4D"/>
    <w:rsid w:val="00F8226A"/>
    <w:rsid w:val="00F824C4"/>
    <w:rsid w:val="00F824C8"/>
    <w:rsid w:val="00F825E5"/>
    <w:rsid w:val="00F82963"/>
    <w:rsid w:val="00F82A0D"/>
    <w:rsid w:val="00F82B20"/>
    <w:rsid w:val="00F82E05"/>
    <w:rsid w:val="00F82ECB"/>
    <w:rsid w:val="00F82EE4"/>
    <w:rsid w:val="00F82FB0"/>
    <w:rsid w:val="00F82FE4"/>
    <w:rsid w:val="00F8304F"/>
    <w:rsid w:val="00F83520"/>
    <w:rsid w:val="00F83608"/>
    <w:rsid w:val="00F837AD"/>
    <w:rsid w:val="00F837C6"/>
    <w:rsid w:val="00F83978"/>
    <w:rsid w:val="00F83A4C"/>
    <w:rsid w:val="00F83AA8"/>
    <w:rsid w:val="00F83BE7"/>
    <w:rsid w:val="00F83C1D"/>
    <w:rsid w:val="00F84058"/>
    <w:rsid w:val="00F843BA"/>
    <w:rsid w:val="00F8443F"/>
    <w:rsid w:val="00F8474E"/>
    <w:rsid w:val="00F8492A"/>
    <w:rsid w:val="00F84A4C"/>
    <w:rsid w:val="00F84BD8"/>
    <w:rsid w:val="00F84C0F"/>
    <w:rsid w:val="00F84D9B"/>
    <w:rsid w:val="00F84FD1"/>
    <w:rsid w:val="00F84FFC"/>
    <w:rsid w:val="00F85006"/>
    <w:rsid w:val="00F85568"/>
    <w:rsid w:val="00F8558D"/>
    <w:rsid w:val="00F856C5"/>
    <w:rsid w:val="00F85790"/>
    <w:rsid w:val="00F85968"/>
    <w:rsid w:val="00F8598E"/>
    <w:rsid w:val="00F859E7"/>
    <w:rsid w:val="00F85AB2"/>
    <w:rsid w:val="00F85ABB"/>
    <w:rsid w:val="00F85D1B"/>
    <w:rsid w:val="00F85D7B"/>
    <w:rsid w:val="00F85EE3"/>
    <w:rsid w:val="00F85F60"/>
    <w:rsid w:val="00F860E6"/>
    <w:rsid w:val="00F867E2"/>
    <w:rsid w:val="00F868DB"/>
    <w:rsid w:val="00F86D0E"/>
    <w:rsid w:val="00F86E7B"/>
    <w:rsid w:val="00F870EA"/>
    <w:rsid w:val="00F875A8"/>
    <w:rsid w:val="00F87A2A"/>
    <w:rsid w:val="00F87E73"/>
    <w:rsid w:val="00F87EC6"/>
    <w:rsid w:val="00F90068"/>
    <w:rsid w:val="00F900DE"/>
    <w:rsid w:val="00F900DF"/>
    <w:rsid w:val="00F900FD"/>
    <w:rsid w:val="00F9035B"/>
    <w:rsid w:val="00F905C9"/>
    <w:rsid w:val="00F905D5"/>
    <w:rsid w:val="00F90742"/>
    <w:rsid w:val="00F9075F"/>
    <w:rsid w:val="00F90979"/>
    <w:rsid w:val="00F90B52"/>
    <w:rsid w:val="00F90BFA"/>
    <w:rsid w:val="00F90D98"/>
    <w:rsid w:val="00F90F3A"/>
    <w:rsid w:val="00F90FE8"/>
    <w:rsid w:val="00F910A8"/>
    <w:rsid w:val="00F910E7"/>
    <w:rsid w:val="00F91463"/>
    <w:rsid w:val="00F91872"/>
    <w:rsid w:val="00F91A9D"/>
    <w:rsid w:val="00F91BC2"/>
    <w:rsid w:val="00F91D03"/>
    <w:rsid w:val="00F9209D"/>
    <w:rsid w:val="00F922F7"/>
    <w:rsid w:val="00F923DB"/>
    <w:rsid w:val="00F9240B"/>
    <w:rsid w:val="00F92550"/>
    <w:rsid w:val="00F92583"/>
    <w:rsid w:val="00F9261E"/>
    <w:rsid w:val="00F92742"/>
    <w:rsid w:val="00F927A9"/>
    <w:rsid w:val="00F92ACC"/>
    <w:rsid w:val="00F92C36"/>
    <w:rsid w:val="00F92F4B"/>
    <w:rsid w:val="00F92FF6"/>
    <w:rsid w:val="00F93087"/>
    <w:rsid w:val="00F93315"/>
    <w:rsid w:val="00F935CB"/>
    <w:rsid w:val="00F93849"/>
    <w:rsid w:val="00F93920"/>
    <w:rsid w:val="00F93AD7"/>
    <w:rsid w:val="00F93B62"/>
    <w:rsid w:val="00F93BBB"/>
    <w:rsid w:val="00F93CCE"/>
    <w:rsid w:val="00F93EAA"/>
    <w:rsid w:val="00F93FA2"/>
    <w:rsid w:val="00F94131"/>
    <w:rsid w:val="00F94276"/>
    <w:rsid w:val="00F947CA"/>
    <w:rsid w:val="00F9485A"/>
    <w:rsid w:val="00F949AF"/>
    <w:rsid w:val="00F94AFE"/>
    <w:rsid w:val="00F94BD3"/>
    <w:rsid w:val="00F94C23"/>
    <w:rsid w:val="00F94D3C"/>
    <w:rsid w:val="00F9508F"/>
    <w:rsid w:val="00F950A6"/>
    <w:rsid w:val="00F9521A"/>
    <w:rsid w:val="00F95249"/>
    <w:rsid w:val="00F95300"/>
    <w:rsid w:val="00F95390"/>
    <w:rsid w:val="00F95432"/>
    <w:rsid w:val="00F954F9"/>
    <w:rsid w:val="00F9567A"/>
    <w:rsid w:val="00F956EB"/>
    <w:rsid w:val="00F95700"/>
    <w:rsid w:val="00F957A7"/>
    <w:rsid w:val="00F95AC1"/>
    <w:rsid w:val="00F95B5E"/>
    <w:rsid w:val="00F95B9B"/>
    <w:rsid w:val="00F966DA"/>
    <w:rsid w:val="00F96722"/>
    <w:rsid w:val="00F96788"/>
    <w:rsid w:val="00F968CF"/>
    <w:rsid w:val="00F96986"/>
    <w:rsid w:val="00F96B60"/>
    <w:rsid w:val="00F96C31"/>
    <w:rsid w:val="00F96DDF"/>
    <w:rsid w:val="00F96F4F"/>
    <w:rsid w:val="00F96F55"/>
    <w:rsid w:val="00F970A8"/>
    <w:rsid w:val="00F9721F"/>
    <w:rsid w:val="00F973BA"/>
    <w:rsid w:val="00F97431"/>
    <w:rsid w:val="00F97516"/>
    <w:rsid w:val="00F9754A"/>
    <w:rsid w:val="00F97860"/>
    <w:rsid w:val="00F97A3C"/>
    <w:rsid w:val="00F97B0D"/>
    <w:rsid w:val="00F97F14"/>
    <w:rsid w:val="00FA0212"/>
    <w:rsid w:val="00FA0296"/>
    <w:rsid w:val="00FA0415"/>
    <w:rsid w:val="00FA047D"/>
    <w:rsid w:val="00FA0583"/>
    <w:rsid w:val="00FA095C"/>
    <w:rsid w:val="00FA0ABB"/>
    <w:rsid w:val="00FA0B19"/>
    <w:rsid w:val="00FA0C3D"/>
    <w:rsid w:val="00FA0CBA"/>
    <w:rsid w:val="00FA0F44"/>
    <w:rsid w:val="00FA1073"/>
    <w:rsid w:val="00FA111A"/>
    <w:rsid w:val="00FA1241"/>
    <w:rsid w:val="00FA168D"/>
    <w:rsid w:val="00FA1A01"/>
    <w:rsid w:val="00FA1A70"/>
    <w:rsid w:val="00FA1A9B"/>
    <w:rsid w:val="00FA1C27"/>
    <w:rsid w:val="00FA1CDA"/>
    <w:rsid w:val="00FA2031"/>
    <w:rsid w:val="00FA2431"/>
    <w:rsid w:val="00FA243C"/>
    <w:rsid w:val="00FA28E2"/>
    <w:rsid w:val="00FA29A3"/>
    <w:rsid w:val="00FA2B49"/>
    <w:rsid w:val="00FA2BF0"/>
    <w:rsid w:val="00FA2C6A"/>
    <w:rsid w:val="00FA2D3C"/>
    <w:rsid w:val="00FA2DBF"/>
    <w:rsid w:val="00FA2E03"/>
    <w:rsid w:val="00FA2EEB"/>
    <w:rsid w:val="00FA30A3"/>
    <w:rsid w:val="00FA315C"/>
    <w:rsid w:val="00FA3713"/>
    <w:rsid w:val="00FA376A"/>
    <w:rsid w:val="00FA3795"/>
    <w:rsid w:val="00FA3852"/>
    <w:rsid w:val="00FA38FE"/>
    <w:rsid w:val="00FA3932"/>
    <w:rsid w:val="00FA3A12"/>
    <w:rsid w:val="00FA3A2B"/>
    <w:rsid w:val="00FA3BD4"/>
    <w:rsid w:val="00FA3F54"/>
    <w:rsid w:val="00FA413B"/>
    <w:rsid w:val="00FA414D"/>
    <w:rsid w:val="00FA41B3"/>
    <w:rsid w:val="00FA4212"/>
    <w:rsid w:val="00FA45CD"/>
    <w:rsid w:val="00FA4691"/>
    <w:rsid w:val="00FA46AF"/>
    <w:rsid w:val="00FA4752"/>
    <w:rsid w:val="00FA48AC"/>
    <w:rsid w:val="00FA4CCB"/>
    <w:rsid w:val="00FA4DDD"/>
    <w:rsid w:val="00FA4DFD"/>
    <w:rsid w:val="00FA4F14"/>
    <w:rsid w:val="00FA5379"/>
    <w:rsid w:val="00FA537E"/>
    <w:rsid w:val="00FA53C8"/>
    <w:rsid w:val="00FA540D"/>
    <w:rsid w:val="00FA55E6"/>
    <w:rsid w:val="00FA56A6"/>
    <w:rsid w:val="00FA56DC"/>
    <w:rsid w:val="00FA5A73"/>
    <w:rsid w:val="00FA5B0C"/>
    <w:rsid w:val="00FA5B40"/>
    <w:rsid w:val="00FA5C58"/>
    <w:rsid w:val="00FA5CDE"/>
    <w:rsid w:val="00FA5F5B"/>
    <w:rsid w:val="00FA6584"/>
    <w:rsid w:val="00FA65FC"/>
    <w:rsid w:val="00FA6653"/>
    <w:rsid w:val="00FA69E9"/>
    <w:rsid w:val="00FA69F3"/>
    <w:rsid w:val="00FA6BD9"/>
    <w:rsid w:val="00FA7128"/>
    <w:rsid w:val="00FA7148"/>
    <w:rsid w:val="00FA71D8"/>
    <w:rsid w:val="00FA72E4"/>
    <w:rsid w:val="00FA7308"/>
    <w:rsid w:val="00FA7411"/>
    <w:rsid w:val="00FA7472"/>
    <w:rsid w:val="00FA7855"/>
    <w:rsid w:val="00FA7A07"/>
    <w:rsid w:val="00FA7AF7"/>
    <w:rsid w:val="00FA7D43"/>
    <w:rsid w:val="00FB01E1"/>
    <w:rsid w:val="00FB0303"/>
    <w:rsid w:val="00FB04B4"/>
    <w:rsid w:val="00FB04D7"/>
    <w:rsid w:val="00FB05B9"/>
    <w:rsid w:val="00FB0646"/>
    <w:rsid w:val="00FB0656"/>
    <w:rsid w:val="00FB0781"/>
    <w:rsid w:val="00FB0AF0"/>
    <w:rsid w:val="00FB0B19"/>
    <w:rsid w:val="00FB0BB6"/>
    <w:rsid w:val="00FB0D27"/>
    <w:rsid w:val="00FB1033"/>
    <w:rsid w:val="00FB126B"/>
    <w:rsid w:val="00FB1376"/>
    <w:rsid w:val="00FB1589"/>
    <w:rsid w:val="00FB1B97"/>
    <w:rsid w:val="00FB1CEF"/>
    <w:rsid w:val="00FB1CF2"/>
    <w:rsid w:val="00FB1F94"/>
    <w:rsid w:val="00FB1FD2"/>
    <w:rsid w:val="00FB205B"/>
    <w:rsid w:val="00FB20D4"/>
    <w:rsid w:val="00FB2122"/>
    <w:rsid w:val="00FB2214"/>
    <w:rsid w:val="00FB22BB"/>
    <w:rsid w:val="00FB2480"/>
    <w:rsid w:val="00FB26EE"/>
    <w:rsid w:val="00FB2739"/>
    <w:rsid w:val="00FB27ED"/>
    <w:rsid w:val="00FB28E4"/>
    <w:rsid w:val="00FB2C23"/>
    <w:rsid w:val="00FB2CB5"/>
    <w:rsid w:val="00FB2F69"/>
    <w:rsid w:val="00FB2F8E"/>
    <w:rsid w:val="00FB30D3"/>
    <w:rsid w:val="00FB317A"/>
    <w:rsid w:val="00FB3841"/>
    <w:rsid w:val="00FB3924"/>
    <w:rsid w:val="00FB3FD8"/>
    <w:rsid w:val="00FB40BA"/>
    <w:rsid w:val="00FB410E"/>
    <w:rsid w:val="00FB42C2"/>
    <w:rsid w:val="00FB4353"/>
    <w:rsid w:val="00FB43AF"/>
    <w:rsid w:val="00FB45BA"/>
    <w:rsid w:val="00FB47AE"/>
    <w:rsid w:val="00FB47C2"/>
    <w:rsid w:val="00FB48EB"/>
    <w:rsid w:val="00FB4917"/>
    <w:rsid w:val="00FB4922"/>
    <w:rsid w:val="00FB49A0"/>
    <w:rsid w:val="00FB559D"/>
    <w:rsid w:val="00FB581F"/>
    <w:rsid w:val="00FB59E8"/>
    <w:rsid w:val="00FB5B94"/>
    <w:rsid w:val="00FB5D96"/>
    <w:rsid w:val="00FB5DF7"/>
    <w:rsid w:val="00FB5F2F"/>
    <w:rsid w:val="00FB5F74"/>
    <w:rsid w:val="00FB6247"/>
    <w:rsid w:val="00FB637C"/>
    <w:rsid w:val="00FB64E4"/>
    <w:rsid w:val="00FB68B2"/>
    <w:rsid w:val="00FB6C45"/>
    <w:rsid w:val="00FB6D5C"/>
    <w:rsid w:val="00FB7189"/>
    <w:rsid w:val="00FB724C"/>
    <w:rsid w:val="00FB759D"/>
    <w:rsid w:val="00FB7A54"/>
    <w:rsid w:val="00FB7B88"/>
    <w:rsid w:val="00FB7BA3"/>
    <w:rsid w:val="00FB7DA7"/>
    <w:rsid w:val="00FC0643"/>
    <w:rsid w:val="00FC06B9"/>
    <w:rsid w:val="00FC0A6E"/>
    <w:rsid w:val="00FC0AC5"/>
    <w:rsid w:val="00FC0AE3"/>
    <w:rsid w:val="00FC0B65"/>
    <w:rsid w:val="00FC0CA7"/>
    <w:rsid w:val="00FC0F19"/>
    <w:rsid w:val="00FC1151"/>
    <w:rsid w:val="00FC13A1"/>
    <w:rsid w:val="00FC1443"/>
    <w:rsid w:val="00FC1645"/>
    <w:rsid w:val="00FC1B20"/>
    <w:rsid w:val="00FC1BF3"/>
    <w:rsid w:val="00FC1D10"/>
    <w:rsid w:val="00FC1F76"/>
    <w:rsid w:val="00FC1F9A"/>
    <w:rsid w:val="00FC2359"/>
    <w:rsid w:val="00FC242E"/>
    <w:rsid w:val="00FC243B"/>
    <w:rsid w:val="00FC263E"/>
    <w:rsid w:val="00FC272B"/>
    <w:rsid w:val="00FC28A1"/>
    <w:rsid w:val="00FC2A13"/>
    <w:rsid w:val="00FC2ABC"/>
    <w:rsid w:val="00FC2C5C"/>
    <w:rsid w:val="00FC2CF9"/>
    <w:rsid w:val="00FC2D93"/>
    <w:rsid w:val="00FC3233"/>
    <w:rsid w:val="00FC332A"/>
    <w:rsid w:val="00FC3A48"/>
    <w:rsid w:val="00FC3A9E"/>
    <w:rsid w:val="00FC3BE9"/>
    <w:rsid w:val="00FC3E36"/>
    <w:rsid w:val="00FC3EB2"/>
    <w:rsid w:val="00FC3F32"/>
    <w:rsid w:val="00FC4111"/>
    <w:rsid w:val="00FC4398"/>
    <w:rsid w:val="00FC463B"/>
    <w:rsid w:val="00FC46C4"/>
    <w:rsid w:val="00FC46F1"/>
    <w:rsid w:val="00FC4767"/>
    <w:rsid w:val="00FC4AC9"/>
    <w:rsid w:val="00FC5255"/>
    <w:rsid w:val="00FC531A"/>
    <w:rsid w:val="00FC5378"/>
    <w:rsid w:val="00FC5424"/>
    <w:rsid w:val="00FC54D0"/>
    <w:rsid w:val="00FC5533"/>
    <w:rsid w:val="00FC56D8"/>
    <w:rsid w:val="00FC5759"/>
    <w:rsid w:val="00FC582A"/>
    <w:rsid w:val="00FC585E"/>
    <w:rsid w:val="00FC5C29"/>
    <w:rsid w:val="00FC5F6F"/>
    <w:rsid w:val="00FC6317"/>
    <w:rsid w:val="00FC63AE"/>
    <w:rsid w:val="00FC63E8"/>
    <w:rsid w:val="00FC64A7"/>
    <w:rsid w:val="00FC64E3"/>
    <w:rsid w:val="00FC6540"/>
    <w:rsid w:val="00FC66E9"/>
    <w:rsid w:val="00FC67A5"/>
    <w:rsid w:val="00FC691F"/>
    <w:rsid w:val="00FC6A9E"/>
    <w:rsid w:val="00FC6BBF"/>
    <w:rsid w:val="00FC6C59"/>
    <w:rsid w:val="00FC6D3C"/>
    <w:rsid w:val="00FC6D5D"/>
    <w:rsid w:val="00FC6E8D"/>
    <w:rsid w:val="00FC722C"/>
    <w:rsid w:val="00FC753B"/>
    <w:rsid w:val="00FC7554"/>
    <w:rsid w:val="00FC781B"/>
    <w:rsid w:val="00FC7929"/>
    <w:rsid w:val="00FC7943"/>
    <w:rsid w:val="00FC7AF0"/>
    <w:rsid w:val="00FC7BA1"/>
    <w:rsid w:val="00FC7BC5"/>
    <w:rsid w:val="00FC7EF0"/>
    <w:rsid w:val="00FD013A"/>
    <w:rsid w:val="00FD03B3"/>
    <w:rsid w:val="00FD04EE"/>
    <w:rsid w:val="00FD05B9"/>
    <w:rsid w:val="00FD0A2C"/>
    <w:rsid w:val="00FD0A4D"/>
    <w:rsid w:val="00FD0ABE"/>
    <w:rsid w:val="00FD0E78"/>
    <w:rsid w:val="00FD1117"/>
    <w:rsid w:val="00FD122E"/>
    <w:rsid w:val="00FD12C0"/>
    <w:rsid w:val="00FD1401"/>
    <w:rsid w:val="00FD1472"/>
    <w:rsid w:val="00FD1571"/>
    <w:rsid w:val="00FD1726"/>
    <w:rsid w:val="00FD1738"/>
    <w:rsid w:val="00FD175A"/>
    <w:rsid w:val="00FD1872"/>
    <w:rsid w:val="00FD1A43"/>
    <w:rsid w:val="00FD1B28"/>
    <w:rsid w:val="00FD1B92"/>
    <w:rsid w:val="00FD1EFF"/>
    <w:rsid w:val="00FD1F1C"/>
    <w:rsid w:val="00FD1F97"/>
    <w:rsid w:val="00FD216E"/>
    <w:rsid w:val="00FD222B"/>
    <w:rsid w:val="00FD224A"/>
    <w:rsid w:val="00FD2987"/>
    <w:rsid w:val="00FD2F03"/>
    <w:rsid w:val="00FD31BC"/>
    <w:rsid w:val="00FD3362"/>
    <w:rsid w:val="00FD347A"/>
    <w:rsid w:val="00FD3643"/>
    <w:rsid w:val="00FD370D"/>
    <w:rsid w:val="00FD37CB"/>
    <w:rsid w:val="00FD3824"/>
    <w:rsid w:val="00FD388E"/>
    <w:rsid w:val="00FD3AD1"/>
    <w:rsid w:val="00FD3BCD"/>
    <w:rsid w:val="00FD3D82"/>
    <w:rsid w:val="00FD3E10"/>
    <w:rsid w:val="00FD4210"/>
    <w:rsid w:val="00FD429F"/>
    <w:rsid w:val="00FD4552"/>
    <w:rsid w:val="00FD4640"/>
    <w:rsid w:val="00FD4714"/>
    <w:rsid w:val="00FD4769"/>
    <w:rsid w:val="00FD493D"/>
    <w:rsid w:val="00FD49F2"/>
    <w:rsid w:val="00FD4E4E"/>
    <w:rsid w:val="00FD52B3"/>
    <w:rsid w:val="00FD53FB"/>
    <w:rsid w:val="00FD5424"/>
    <w:rsid w:val="00FD5448"/>
    <w:rsid w:val="00FD549E"/>
    <w:rsid w:val="00FD559D"/>
    <w:rsid w:val="00FD564F"/>
    <w:rsid w:val="00FD5691"/>
    <w:rsid w:val="00FD596A"/>
    <w:rsid w:val="00FD5A41"/>
    <w:rsid w:val="00FD5A50"/>
    <w:rsid w:val="00FD5E97"/>
    <w:rsid w:val="00FD6352"/>
    <w:rsid w:val="00FD6381"/>
    <w:rsid w:val="00FD641F"/>
    <w:rsid w:val="00FD64D6"/>
    <w:rsid w:val="00FD64EF"/>
    <w:rsid w:val="00FD6527"/>
    <w:rsid w:val="00FD663B"/>
    <w:rsid w:val="00FD6752"/>
    <w:rsid w:val="00FD682A"/>
    <w:rsid w:val="00FD6CD0"/>
    <w:rsid w:val="00FD6E9F"/>
    <w:rsid w:val="00FD7411"/>
    <w:rsid w:val="00FD7466"/>
    <w:rsid w:val="00FD7472"/>
    <w:rsid w:val="00FD76B9"/>
    <w:rsid w:val="00FD797C"/>
    <w:rsid w:val="00FD7D0E"/>
    <w:rsid w:val="00FD7DA8"/>
    <w:rsid w:val="00FD7F17"/>
    <w:rsid w:val="00FD7FB0"/>
    <w:rsid w:val="00FD7FCE"/>
    <w:rsid w:val="00FD7FE1"/>
    <w:rsid w:val="00FE00C8"/>
    <w:rsid w:val="00FE0108"/>
    <w:rsid w:val="00FE01CA"/>
    <w:rsid w:val="00FE03F6"/>
    <w:rsid w:val="00FE05E7"/>
    <w:rsid w:val="00FE08B2"/>
    <w:rsid w:val="00FE0A21"/>
    <w:rsid w:val="00FE0A9D"/>
    <w:rsid w:val="00FE0B83"/>
    <w:rsid w:val="00FE0C8B"/>
    <w:rsid w:val="00FE0E1F"/>
    <w:rsid w:val="00FE0ED6"/>
    <w:rsid w:val="00FE100E"/>
    <w:rsid w:val="00FE132A"/>
    <w:rsid w:val="00FE136D"/>
    <w:rsid w:val="00FE1458"/>
    <w:rsid w:val="00FE1480"/>
    <w:rsid w:val="00FE163D"/>
    <w:rsid w:val="00FE16CC"/>
    <w:rsid w:val="00FE17B8"/>
    <w:rsid w:val="00FE18ED"/>
    <w:rsid w:val="00FE1917"/>
    <w:rsid w:val="00FE1932"/>
    <w:rsid w:val="00FE1A2A"/>
    <w:rsid w:val="00FE1E71"/>
    <w:rsid w:val="00FE2066"/>
    <w:rsid w:val="00FE20A3"/>
    <w:rsid w:val="00FE21B6"/>
    <w:rsid w:val="00FE22F8"/>
    <w:rsid w:val="00FE23C6"/>
    <w:rsid w:val="00FE2436"/>
    <w:rsid w:val="00FE2473"/>
    <w:rsid w:val="00FE24C0"/>
    <w:rsid w:val="00FE24EC"/>
    <w:rsid w:val="00FE27E1"/>
    <w:rsid w:val="00FE2915"/>
    <w:rsid w:val="00FE2AAE"/>
    <w:rsid w:val="00FE2BB2"/>
    <w:rsid w:val="00FE2DC8"/>
    <w:rsid w:val="00FE2F95"/>
    <w:rsid w:val="00FE3290"/>
    <w:rsid w:val="00FE32A4"/>
    <w:rsid w:val="00FE33BD"/>
    <w:rsid w:val="00FE35A6"/>
    <w:rsid w:val="00FE35D7"/>
    <w:rsid w:val="00FE38F6"/>
    <w:rsid w:val="00FE3C95"/>
    <w:rsid w:val="00FE3DD0"/>
    <w:rsid w:val="00FE4120"/>
    <w:rsid w:val="00FE41F9"/>
    <w:rsid w:val="00FE4233"/>
    <w:rsid w:val="00FE43E3"/>
    <w:rsid w:val="00FE445D"/>
    <w:rsid w:val="00FE4537"/>
    <w:rsid w:val="00FE458B"/>
    <w:rsid w:val="00FE46F1"/>
    <w:rsid w:val="00FE4776"/>
    <w:rsid w:val="00FE4BA1"/>
    <w:rsid w:val="00FE4C45"/>
    <w:rsid w:val="00FE4F4C"/>
    <w:rsid w:val="00FE50DF"/>
    <w:rsid w:val="00FE511A"/>
    <w:rsid w:val="00FE524A"/>
    <w:rsid w:val="00FE5317"/>
    <w:rsid w:val="00FE5396"/>
    <w:rsid w:val="00FE54D1"/>
    <w:rsid w:val="00FE557B"/>
    <w:rsid w:val="00FE55ED"/>
    <w:rsid w:val="00FE578E"/>
    <w:rsid w:val="00FE58BA"/>
    <w:rsid w:val="00FE59D2"/>
    <w:rsid w:val="00FE5F97"/>
    <w:rsid w:val="00FE5FA6"/>
    <w:rsid w:val="00FE608B"/>
    <w:rsid w:val="00FE609F"/>
    <w:rsid w:val="00FE6339"/>
    <w:rsid w:val="00FE6396"/>
    <w:rsid w:val="00FE63F6"/>
    <w:rsid w:val="00FE6514"/>
    <w:rsid w:val="00FE6541"/>
    <w:rsid w:val="00FE65DE"/>
    <w:rsid w:val="00FE68B9"/>
    <w:rsid w:val="00FE6912"/>
    <w:rsid w:val="00FE6AA8"/>
    <w:rsid w:val="00FE6EC6"/>
    <w:rsid w:val="00FE6F3C"/>
    <w:rsid w:val="00FE6F95"/>
    <w:rsid w:val="00FE74BE"/>
    <w:rsid w:val="00FE75B2"/>
    <w:rsid w:val="00FE75F7"/>
    <w:rsid w:val="00FE7BEA"/>
    <w:rsid w:val="00FE7C12"/>
    <w:rsid w:val="00FE7D62"/>
    <w:rsid w:val="00FE7DCE"/>
    <w:rsid w:val="00FF029D"/>
    <w:rsid w:val="00FF02AE"/>
    <w:rsid w:val="00FF03DE"/>
    <w:rsid w:val="00FF0592"/>
    <w:rsid w:val="00FF0703"/>
    <w:rsid w:val="00FF099B"/>
    <w:rsid w:val="00FF0B55"/>
    <w:rsid w:val="00FF0B83"/>
    <w:rsid w:val="00FF0C56"/>
    <w:rsid w:val="00FF0C74"/>
    <w:rsid w:val="00FF0D71"/>
    <w:rsid w:val="00FF0DE6"/>
    <w:rsid w:val="00FF11F8"/>
    <w:rsid w:val="00FF18A4"/>
    <w:rsid w:val="00FF18C6"/>
    <w:rsid w:val="00FF1E1D"/>
    <w:rsid w:val="00FF1F22"/>
    <w:rsid w:val="00FF202E"/>
    <w:rsid w:val="00FF2103"/>
    <w:rsid w:val="00FF2199"/>
    <w:rsid w:val="00FF22D8"/>
    <w:rsid w:val="00FF23C7"/>
    <w:rsid w:val="00FF251C"/>
    <w:rsid w:val="00FF2723"/>
    <w:rsid w:val="00FF27F6"/>
    <w:rsid w:val="00FF293F"/>
    <w:rsid w:val="00FF2ACF"/>
    <w:rsid w:val="00FF2ADE"/>
    <w:rsid w:val="00FF2AE3"/>
    <w:rsid w:val="00FF2B0F"/>
    <w:rsid w:val="00FF2BD7"/>
    <w:rsid w:val="00FF2CCC"/>
    <w:rsid w:val="00FF2DF3"/>
    <w:rsid w:val="00FF2DF8"/>
    <w:rsid w:val="00FF2E94"/>
    <w:rsid w:val="00FF3077"/>
    <w:rsid w:val="00FF311C"/>
    <w:rsid w:val="00FF33C2"/>
    <w:rsid w:val="00FF33CD"/>
    <w:rsid w:val="00FF386C"/>
    <w:rsid w:val="00FF3913"/>
    <w:rsid w:val="00FF3984"/>
    <w:rsid w:val="00FF3994"/>
    <w:rsid w:val="00FF3A12"/>
    <w:rsid w:val="00FF3A6C"/>
    <w:rsid w:val="00FF3CEF"/>
    <w:rsid w:val="00FF3DF3"/>
    <w:rsid w:val="00FF3E92"/>
    <w:rsid w:val="00FF3F24"/>
    <w:rsid w:val="00FF3F4D"/>
    <w:rsid w:val="00FF42CB"/>
    <w:rsid w:val="00FF4302"/>
    <w:rsid w:val="00FF471E"/>
    <w:rsid w:val="00FF4725"/>
    <w:rsid w:val="00FF483E"/>
    <w:rsid w:val="00FF4927"/>
    <w:rsid w:val="00FF4ABB"/>
    <w:rsid w:val="00FF4D80"/>
    <w:rsid w:val="00FF4E08"/>
    <w:rsid w:val="00FF4EDC"/>
    <w:rsid w:val="00FF4F4A"/>
    <w:rsid w:val="00FF4FCE"/>
    <w:rsid w:val="00FF52B3"/>
    <w:rsid w:val="00FF53D0"/>
    <w:rsid w:val="00FF53EB"/>
    <w:rsid w:val="00FF54CB"/>
    <w:rsid w:val="00FF569E"/>
    <w:rsid w:val="00FF57D6"/>
    <w:rsid w:val="00FF5BD8"/>
    <w:rsid w:val="00FF5DC6"/>
    <w:rsid w:val="00FF5E27"/>
    <w:rsid w:val="00FF61EE"/>
    <w:rsid w:val="00FF6201"/>
    <w:rsid w:val="00FF62FF"/>
    <w:rsid w:val="00FF6494"/>
    <w:rsid w:val="00FF6632"/>
    <w:rsid w:val="00FF68BF"/>
    <w:rsid w:val="00FF69C2"/>
    <w:rsid w:val="00FF7028"/>
    <w:rsid w:val="00FF717F"/>
    <w:rsid w:val="00FF71B5"/>
    <w:rsid w:val="00FF71BA"/>
    <w:rsid w:val="00FF7214"/>
    <w:rsid w:val="00FF756B"/>
    <w:rsid w:val="00FF76E7"/>
    <w:rsid w:val="00FF78E2"/>
    <w:rsid w:val="00FF796B"/>
    <w:rsid w:val="00FF7C4E"/>
    <w:rsid w:val="00FF7EEA"/>
    <w:rsid w:val="08724AE8"/>
    <w:rsid w:val="211EDAF8"/>
    <w:rsid w:val="25B5A4C8"/>
    <w:rsid w:val="4C804B05"/>
    <w:rsid w:val="6953593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EF548"/>
  <w14:defaultImageDpi w14:val="32767"/>
  <w15:docId w15:val="{115B99DE-92C5-4791-8D41-D9276080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460"/>
    <w:pPr>
      <w:spacing w:after="120" w:line="312" w:lineRule="auto"/>
      <w:jc w:val="both"/>
    </w:pPr>
    <w:rPr>
      <w:rFonts w:ascii="Times New Roman" w:hAnsi="Times New Roman" w:cs="Times New Roman"/>
      <w:sz w:val="24"/>
      <w:szCs w:val="24"/>
      <w:lang w:val="en-US"/>
    </w:rPr>
  </w:style>
  <w:style w:type="paragraph" w:styleId="Heading1">
    <w:name w:val="heading 1"/>
    <w:basedOn w:val="Normal"/>
    <w:next w:val="Normal"/>
    <w:link w:val="Heading1Char"/>
    <w:uiPriority w:val="9"/>
    <w:qFormat/>
    <w:rsid w:val="00387D58"/>
    <w:pPr>
      <w:keepNext/>
      <w:keepLines/>
      <w:numPr>
        <w:numId w:val="1"/>
      </w:numPr>
      <w:spacing w:before="240" w:line="240" w:lineRule="auto"/>
      <w:outlineLvl w:val="0"/>
    </w:pPr>
    <w:rPr>
      <w:rFonts w:asciiTheme="majorBidi" w:eastAsia="Arial" w:hAnsiTheme="majorBidi" w:cs="Arial"/>
      <w:b/>
      <w:szCs w:val="40"/>
      <w:lang w:val="en-GB"/>
    </w:rPr>
  </w:style>
  <w:style w:type="paragraph" w:styleId="Heading2">
    <w:name w:val="heading 2"/>
    <w:basedOn w:val="Normal"/>
    <w:next w:val="Normal"/>
    <w:link w:val="Heading2Char"/>
    <w:uiPriority w:val="9"/>
    <w:unhideWhenUsed/>
    <w:qFormat/>
    <w:rsid w:val="00387D58"/>
    <w:pPr>
      <w:keepNext/>
      <w:keepLines/>
      <w:numPr>
        <w:ilvl w:val="1"/>
        <w:numId w:val="1"/>
      </w:numPr>
      <w:spacing w:before="120"/>
      <w:outlineLvl w:val="1"/>
    </w:pPr>
    <w:rPr>
      <w:rFonts w:asciiTheme="majorBidi" w:eastAsiaTheme="majorEastAsia" w:hAnsiTheme="majorBidi" w:cstheme="majorBidi"/>
      <w:b/>
      <w:bCs/>
    </w:rPr>
  </w:style>
  <w:style w:type="paragraph" w:styleId="Heading3">
    <w:name w:val="heading 3"/>
    <w:basedOn w:val="Normal"/>
    <w:next w:val="Normal"/>
    <w:link w:val="Heading3Char"/>
    <w:uiPriority w:val="9"/>
    <w:unhideWhenUsed/>
    <w:qFormat/>
    <w:rsid w:val="00387D58"/>
    <w:pPr>
      <w:keepNext/>
      <w:keepLines/>
      <w:numPr>
        <w:ilvl w:val="2"/>
        <w:numId w:val="1"/>
      </w:numPr>
      <w:spacing w:before="40" w:after="0"/>
      <w:outlineLvl w:val="2"/>
    </w:pPr>
    <w:rPr>
      <w:rFonts w:asciiTheme="majorBidi" w:eastAsiaTheme="majorEastAsia" w:hAnsiTheme="majorBidi" w:cstheme="majorBidi"/>
      <w:b/>
      <w:bCs/>
      <w:i/>
      <w:iCs/>
      <w:szCs w:val="20"/>
    </w:rPr>
  </w:style>
  <w:style w:type="paragraph" w:styleId="Heading4">
    <w:name w:val="heading 4"/>
    <w:basedOn w:val="Normal"/>
    <w:next w:val="Normal"/>
    <w:link w:val="Heading4Char"/>
    <w:uiPriority w:val="9"/>
    <w:unhideWhenUsed/>
    <w:qFormat/>
    <w:rsid w:val="004C26C9"/>
    <w:pPr>
      <w:keepNext/>
      <w:keepLines/>
      <w:numPr>
        <w:ilvl w:val="3"/>
        <w:numId w:val="1"/>
      </w:numPr>
      <w:spacing w:before="40" w:after="0"/>
      <w:outlineLvl w:val="3"/>
    </w:pPr>
    <w:rPr>
      <w:rFonts w:asciiTheme="majorBidi" w:eastAsiaTheme="majorEastAsia" w:hAnsiTheme="majorBidi" w:cstheme="majorBidi"/>
      <w:i/>
      <w:iCs/>
    </w:rPr>
  </w:style>
  <w:style w:type="paragraph" w:styleId="Heading5">
    <w:name w:val="heading 5"/>
    <w:basedOn w:val="Normal"/>
    <w:next w:val="Normal"/>
    <w:link w:val="Heading5Char"/>
    <w:uiPriority w:val="9"/>
    <w:semiHidden/>
    <w:unhideWhenUsed/>
    <w:qFormat/>
    <w:rsid w:val="00387D58"/>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87D5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87D5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87D5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7D5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6497"/>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B1387B"/>
    <w:rPr>
      <w:color w:val="0563C1" w:themeColor="hyperlink"/>
      <w:u w:val="single"/>
    </w:rPr>
  </w:style>
  <w:style w:type="character" w:customStyle="1" w:styleId="UnresolvedMention1">
    <w:name w:val="Unresolved Mention1"/>
    <w:basedOn w:val="DefaultParagraphFont"/>
    <w:uiPriority w:val="99"/>
    <w:semiHidden/>
    <w:unhideWhenUsed/>
    <w:rsid w:val="00B1387B"/>
    <w:rPr>
      <w:color w:val="605E5C"/>
      <w:shd w:val="clear" w:color="auto" w:fill="E1DFDD"/>
    </w:rPr>
  </w:style>
  <w:style w:type="character" w:styleId="Emphasis">
    <w:name w:val="Emphasis"/>
    <w:basedOn w:val="DefaultParagraphFont"/>
    <w:uiPriority w:val="20"/>
    <w:qFormat/>
    <w:rsid w:val="00352E16"/>
    <w:rPr>
      <w:i/>
      <w:iCs/>
    </w:rPr>
  </w:style>
  <w:style w:type="character" w:styleId="CommentReference">
    <w:name w:val="annotation reference"/>
    <w:basedOn w:val="DefaultParagraphFont"/>
    <w:uiPriority w:val="99"/>
    <w:semiHidden/>
    <w:unhideWhenUsed/>
    <w:rsid w:val="00954BE3"/>
    <w:rPr>
      <w:sz w:val="16"/>
      <w:szCs w:val="16"/>
    </w:rPr>
  </w:style>
  <w:style w:type="paragraph" w:styleId="CommentText">
    <w:name w:val="annotation text"/>
    <w:basedOn w:val="Normal"/>
    <w:link w:val="CommentTextChar"/>
    <w:uiPriority w:val="99"/>
    <w:unhideWhenUsed/>
    <w:rsid w:val="00954BE3"/>
    <w:pPr>
      <w:spacing w:line="240" w:lineRule="auto"/>
    </w:pPr>
    <w:rPr>
      <w:sz w:val="20"/>
      <w:szCs w:val="20"/>
    </w:rPr>
  </w:style>
  <w:style w:type="character" w:customStyle="1" w:styleId="CommentTextChar">
    <w:name w:val="Comment Text Char"/>
    <w:basedOn w:val="DefaultParagraphFont"/>
    <w:link w:val="CommentText"/>
    <w:uiPriority w:val="99"/>
    <w:rsid w:val="00954BE3"/>
    <w:rPr>
      <w:sz w:val="20"/>
      <w:szCs w:val="20"/>
      <w:lang w:val="en-US"/>
    </w:rPr>
  </w:style>
  <w:style w:type="paragraph" w:styleId="CommentSubject">
    <w:name w:val="annotation subject"/>
    <w:basedOn w:val="CommentText"/>
    <w:next w:val="CommentText"/>
    <w:link w:val="CommentSubjectChar"/>
    <w:uiPriority w:val="99"/>
    <w:semiHidden/>
    <w:unhideWhenUsed/>
    <w:rsid w:val="00954BE3"/>
    <w:rPr>
      <w:b/>
      <w:bCs/>
    </w:rPr>
  </w:style>
  <w:style w:type="character" w:customStyle="1" w:styleId="CommentSubjectChar">
    <w:name w:val="Comment Subject Char"/>
    <w:basedOn w:val="CommentTextChar"/>
    <w:link w:val="CommentSubject"/>
    <w:uiPriority w:val="99"/>
    <w:semiHidden/>
    <w:rsid w:val="00954BE3"/>
    <w:rPr>
      <w:b/>
      <w:bCs/>
      <w:sz w:val="20"/>
      <w:szCs w:val="20"/>
      <w:lang w:val="en-US"/>
    </w:rPr>
  </w:style>
  <w:style w:type="character" w:styleId="FollowedHyperlink">
    <w:name w:val="FollowedHyperlink"/>
    <w:basedOn w:val="DefaultParagraphFont"/>
    <w:uiPriority w:val="99"/>
    <w:semiHidden/>
    <w:unhideWhenUsed/>
    <w:rsid w:val="009B368C"/>
    <w:rPr>
      <w:color w:val="954F72" w:themeColor="followedHyperlink"/>
      <w:u w:val="single"/>
    </w:rPr>
  </w:style>
  <w:style w:type="paragraph" w:styleId="Revision">
    <w:name w:val="Revision"/>
    <w:hidden/>
    <w:uiPriority w:val="99"/>
    <w:semiHidden/>
    <w:rsid w:val="009F0062"/>
    <w:pPr>
      <w:spacing w:after="0" w:line="240" w:lineRule="auto"/>
    </w:pPr>
    <w:rPr>
      <w:lang w:val="en-US"/>
    </w:rPr>
  </w:style>
  <w:style w:type="character" w:customStyle="1" w:styleId="Heading1Char">
    <w:name w:val="Heading 1 Char"/>
    <w:basedOn w:val="DefaultParagraphFont"/>
    <w:link w:val="Heading1"/>
    <w:uiPriority w:val="9"/>
    <w:rsid w:val="00387D58"/>
    <w:rPr>
      <w:rFonts w:asciiTheme="majorBidi" w:eastAsia="Arial" w:hAnsiTheme="majorBidi" w:cs="Arial"/>
      <w:b/>
      <w:sz w:val="24"/>
      <w:szCs w:val="40"/>
      <w:lang w:val="en-GB"/>
    </w:rPr>
  </w:style>
  <w:style w:type="character" w:styleId="Strong">
    <w:name w:val="Strong"/>
    <w:basedOn w:val="DefaultParagraphFont"/>
    <w:uiPriority w:val="22"/>
    <w:qFormat/>
    <w:rsid w:val="00B1154A"/>
    <w:rPr>
      <w:b/>
      <w:bCs/>
    </w:rPr>
  </w:style>
  <w:style w:type="paragraph" w:styleId="Header">
    <w:name w:val="header"/>
    <w:basedOn w:val="Normal"/>
    <w:link w:val="HeaderChar"/>
    <w:uiPriority w:val="99"/>
    <w:unhideWhenUsed/>
    <w:rsid w:val="007F02B6"/>
    <w:pPr>
      <w:tabs>
        <w:tab w:val="center" w:pos="4513"/>
        <w:tab w:val="right" w:pos="9026"/>
      </w:tabs>
      <w:spacing w:after="0" w:line="240" w:lineRule="auto"/>
    </w:pPr>
    <w:rPr>
      <w:rFonts w:ascii="Arial" w:eastAsia="Arial" w:hAnsi="Arial" w:cs="Arial"/>
      <w:lang w:val="en-GB"/>
    </w:rPr>
  </w:style>
  <w:style w:type="character" w:customStyle="1" w:styleId="HeaderChar">
    <w:name w:val="Header Char"/>
    <w:basedOn w:val="DefaultParagraphFont"/>
    <w:link w:val="Header"/>
    <w:uiPriority w:val="99"/>
    <w:rsid w:val="007F02B6"/>
    <w:rPr>
      <w:rFonts w:ascii="Arial" w:eastAsia="Arial" w:hAnsi="Arial" w:cs="Arial"/>
      <w:lang w:val="en-GB"/>
    </w:rPr>
  </w:style>
  <w:style w:type="character" w:styleId="LineNumber">
    <w:name w:val="line number"/>
    <w:basedOn w:val="DefaultParagraphFont"/>
    <w:uiPriority w:val="99"/>
    <w:semiHidden/>
    <w:unhideWhenUsed/>
    <w:rsid w:val="007F02B6"/>
  </w:style>
  <w:style w:type="paragraph" w:styleId="ListParagraph">
    <w:name w:val="List Paragraph"/>
    <w:basedOn w:val="Normal"/>
    <w:uiPriority w:val="34"/>
    <w:qFormat/>
    <w:rsid w:val="00604E5F"/>
    <w:pPr>
      <w:ind w:left="720"/>
      <w:contextualSpacing/>
    </w:pPr>
    <w:rPr>
      <w:rFonts w:asciiTheme="majorBidi" w:eastAsia="Arial" w:hAnsiTheme="majorBidi" w:cs="Arial"/>
      <w:lang w:val="en-GB"/>
    </w:rPr>
  </w:style>
  <w:style w:type="paragraph" w:styleId="Footer">
    <w:name w:val="footer"/>
    <w:basedOn w:val="Normal"/>
    <w:link w:val="FooterChar"/>
    <w:uiPriority w:val="99"/>
    <w:unhideWhenUsed/>
    <w:rsid w:val="001D06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6B5"/>
    <w:rPr>
      <w:lang w:val="en-US"/>
    </w:rPr>
  </w:style>
  <w:style w:type="paragraph" w:styleId="BalloonText">
    <w:name w:val="Balloon Text"/>
    <w:basedOn w:val="Normal"/>
    <w:link w:val="BalloonTextChar"/>
    <w:uiPriority w:val="99"/>
    <w:semiHidden/>
    <w:unhideWhenUsed/>
    <w:rsid w:val="00136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91B"/>
    <w:rPr>
      <w:rFonts w:ascii="Segoe UI" w:hAnsi="Segoe UI" w:cs="Segoe UI"/>
      <w:sz w:val="18"/>
      <w:szCs w:val="18"/>
      <w:lang w:val="en-US"/>
    </w:rPr>
  </w:style>
  <w:style w:type="table" w:styleId="TableGrid">
    <w:name w:val="Table Grid"/>
    <w:basedOn w:val="TableNormal"/>
    <w:uiPriority w:val="39"/>
    <w:rsid w:val="0038692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771F9"/>
    <w:pPr>
      <w:spacing w:after="0" w:line="240" w:lineRule="auto"/>
    </w:pPr>
    <w:rPr>
      <w:iCs/>
      <w:sz w:val="18"/>
      <w:szCs w:val="18"/>
    </w:rPr>
  </w:style>
  <w:style w:type="character" w:customStyle="1" w:styleId="fontstyle01">
    <w:name w:val="fontstyle01"/>
    <w:basedOn w:val="DefaultParagraphFont"/>
    <w:rsid w:val="00E17109"/>
    <w:rPr>
      <w:rFonts w:ascii="TimesNewRomanPSMT" w:hAnsi="TimesNewRomanPSMT" w:hint="default"/>
      <w:b w:val="0"/>
      <w:bCs w:val="0"/>
      <w:i w:val="0"/>
      <w:iCs w:val="0"/>
      <w:color w:val="000000"/>
      <w:sz w:val="20"/>
      <w:szCs w:val="20"/>
    </w:rPr>
  </w:style>
  <w:style w:type="character" w:customStyle="1" w:styleId="Heading2Char">
    <w:name w:val="Heading 2 Char"/>
    <w:basedOn w:val="DefaultParagraphFont"/>
    <w:link w:val="Heading2"/>
    <w:uiPriority w:val="9"/>
    <w:rsid w:val="00387D58"/>
    <w:rPr>
      <w:rFonts w:asciiTheme="majorBidi" w:eastAsiaTheme="majorEastAsia" w:hAnsiTheme="majorBidi" w:cstheme="majorBidi"/>
      <w:b/>
      <w:bCs/>
      <w:sz w:val="24"/>
      <w:szCs w:val="24"/>
      <w:lang w:val="en-US"/>
    </w:rPr>
  </w:style>
  <w:style w:type="character" w:customStyle="1" w:styleId="Heading3Char">
    <w:name w:val="Heading 3 Char"/>
    <w:basedOn w:val="DefaultParagraphFont"/>
    <w:link w:val="Heading3"/>
    <w:uiPriority w:val="9"/>
    <w:rsid w:val="00387D58"/>
    <w:rPr>
      <w:rFonts w:asciiTheme="majorBidi" w:eastAsiaTheme="majorEastAsia" w:hAnsiTheme="majorBidi" w:cstheme="majorBidi"/>
      <w:b/>
      <w:bCs/>
      <w:i/>
      <w:iCs/>
      <w:sz w:val="24"/>
      <w:szCs w:val="20"/>
      <w:lang w:val="en-US"/>
    </w:rPr>
  </w:style>
  <w:style w:type="character" w:customStyle="1" w:styleId="Heading4Char">
    <w:name w:val="Heading 4 Char"/>
    <w:basedOn w:val="DefaultParagraphFont"/>
    <w:link w:val="Heading4"/>
    <w:uiPriority w:val="9"/>
    <w:rsid w:val="004C26C9"/>
    <w:rPr>
      <w:rFonts w:asciiTheme="majorBidi" w:eastAsiaTheme="majorEastAsia" w:hAnsiTheme="majorBidi" w:cstheme="majorBidi"/>
      <w:i/>
      <w:iCs/>
      <w:sz w:val="24"/>
      <w:szCs w:val="24"/>
      <w:lang w:val="en-US"/>
    </w:rPr>
  </w:style>
  <w:style w:type="character" w:customStyle="1" w:styleId="Heading5Char">
    <w:name w:val="Heading 5 Char"/>
    <w:basedOn w:val="DefaultParagraphFont"/>
    <w:link w:val="Heading5"/>
    <w:uiPriority w:val="9"/>
    <w:semiHidden/>
    <w:rsid w:val="00387D58"/>
    <w:rPr>
      <w:rFonts w:asciiTheme="majorHAnsi" w:eastAsiaTheme="majorEastAsia" w:hAnsiTheme="majorHAnsi" w:cstheme="majorBidi"/>
      <w:color w:val="2F5496" w:themeColor="accent1" w:themeShade="BF"/>
      <w:sz w:val="24"/>
      <w:szCs w:val="24"/>
      <w:lang w:val="en-US"/>
    </w:rPr>
  </w:style>
  <w:style w:type="character" w:customStyle="1" w:styleId="Heading6Char">
    <w:name w:val="Heading 6 Char"/>
    <w:basedOn w:val="DefaultParagraphFont"/>
    <w:link w:val="Heading6"/>
    <w:uiPriority w:val="9"/>
    <w:semiHidden/>
    <w:rsid w:val="00387D58"/>
    <w:rPr>
      <w:rFonts w:asciiTheme="majorHAnsi" w:eastAsiaTheme="majorEastAsia" w:hAnsiTheme="majorHAnsi" w:cstheme="majorBidi"/>
      <w:color w:val="1F3763" w:themeColor="accent1" w:themeShade="7F"/>
      <w:sz w:val="24"/>
      <w:szCs w:val="24"/>
      <w:lang w:val="en-US"/>
    </w:rPr>
  </w:style>
  <w:style w:type="character" w:customStyle="1" w:styleId="Heading7Char">
    <w:name w:val="Heading 7 Char"/>
    <w:basedOn w:val="DefaultParagraphFont"/>
    <w:link w:val="Heading7"/>
    <w:uiPriority w:val="9"/>
    <w:semiHidden/>
    <w:rsid w:val="00387D58"/>
    <w:rPr>
      <w:rFonts w:asciiTheme="majorHAnsi" w:eastAsiaTheme="majorEastAsia" w:hAnsiTheme="majorHAnsi" w:cstheme="majorBidi"/>
      <w:i/>
      <w:iCs/>
      <w:color w:val="1F3763" w:themeColor="accent1" w:themeShade="7F"/>
      <w:sz w:val="24"/>
      <w:szCs w:val="24"/>
      <w:lang w:val="en-US"/>
    </w:rPr>
  </w:style>
  <w:style w:type="character" w:customStyle="1" w:styleId="Heading8Char">
    <w:name w:val="Heading 8 Char"/>
    <w:basedOn w:val="DefaultParagraphFont"/>
    <w:link w:val="Heading8"/>
    <w:uiPriority w:val="9"/>
    <w:semiHidden/>
    <w:rsid w:val="00387D58"/>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387D58"/>
    <w:rPr>
      <w:rFonts w:asciiTheme="majorHAnsi" w:eastAsiaTheme="majorEastAsia" w:hAnsiTheme="majorHAnsi" w:cstheme="majorBidi"/>
      <w:i/>
      <w:iCs/>
      <w:color w:val="272727" w:themeColor="text1" w:themeTint="D8"/>
      <w:sz w:val="21"/>
      <w:szCs w:val="21"/>
      <w:lang w:val="en-US"/>
    </w:rPr>
  </w:style>
  <w:style w:type="paragraph" w:styleId="NoSpacing">
    <w:name w:val="No Spacing"/>
    <w:uiPriority w:val="1"/>
    <w:qFormat/>
    <w:rsid w:val="004C26C9"/>
    <w:pPr>
      <w:spacing w:after="0" w:line="240" w:lineRule="auto"/>
      <w:jc w:val="both"/>
    </w:pPr>
    <w:rPr>
      <w:rFonts w:ascii="Times New Roman" w:hAnsi="Times New Roman" w:cs="Times New Roman"/>
      <w:sz w:val="24"/>
      <w:szCs w:val="24"/>
      <w:lang w:val="en-US"/>
    </w:rPr>
  </w:style>
  <w:style w:type="paragraph" w:styleId="FootnoteText">
    <w:name w:val="footnote text"/>
    <w:basedOn w:val="Normal"/>
    <w:link w:val="FootnoteTextChar"/>
    <w:uiPriority w:val="99"/>
    <w:unhideWhenUsed/>
    <w:rsid w:val="00B64232"/>
    <w:pPr>
      <w:spacing w:after="0" w:line="240" w:lineRule="auto"/>
    </w:pPr>
    <w:rPr>
      <w:sz w:val="20"/>
      <w:szCs w:val="20"/>
    </w:rPr>
  </w:style>
  <w:style w:type="character" w:customStyle="1" w:styleId="FootnoteTextChar">
    <w:name w:val="Footnote Text Char"/>
    <w:basedOn w:val="DefaultParagraphFont"/>
    <w:link w:val="FootnoteText"/>
    <w:uiPriority w:val="99"/>
    <w:rsid w:val="00B64232"/>
    <w:rPr>
      <w:rFonts w:ascii="Times New Roman" w:hAnsi="Times New Roman" w:cs="Times New Roman"/>
      <w:sz w:val="20"/>
      <w:szCs w:val="20"/>
      <w:lang w:val="en-US"/>
    </w:rPr>
  </w:style>
  <w:style w:type="character" w:styleId="FootnoteReference">
    <w:name w:val="footnote reference"/>
    <w:basedOn w:val="DefaultParagraphFont"/>
    <w:uiPriority w:val="99"/>
    <w:unhideWhenUsed/>
    <w:rsid w:val="00B64232"/>
    <w:rPr>
      <w:vertAlign w:val="superscript"/>
    </w:rPr>
  </w:style>
  <w:style w:type="character" w:customStyle="1" w:styleId="UnresolvedMention2">
    <w:name w:val="Unresolved Mention2"/>
    <w:basedOn w:val="DefaultParagraphFont"/>
    <w:uiPriority w:val="99"/>
    <w:semiHidden/>
    <w:unhideWhenUsed/>
    <w:rsid w:val="00B3407B"/>
    <w:rPr>
      <w:color w:val="605E5C"/>
      <w:shd w:val="clear" w:color="auto" w:fill="E1DFDD"/>
    </w:rPr>
  </w:style>
  <w:style w:type="character" w:customStyle="1" w:styleId="fontstyle21">
    <w:name w:val="fontstyle21"/>
    <w:basedOn w:val="DefaultParagraphFont"/>
    <w:rsid w:val="00430402"/>
    <w:rPr>
      <w:rFonts w:ascii="AdvTT5235d5a9+fb" w:hAnsi="AdvTT5235d5a9+fb" w:hint="default"/>
      <w:b w:val="0"/>
      <w:bCs w:val="0"/>
      <w:i w:val="0"/>
      <w:iCs w:val="0"/>
      <w:color w:val="242021"/>
      <w:sz w:val="16"/>
      <w:szCs w:val="16"/>
    </w:rPr>
  </w:style>
  <w:style w:type="paragraph" w:customStyle="1" w:styleId="EndNoteBibliographyTitle">
    <w:name w:val="EndNote Bibliography Title"/>
    <w:basedOn w:val="Normal"/>
    <w:link w:val="EndNoteBibliographyTitleChar"/>
    <w:rsid w:val="003E0698"/>
    <w:pPr>
      <w:spacing w:after="0"/>
      <w:jc w:val="center"/>
    </w:pPr>
  </w:style>
  <w:style w:type="character" w:customStyle="1" w:styleId="EndNoteBibliographyTitleChar">
    <w:name w:val="EndNote Bibliography Title Char"/>
    <w:basedOn w:val="DefaultParagraphFont"/>
    <w:link w:val="EndNoteBibliographyTitle"/>
    <w:rsid w:val="003E0698"/>
    <w:rPr>
      <w:rFonts w:ascii="Times New Roman" w:hAnsi="Times New Roman" w:cs="Times New Roman"/>
      <w:sz w:val="24"/>
      <w:szCs w:val="24"/>
      <w:lang w:val="en-US"/>
    </w:rPr>
  </w:style>
  <w:style w:type="paragraph" w:customStyle="1" w:styleId="EndNoteBibliography">
    <w:name w:val="EndNote Bibliography"/>
    <w:basedOn w:val="Normal"/>
    <w:link w:val="EndNoteBibliographyChar"/>
    <w:rsid w:val="003E0698"/>
    <w:pPr>
      <w:spacing w:line="240" w:lineRule="auto"/>
      <w:jc w:val="lowKashida"/>
    </w:pPr>
  </w:style>
  <w:style w:type="character" w:customStyle="1" w:styleId="EndNoteBibliographyChar">
    <w:name w:val="EndNote Bibliography Char"/>
    <w:basedOn w:val="DefaultParagraphFont"/>
    <w:link w:val="EndNoteBibliography"/>
    <w:rsid w:val="003E0698"/>
    <w:rPr>
      <w:rFonts w:ascii="Times New Roman" w:hAnsi="Times New Roman" w:cs="Times New Roman"/>
      <w:sz w:val="24"/>
      <w:szCs w:val="24"/>
      <w:lang w:val="en-US"/>
    </w:rPr>
  </w:style>
  <w:style w:type="character" w:styleId="UnresolvedMention">
    <w:name w:val="Unresolved Mention"/>
    <w:basedOn w:val="DefaultParagraphFont"/>
    <w:uiPriority w:val="99"/>
    <w:semiHidden/>
    <w:unhideWhenUsed/>
    <w:rsid w:val="00ED476B"/>
    <w:rPr>
      <w:color w:val="605E5C"/>
      <w:shd w:val="clear" w:color="auto" w:fill="E1DFDD"/>
    </w:rPr>
  </w:style>
  <w:style w:type="character" w:customStyle="1" w:styleId="avtext">
    <w:name w:val="avtext"/>
    <w:basedOn w:val="DefaultParagraphFont"/>
    <w:rsid w:val="002801E6"/>
  </w:style>
  <w:style w:type="paragraph" w:customStyle="1" w:styleId="avtext1">
    <w:name w:val="avtext1"/>
    <w:basedOn w:val="Normal"/>
    <w:rsid w:val="002801E6"/>
    <w:pPr>
      <w:spacing w:before="100" w:beforeAutospacing="1" w:after="100" w:afterAutospacing="1" w:line="240" w:lineRule="auto"/>
      <w:jc w:val="left"/>
    </w:pPr>
    <w:rPr>
      <w:rFonts w:eastAsia="Times New Roman"/>
      <w:lang w:val="en-AU" w:eastAsia="en-AU"/>
    </w:rPr>
  </w:style>
  <w:style w:type="character" w:styleId="PlaceholderText">
    <w:name w:val="Placeholder Text"/>
    <w:basedOn w:val="DefaultParagraphFont"/>
    <w:uiPriority w:val="99"/>
    <w:semiHidden/>
    <w:rsid w:val="00AA52F3"/>
    <w:rPr>
      <w:color w:val="666666"/>
    </w:rPr>
  </w:style>
  <w:style w:type="paragraph" w:styleId="HTMLPreformatted">
    <w:name w:val="HTML Preformatted"/>
    <w:basedOn w:val="Normal"/>
    <w:link w:val="HTMLPreformattedChar"/>
    <w:uiPriority w:val="99"/>
    <w:semiHidden/>
    <w:unhideWhenUsed/>
    <w:rsid w:val="00F20B1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20B14"/>
    <w:rPr>
      <w:rFonts w:ascii="Consolas" w:hAnsi="Consola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5259">
      <w:bodyDiv w:val="1"/>
      <w:marLeft w:val="0"/>
      <w:marRight w:val="0"/>
      <w:marTop w:val="0"/>
      <w:marBottom w:val="0"/>
      <w:divBdr>
        <w:top w:val="none" w:sz="0" w:space="0" w:color="auto"/>
        <w:left w:val="none" w:sz="0" w:space="0" w:color="auto"/>
        <w:bottom w:val="none" w:sz="0" w:space="0" w:color="auto"/>
        <w:right w:val="none" w:sz="0" w:space="0" w:color="auto"/>
      </w:divBdr>
    </w:div>
    <w:div w:id="17463510">
      <w:bodyDiv w:val="1"/>
      <w:marLeft w:val="0"/>
      <w:marRight w:val="0"/>
      <w:marTop w:val="0"/>
      <w:marBottom w:val="0"/>
      <w:divBdr>
        <w:top w:val="none" w:sz="0" w:space="0" w:color="auto"/>
        <w:left w:val="none" w:sz="0" w:space="0" w:color="auto"/>
        <w:bottom w:val="none" w:sz="0" w:space="0" w:color="auto"/>
        <w:right w:val="none" w:sz="0" w:space="0" w:color="auto"/>
      </w:divBdr>
    </w:div>
    <w:div w:id="96951501">
      <w:bodyDiv w:val="1"/>
      <w:marLeft w:val="0"/>
      <w:marRight w:val="0"/>
      <w:marTop w:val="0"/>
      <w:marBottom w:val="0"/>
      <w:divBdr>
        <w:top w:val="none" w:sz="0" w:space="0" w:color="auto"/>
        <w:left w:val="none" w:sz="0" w:space="0" w:color="auto"/>
        <w:bottom w:val="none" w:sz="0" w:space="0" w:color="auto"/>
        <w:right w:val="none" w:sz="0" w:space="0" w:color="auto"/>
      </w:divBdr>
      <w:divsChild>
        <w:div w:id="250941758">
          <w:marLeft w:val="0"/>
          <w:marRight w:val="0"/>
          <w:marTop w:val="0"/>
          <w:marBottom w:val="0"/>
          <w:divBdr>
            <w:top w:val="none" w:sz="0" w:space="0" w:color="auto"/>
            <w:left w:val="none" w:sz="0" w:space="0" w:color="auto"/>
            <w:bottom w:val="none" w:sz="0" w:space="0" w:color="auto"/>
            <w:right w:val="none" w:sz="0" w:space="0" w:color="auto"/>
          </w:divBdr>
        </w:div>
        <w:div w:id="1038775069">
          <w:marLeft w:val="0"/>
          <w:marRight w:val="0"/>
          <w:marTop w:val="0"/>
          <w:marBottom w:val="0"/>
          <w:divBdr>
            <w:top w:val="none" w:sz="0" w:space="0" w:color="auto"/>
            <w:left w:val="none" w:sz="0" w:space="0" w:color="auto"/>
            <w:bottom w:val="none" w:sz="0" w:space="0" w:color="auto"/>
            <w:right w:val="none" w:sz="0" w:space="0" w:color="auto"/>
          </w:divBdr>
        </w:div>
        <w:div w:id="1143307276">
          <w:marLeft w:val="0"/>
          <w:marRight w:val="0"/>
          <w:marTop w:val="0"/>
          <w:marBottom w:val="0"/>
          <w:divBdr>
            <w:top w:val="none" w:sz="0" w:space="0" w:color="auto"/>
            <w:left w:val="none" w:sz="0" w:space="0" w:color="auto"/>
            <w:bottom w:val="none" w:sz="0" w:space="0" w:color="auto"/>
            <w:right w:val="none" w:sz="0" w:space="0" w:color="auto"/>
          </w:divBdr>
        </w:div>
      </w:divsChild>
    </w:div>
    <w:div w:id="97338742">
      <w:bodyDiv w:val="1"/>
      <w:marLeft w:val="0"/>
      <w:marRight w:val="0"/>
      <w:marTop w:val="0"/>
      <w:marBottom w:val="0"/>
      <w:divBdr>
        <w:top w:val="none" w:sz="0" w:space="0" w:color="auto"/>
        <w:left w:val="none" w:sz="0" w:space="0" w:color="auto"/>
        <w:bottom w:val="none" w:sz="0" w:space="0" w:color="auto"/>
        <w:right w:val="none" w:sz="0" w:space="0" w:color="auto"/>
      </w:divBdr>
    </w:div>
    <w:div w:id="102655455">
      <w:bodyDiv w:val="1"/>
      <w:marLeft w:val="0"/>
      <w:marRight w:val="0"/>
      <w:marTop w:val="0"/>
      <w:marBottom w:val="0"/>
      <w:divBdr>
        <w:top w:val="none" w:sz="0" w:space="0" w:color="auto"/>
        <w:left w:val="none" w:sz="0" w:space="0" w:color="auto"/>
        <w:bottom w:val="none" w:sz="0" w:space="0" w:color="auto"/>
        <w:right w:val="none" w:sz="0" w:space="0" w:color="auto"/>
      </w:divBdr>
    </w:div>
    <w:div w:id="135270603">
      <w:bodyDiv w:val="1"/>
      <w:marLeft w:val="0"/>
      <w:marRight w:val="0"/>
      <w:marTop w:val="0"/>
      <w:marBottom w:val="0"/>
      <w:divBdr>
        <w:top w:val="none" w:sz="0" w:space="0" w:color="auto"/>
        <w:left w:val="none" w:sz="0" w:space="0" w:color="auto"/>
        <w:bottom w:val="none" w:sz="0" w:space="0" w:color="auto"/>
        <w:right w:val="none" w:sz="0" w:space="0" w:color="auto"/>
      </w:divBdr>
    </w:div>
    <w:div w:id="138041041">
      <w:bodyDiv w:val="1"/>
      <w:marLeft w:val="0"/>
      <w:marRight w:val="0"/>
      <w:marTop w:val="0"/>
      <w:marBottom w:val="0"/>
      <w:divBdr>
        <w:top w:val="none" w:sz="0" w:space="0" w:color="auto"/>
        <w:left w:val="none" w:sz="0" w:space="0" w:color="auto"/>
        <w:bottom w:val="none" w:sz="0" w:space="0" w:color="auto"/>
        <w:right w:val="none" w:sz="0" w:space="0" w:color="auto"/>
      </w:divBdr>
    </w:div>
    <w:div w:id="150098026">
      <w:bodyDiv w:val="1"/>
      <w:marLeft w:val="0"/>
      <w:marRight w:val="0"/>
      <w:marTop w:val="0"/>
      <w:marBottom w:val="0"/>
      <w:divBdr>
        <w:top w:val="none" w:sz="0" w:space="0" w:color="auto"/>
        <w:left w:val="none" w:sz="0" w:space="0" w:color="auto"/>
        <w:bottom w:val="none" w:sz="0" w:space="0" w:color="auto"/>
        <w:right w:val="none" w:sz="0" w:space="0" w:color="auto"/>
      </w:divBdr>
    </w:div>
    <w:div w:id="152718716">
      <w:bodyDiv w:val="1"/>
      <w:marLeft w:val="0"/>
      <w:marRight w:val="0"/>
      <w:marTop w:val="0"/>
      <w:marBottom w:val="0"/>
      <w:divBdr>
        <w:top w:val="none" w:sz="0" w:space="0" w:color="auto"/>
        <w:left w:val="none" w:sz="0" w:space="0" w:color="auto"/>
        <w:bottom w:val="none" w:sz="0" w:space="0" w:color="auto"/>
        <w:right w:val="none" w:sz="0" w:space="0" w:color="auto"/>
      </w:divBdr>
    </w:div>
    <w:div w:id="161549781">
      <w:bodyDiv w:val="1"/>
      <w:marLeft w:val="0"/>
      <w:marRight w:val="0"/>
      <w:marTop w:val="0"/>
      <w:marBottom w:val="0"/>
      <w:divBdr>
        <w:top w:val="none" w:sz="0" w:space="0" w:color="auto"/>
        <w:left w:val="none" w:sz="0" w:space="0" w:color="auto"/>
        <w:bottom w:val="none" w:sz="0" w:space="0" w:color="auto"/>
        <w:right w:val="none" w:sz="0" w:space="0" w:color="auto"/>
      </w:divBdr>
    </w:div>
    <w:div w:id="167447343">
      <w:bodyDiv w:val="1"/>
      <w:marLeft w:val="0"/>
      <w:marRight w:val="0"/>
      <w:marTop w:val="0"/>
      <w:marBottom w:val="0"/>
      <w:divBdr>
        <w:top w:val="none" w:sz="0" w:space="0" w:color="auto"/>
        <w:left w:val="none" w:sz="0" w:space="0" w:color="auto"/>
        <w:bottom w:val="none" w:sz="0" w:space="0" w:color="auto"/>
        <w:right w:val="none" w:sz="0" w:space="0" w:color="auto"/>
      </w:divBdr>
    </w:div>
    <w:div w:id="168642237">
      <w:bodyDiv w:val="1"/>
      <w:marLeft w:val="0"/>
      <w:marRight w:val="0"/>
      <w:marTop w:val="0"/>
      <w:marBottom w:val="0"/>
      <w:divBdr>
        <w:top w:val="none" w:sz="0" w:space="0" w:color="auto"/>
        <w:left w:val="none" w:sz="0" w:space="0" w:color="auto"/>
        <w:bottom w:val="none" w:sz="0" w:space="0" w:color="auto"/>
        <w:right w:val="none" w:sz="0" w:space="0" w:color="auto"/>
      </w:divBdr>
    </w:div>
    <w:div w:id="177814804">
      <w:bodyDiv w:val="1"/>
      <w:marLeft w:val="0"/>
      <w:marRight w:val="0"/>
      <w:marTop w:val="0"/>
      <w:marBottom w:val="0"/>
      <w:divBdr>
        <w:top w:val="none" w:sz="0" w:space="0" w:color="auto"/>
        <w:left w:val="none" w:sz="0" w:space="0" w:color="auto"/>
        <w:bottom w:val="none" w:sz="0" w:space="0" w:color="auto"/>
        <w:right w:val="none" w:sz="0" w:space="0" w:color="auto"/>
      </w:divBdr>
      <w:divsChild>
        <w:div w:id="591814022">
          <w:marLeft w:val="0"/>
          <w:marRight w:val="0"/>
          <w:marTop w:val="0"/>
          <w:marBottom w:val="0"/>
          <w:divBdr>
            <w:top w:val="none" w:sz="0" w:space="0" w:color="auto"/>
            <w:left w:val="none" w:sz="0" w:space="0" w:color="auto"/>
            <w:bottom w:val="none" w:sz="0" w:space="0" w:color="auto"/>
            <w:right w:val="none" w:sz="0" w:space="0" w:color="auto"/>
          </w:divBdr>
        </w:div>
      </w:divsChild>
    </w:div>
    <w:div w:id="191724086">
      <w:bodyDiv w:val="1"/>
      <w:marLeft w:val="0"/>
      <w:marRight w:val="0"/>
      <w:marTop w:val="0"/>
      <w:marBottom w:val="0"/>
      <w:divBdr>
        <w:top w:val="none" w:sz="0" w:space="0" w:color="auto"/>
        <w:left w:val="none" w:sz="0" w:space="0" w:color="auto"/>
        <w:bottom w:val="none" w:sz="0" w:space="0" w:color="auto"/>
        <w:right w:val="none" w:sz="0" w:space="0" w:color="auto"/>
      </w:divBdr>
    </w:div>
    <w:div w:id="206836552">
      <w:bodyDiv w:val="1"/>
      <w:marLeft w:val="0"/>
      <w:marRight w:val="0"/>
      <w:marTop w:val="0"/>
      <w:marBottom w:val="0"/>
      <w:divBdr>
        <w:top w:val="none" w:sz="0" w:space="0" w:color="auto"/>
        <w:left w:val="none" w:sz="0" w:space="0" w:color="auto"/>
        <w:bottom w:val="none" w:sz="0" w:space="0" w:color="auto"/>
        <w:right w:val="none" w:sz="0" w:space="0" w:color="auto"/>
      </w:divBdr>
    </w:div>
    <w:div w:id="224339429">
      <w:bodyDiv w:val="1"/>
      <w:marLeft w:val="0"/>
      <w:marRight w:val="0"/>
      <w:marTop w:val="0"/>
      <w:marBottom w:val="0"/>
      <w:divBdr>
        <w:top w:val="none" w:sz="0" w:space="0" w:color="auto"/>
        <w:left w:val="none" w:sz="0" w:space="0" w:color="auto"/>
        <w:bottom w:val="none" w:sz="0" w:space="0" w:color="auto"/>
        <w:right w:val="none" w:sz="0" w:space="0" w:color="auto"/>
      </w:divBdr>
    </w:div>
    <w:div w:id="227884878">
      <w:bodyDiv w:val="1"/>
      <w:marLeft w:val="0"/>
      <w:marRight w:val="0"/>
      <w:marTop w:val="0"/>
      <w:marBottom w:val="0"/>
      <w:divBdr>
        <w:top w:val="none" w:sz="0" w:space="0" w:color="auto"/>
        <w:left w:val="none" w:sz="0" w:space="0" w:color="auto"/>
        <w:bottom w:val="none" w:sz="0" w:space="0" w:color="auto"/>
        <w:right w:val="none" w:sz="0" w:space="0" w:color="auto"/>
      </w:divBdr>
      <w:divsChild>
        <w:div w:id="337581982">
          <w:marLeft w:val="0"/>
          <w:marRight w:val="0"/>
          <w:marTop w:val="0"/>
          <w:marBottom w:val="0"/>
          <w:divBdr>
            <w:top w:val="none" w:sz="0" w:space="0" w:color="auto"/>
            <w:left w:val="none" w:sz="0" w:space="0" w:color="auto"/>
            <w:bottom w:val="none" w:sz="0" w:space="0" w:color="auto"/>
            <w:right w:val="none" w:sz="0" w:space="0" w:color="auto"/>
          </w:divBdr>
          <w:divsChild>
            <w:div w:id="67384768">
              <w:marLeft w:val="0"/>
              <w:marRight w:val="0"/>
              <w:marTop w:val="0"/>
              <w:marBottom w:val="0"/>
              <w:divBdr>
                <w:top w:val="none" w:sz="0" w:space="0" w:color="auto"/>
                <w:left w:val="none" w:sz="0" w:space="0" w:color="auto"/>
                <w:bottom w:val="none" w:sz="0" w:space="0" w:color="auto"/>
                <w:right w:val="none" w:sz="0" w:space="0" w:color="auto"/>
              </w:divBdr>
              <w:divsChild>
                <w:div w:id="1087770955">
                  <w:marLeft w:val="0"/>
                  <w:marRight w:val="0"/>
                  <w:marTop w:val="0"/>
                  <w:marBottom w:val="0"/>
                  <w:divBdr>
                    <w:top w:val="none" w:sz="0" w:space="0" w:color="auto"/>
                    <w:left w:val="none" w:sz="0" w:space="0" w:color="auto"/>
                    <w:bottom w:val="none" w:sz="0" w:space="0" w:color="auto"/>
                    <w:right w:val="none" w:sz="0" w:space="0" w:color="auto"/>
                  </w:divBdr>
                  <w:divsChild>
                    <w:div w:id="2045788690">
                      <w:marLeft w:val="0"/>
                      <w:marRight w:val="0"/>
                      <w:marTop w:val="0"/>
                      <w:marBottom w:val="0"/>
                      <w:divBdr>
                        <w:top w:val="none" w:sz="0" w:space="0" w:color="auto"/>
                        <w:left w:val="none" w:sz="0" w:space="0" w:color="auto"/>
                        <w:bottom w:val="none" w:sz="0" w:space="0" w:color="auto"/>
                        <w:right w:val="none" w:sz="0" w:space="0" w:color="auto"/>
                      </w:divBdr>
                      <w:divsChild>
                        <w:div w:id="1507865323">
                          <w:marLeft w:val="0"/>
                          <w:marRight w:val="0"/>
                          <w:marTop w:val="0"/>
                          <w:marBottom w:val="0"/>
                          <w:divBdr>
                            <w:top w:val="none" w:sz="0" w:space="0" w:color="auto"/>
                            <w:left w:val="none" w:sz="0" w:space="0" w:color="auto"/>
                            <w:bottom w:val="none" w:sz="0" w:space="0" w:color="auto"/>
                            <w:right w:val="none" w:sz="0" w:space="0" w:color="auto"/>
                          </w:divBdr>
                          <w:divsChild>
                            <w:div w:id="203082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9445">
      <w:bodyDiv w:val="1"/>
      <w:marLeft w:val="0"/>
      <w:marRight w:val="0"/>
      <w:marTop w:val="0"/>
      <w:marBottom w:val="0"/>
      <w:divBdr>
        <w:top w:val="none" w:sz="0" w:space="0" w:color="auto"/>
        <w:left w:val="none" w:sz="0" w:space="0" w:color="auto"/>
        <w:bottom w:val="none" w:sz="0" w:space="0" w:color="auto"/>
        <w:right w:val="none" w:sz="0" w:space="0" w:color="auto"/>
      </w:divBdr>
    </w:div>
    <w:div w:id="270212940">
      <w:bodyDiv w:val="1"/>
      <w:marLeft w:val="0"/>
      <w:marRight w:val="0"/>
      <w:marTop w:val="0"/>
      <w:marBottom w:val="0"/>
      <w:divBdr>
        <w:top w:val="none" w:sz="0" w:space="0" w:color="auto"/>
        <w:left w:val="none" w:sz="0" w:space="0" w:color="auto"/>
        <w:bottom w:val="none" w:sz="0" w:space="0" w:color="auto"/>
        <w:right w:val="none" w:sz="0" w:space="0" w:color="auto"/>
      </w:divBdr>
    </w:div>
    <w:div w:id="283462342">
      <w:bodyDiv w:val="1"/>
      <w:marLeft w:val="0"/>
      <w:marRight w:val="0"/>
      <w:marTop w:val="0"/>
      <w:marBottom w:val="0"/>
      <w:divBdr>
        <w:top w:val="none" w:sz="0" w:space="0" w:color="auto"/>
        <w:left w:val="none" w:sz="0" w:space="0" w:color="auto"/>
        <w:bottom w:val="none" w:sz="0" w:space="0" w:color="auto"/>
        <w:right w:val="none" w:sz="0" w:space="0" w:color="auto"/>
      </w:divBdr>
    </w:div>
    <w:div w:id="305167565">
      <w:bodyDiv w:val="1"/>
      <w:marLeft w:val="0"/>
      <w:marRight w:val="0"/>
      <w:marTop w:val="0"/>
      <w:marBottom w:val="0"/>
      <w:divBdr>
        <w:top w:val="none" w:sz="0" w:space="0" w:color="auto"/>
        <w:left w:val="none" w:sz="0" w:space="0" w:color="auto"/>
        <w:bottom w:val="none" w:sz="0" w:space="0" w:color="auto"/>
        <w:right w:val="none" w:sz="0" w:space="0" w:color="auto"/>
      </w:divBdr>
    </w:div>
    <w:div w:id="364793024">
      <w:bodyDiv w:val="1"/>
      <w:marLeft w:val="0"/>
      <w:marRight w:val="0"/>
      <w:marTop w:val="0"/>
      <w:marBottom w:val="0"/>
      <w:divBdr>
        <w:top w:val="none" w:sz="0" w:space="0" w:color="auto"/>
        <w:left w:val="none" w:sz="0" w:space="0" w:color="auto"/>
        <w:bottom w:val="none" w:sz="0" w:space="0" w:color="auto"/>
        <w:right w:val="none" w:sz="0" w:space="0" w:color="auto"/>
      </w:divBdr>
    </w:div>
    <w:div w:id="376203742">
      <w:bodyDiv w:val="1"/>
      <w:marLeft w:val="0"/>
      <w:marRight w:val="0"/>
      <w:marTop w:val="0"/>
      <w:marBottom w:val="0"/>
      <w:divBdr>
        <w:top w:val="none" w:sz="0" w:space="0" w:color="auto"/>
        <w:left w:val="none" w:sz="0" w:space="0" w:color="auto"/>
        <w:bottom w:val="none" w:sz="0" w:space="0" w:color="auto"/>
        <w:right w:val="none" w:sz="0" w:space="0" w:color="auto"/>
      </w:divBdr>
    </w:div>
    <w:div w:id="398097588">
      <w:bodyDiv w:val="1"/>
      <w:marLeft w:val="0"/>
      <w:marRight w:val="0"/>
      <w:marTop w:val="0"/>
      <w:marBottom w:val="0"/>
      <w:divBdr>
        <w:top w:val="none" w:sz="0" w:space="0" w:color="auto"/>
        <w:left w:val="none" w:sz="0" w:space="0" w:color="auto"/>
        <w:bottom w:val="none" w:sz="0" w:space="0" w:color="auto"/>
        <w:right w:val="none" w:sz="0" w:space="0" w:color="auto"/>
      </w:divBdr>
    </w:div>
    <w:div w:id="415438485">
      <w:bodyDiv w:val="1"/>
      <w:marLeft w:val="0"/>
      <w:marRight w:val="0"/>
      <w:marTop w:val="0"/>
      <w:marBottom w:val="0"/>
      <w:divBdr>
        <w:top w:val="none" w:sz="0" w:space="0" w:color="auto"/>
        <w:left w:val="none" w:sz="0" w:space="0" w:color="auto"/>
        <w:bottom w:val="none" w:sz="0" w:space="0" w:color="auto"/>
        <w:right w:val="none" w:sz="0" w:space="0" w:color="auto"/>
      </w:divBdr>
      <w:divsChild>
        <w:div w:id="237138736">
          <w:marLeft w:val="0"/>
          <w:marRight w:val="0"/>
          <w:marTop w:val="0"/>
          <w:marBottom w:val="0"/>
          <w:divBdr>
            <w:top w:val="none" w:sz="0" w:space="0" w:color="auto"/>
            <w:left w:val="none" w:sz="0" w:space="0" w:color="auto"/>
            <w:bottom w:val="none" w:sz="0" w:space="0" w:color="auto"/>
            <w:right w:val="none" w:sz="0" w:space="0" w:color="auto"/>
          </w:divBdr>
          <w:divsChild>
            <w:div w:id="1218197992">
              <w:marLeft w:val="0"/>
              <w:marRight w:val="0"/>
              <w:marTop w:val="0"/>
              <w:marBottom w:val="60"/>
              <w:divBdr>
                <w:top w:val="none" w:sz="0" w:space="0" w:color="auto"/>
                <w:left w:val="none" w:sz="0" w:space="0" w:color="auto"/>
                <w:bottom w:val="none" w:sz="0" w:space="0" w:color="auto"/>
                <w:right w:val="none" w:sz="0" w:space="0" w:color="auto"/>
              </w:divBdr>
              <w:divsChild>
                <w:div w:id="1144195368">
                  <w:marLeft w:val="0"/>
                  <w:marRight w:val="0"/>
                  <w:marTop w:val="0"/>
                  <w:marBottom w:val="0"/>
                  <w:divBdr>
                    <w:top w:val="none" w:sz="0" w:space="0" w:color="auto"/>
                    <w:left w:val="none" w:sz="0" w:space="0" w:color="auto"/>
                    <w:bottom w:val="none" w:sz="0" w:space="0" w:color="auto"/>
                    <w:right w:val="none" w:sz="0" w:space="0" w:color="auto"/>
                  </w:divBdr>
                  <w:divsChild>
                    <w:div w:id="491337256">
                      <w:marLeft w:val="0"/>
                      <w:marRight w:val="0"/>
                      <w:marTop w:val="0"/>
                      <w:marBottom w:val="0"/>
                      <w:divBdr>
                        <w:top w:val="none" w:sz="0" w:space="0" w:color="auto"/>
                        <w:left w:val="none" w:sz="0" w:space="0" w:color="auto"/>
                        <w:bottom w:val="none" w:sz="0" w:space="0" w:color="auto"/>
                        <w:right w:val="none" w:sz="0" w:space="0" w:color="auto"/>
                      </w:divBdr>
                      <w:divsChild>
                        <w:div w:id="145709577">
                          <w:marLeft w:val="0"/>
                          <w:marRight w:val="0"/>
                          <w:marTop w:val="0"/>
                          <w:marBottom w:val="0"/>
                          <w:divBdr>
                            <w:top w:val="none" w:sz="0" w:space="0" w:color="auto"/>
                            <w:left w:val="none" w:sz="0" w:space="0" w:color="auto"/>
                            <w:bottom w:val="none" w:sz="0" w:space="0" w:color="auto"/>
                            <w:right w:val="none" w:sz="0" w:space="0" w:color="auto"/>
                          </w:divBdr>
                          <w:divsChild>
                            <w:div w:id="214513970">
                              <w:marLeft w:val="0"/>
                              <w:marRight w:val="0"/>
                              <w:marTop w:val="0"/>
                              <w:marBottom w:val="0"/>
                              <w:divBdr>
                                <w:top w:val="none" w:sz="0" w:space="0" w:color="auto"/>
                                <w:left w:val="none" w:sz="0" w:space="0" w:color="auto"/>
                                <w:bottom w:val="none" w:sz="0" w:space="0" w:color="auto"/>
                                <w:right w:val="none" w:sz="0" w:space="0" w:color="auto"/>
                              </w:divBdr>
                              <w:divsChild>
                                <w:div w:id="103411762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983585611">
                              <w:marLeft w:val="0"/>
                              <w:marRight w:val="0"/>
                              <w:marTop w:val="0"/>
                              <w:marBottom w:val="0"/>
                              <w:divBdr>
                                <w:top w:val="none" w:sz="0" w:space="0" w:color="auto"/>
                                <w:left w:val="none" w:sz="0" w:space="0" w:color="auto"/>
                                <w:bottom w:val="none" w:sz="0" w:space="0" w:color="auto"/>
                                <w:right w:val="none" w:sz="0" w:space="0" w:color="auto"/>
                              </w:divBdr>
                              <w:divsChild>
                                <w:div w:id="1236159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29863216">
                              <w:marLeft w:val="0"/>
                              <w:marRight w:val="0"/>
                              <w:marTop w:val="0"/>
                              <w:marBottom w:val="0"/>
                              <w:divBdr>
                                <w:top w:val="none" w:sz="0" w:space="0" w:color="auto"/>
                                <w:left w:val="none" w:sz="0" w:space="0" w:color="auto"/>
                                <w:bottom w:val="none" w:sz="0" w:space="0" w:color="auto"/>
                                <w:right w:val="none" w:sz="0" w:space="0" w:color="auto"/>
                              </w:divBdr>
                              <w:divsChild>
                                <w:div w:id="198989364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49185574">
                              <w:marLeft w:val="0"/>
                              <w:marRight w:val="0"/>
                              <w:marTop w:val="0"/>
                              <w:marBottom w:val="0"/>
                              <w:divBdr>
                                <w:top w:val="none" w:sz="0" w:space="0" w:color="auto"/>
                                <w:left w:val="none" w:sz="0" w:space="0" w:color="auto"/>
                                <w:bottom w:val="none" w:sz="0" w:space="0" w:color="auto"/>
                                <w:right w:val="none" w:sz="0" w:space="0" w:color="auto"/>
                              </w:divBdr>
                              <w:divsChild>
                                <w:div w:id="21937095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1918466">
                              <w:marLeft w:val="0"/>
                              <w:marRight w:val="0"/>
                              <w:marTop w:val="0"/>
                              <w:marBottom w:val="0"/>
                              <w:divBdr>
                                <w:top w:val="none" w:sz="0" w:space="0" w:color="auto"/>
                                <w:left w:val="none" w:sz="0" w:space="0" w:color="auto"/>
                                <w:bottom w:val="none" w:sz="0" w:space="0" w:color="auto"/>
                                <w:right w:val="none" w:sz="0" w:space="0" w:color="auto"/>
                              </w:divBdr>
                              <w:divsChild>
                                <w:div w:id="98304792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65389933">
                              <w:marLeft w:val="0"/>
                              <w:marRight w:val="0"/>
                              <w:marTop w:val="0"/>
                              <w:marBottom w:val="0"/>
                              <w:divBdr>
                                <w:top w:val="none" w:sz="0" w:space="0" w:color="auto"/>
                                <w:left w:val="none" w:sz="0" w:space="0" w:color="auto"/>
                                <w:bottom w:val="none" w:sz="0" w:space="0" w:color="auto"/>
                                <w:right w:val="none" w:sz="0" w:space="0" w:color="auto"/>
                              </w:divBdr>
                              <w:divsChild>
                                <w:div w:id="198576783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sChild>
            </w:div>
          </w:divsChild>
        </w:div>
      </w:divsChild>
    </w:div>
    <w:div w:id="475613652">
      <w:bodyDiv w:val="1"/>
      <w:marLeft w:val="0"/>
      <w:marRight w:val="0"/>
      <w:marTop w:val="0"/>
      <w:marBottom w:val="0"/>
      <w:divBdr>
        <w:top w:val="none" w:sz="0" w:space="0" w:color="auto"/>
        <w:left w:val="none" w:sz="0" w:space="0" w:color="auto"/>
        <w:bottom w:val="none" w:sz="0" w:space="0" w:color="auto"/>
        <w:right w:val="none" w:sz="0" w:space="0" w:color="auto"/>
      </w:divBdr>
      <w:divsChild>
        <w:div w:id="1546218246">
          <w:marLeft w:val="360"/>
          <w:marRight w:val="0"/>
          <w:marTop w:val="200"/>
          <w:marBottom w:val="0"/>
          <w:divBdr>
            <w:top w:val="none" w:sz="0" w:space="0" w:color="auto"/>
            <w:left w:val="none" w:sz="0" w:space="0" w:color="auto"/>
            <w:bottom w:val="none" w:sz="0" w:space="0" w:color="auto"/>
            <w:right w:val="none" w:sz="0" w:space="0" w:color="auto"/>
          </w:divBdr>
        </w:div>
        <w:div w:id="2106530874">
          <w:marLeft w:val="1080"/>
          <w:marRight w:val="0"/>
          <w:marTop w:val="100"/>
          <w:marBottom w:val="0"/>
          <w:divBdr>
            <w:top w:val="none" w:sz="0" w:space="0" w:color="auto"/>
            <w:left w:val="none" w:sz="0" w:space="0" w:color="auto"/>
            <w:bottom w:val="none" w:sz="0" w:space="0" w:color="auto"/>
            <w:right w:val="none" w:sz="0" w:space="0" w:color="auto"/>
          </w:divBdr>
        </w:div>
        <w:div w:id="849880109">
          <w:marLeft w:val="360"/>
          <w:marRight w:val="0"/>
          <w:marTop w:val="200"/>
          <w:marBottom w:val="0"/>
          <w:divBdr>
            <w:top w:val="none" w:sz="0" w:space="0" w:color="auto"/>
            <w:left w:val="none" w:sz="0" w:space="0" w:color="auto"/>
            <w:bottom w:val="none" w:sz="0" w:space="0" w:color="auto"/>
            <w:right w:val="none" w:sz="0" w:space="0" w:color="auto"/>
          </w:divBdr>
        </w:div>
        <w:div w:id="533617422">
          <w:marLeft w:val="1080"/>
          <w:marRight w:val="0"/>
          <w:marTop w:val="100"/>
          <w:marBottom w:val="0"/>
          <w:divBdr>
            <w:top w:val="none" w:sz="0" w:space="0" w:color="auto"/>
            <w:left w:val="none" w:sz="0" w:space="0" w:color="auto"/>
            <w:bottom w:val="none" w:sz="0" w:space="0" w:color="auto"/>
            <w:right w:val="none" w:sz="0" w:space="0" w:color="auto"/>
          </w:divBdr>
        </w:div>
        <w:div w:id="702294014">
          <w:marLeft w:val="360"/>
          <w:marRight w:val="0"/>
          <w:marTop w:val="200"/>
          <w:marBottom w:val="0"/>
          <w:divBdr>
            <w:top w:val="none" w:sz="0" w:space="0" w:color="auto"/>
            <w:left w:val="none" w:sz="0" w:space="0" w:color="auto"/>
            <w:bottom w:val="none" w:sz="0" w:space="0" w:color="auto"/>
            <w:right w:val="none" w:sz="0" w:space="0" w:color="auto"/>
          </w:divBdr>
        </w:div>
        <w:div w:id="1220946100">
          <w:marLeft w:val="360"/>
          <w:marRight w:val="0"/>
          <w:marTop w:val="200"/>
          <w:marBottom w:val="0"/>
          <w:divBdr>
            <w:top w:val="none" w:sz="0" w:space="0" w:color="auto"/>
            <w:left w:val="none" w:sz="0" w:space="0" w:color="auto"/>
            <w:bottom w:val="none" w:sz="0" w:space="0" w:color="auto"/>
            <w:right w:val="none" w:sz="0" w:space="0" w:color="auto"/>
          </w:divBdr>
        </w:div>
        <w:div w:id="1750540897">
          <w:marLeft w:val="1080"/>
          <w:marRight w:val="0"/>
          <w:marTop w:val="100"/>
          <w:marBottom w:val="0"/>
          <w:divBdr>
            <w:top w:val="none" w:sz="0" w:space="0" w:color="auto"/>
            <w:left w:val="none" w:sz="0" w:space="0" w:color="auto"/>
            <w:bottom w:val="none" w:sz="0" w:space="0" w:color="auto"/>
            <w:right w:val="none" w:sz="0" w:space="0" w:color="auto"/>
          </w:divBdr>
        </w:div>
        <w:div w:id="1820729417">
          <w:marLeft w:val="360"/>
          <w:marRight w:val="0"/>
          <w:marTop w:val="200"/>
          <w:marBottom w:val="0"/>
          <w:divBdr>
            <w:top w:val="none" w:sz="0" w:space="0" w:color="auto"/>
            <w:left w:val="none" w:sz="0" w:space="0" w:color="auto"/>
            <w:bottom w:val="none" w:sz="0" w:space="0" w:color="auto"/>
            <w:right w:val="none" w:sz="0" w:space="0" w:color="auto"/>
          </w:divBdr>
        </w:div>
        <w:div w:id="1584679113">
          <w:marLeft w:val="1080"/>
          <w:marRight w:val="0"/>
          <w:marTop w:val="100"/>
          <w:marBottom w:val="0"/>
          <w:divBdr>
            <w:top w:val="none" w:sz="0" w:space="0" w:color="auto"/>
            <w:left w:val="none" w:sz="0" w:space="0" w:color="auto"/>
            <w:bottom w:val="none" w:sz="0" w:space="0" w:color="auto"/>
            <w:right w:val="none" w:sz="0" w:space="0" w:color="auto"/>
          </w:divBdr>
        </w:div>
        <w:div w:id="1949970849">
          <w:marLeft w:val="1080"/>
          <w:marRight w:val="0"/>
          <w:marTop w:val="100"/>
          <w:marBottom w:val="0"/>
          <w:divBdr>
            <w:top w:val="none" w:sz="0" w:space="0" w:color="auto"/>
            <w:left w:val="none" w:sz="0" w:space="0" w:color="auto"/>
            <w:bottom w:val="none" w:sz="0" w:space="0" w:color="auto"/>
            <w:right w:val="none" w:sz="0" w:space="0" w:color="auto"/>
          </w:divBdr>
        </w:div>
        <w:div w:id="551814695">
          <w:marLeft w:val="360"/>
          <w:marRight w:val="0"/>
          <w:marTop w:val="200"/>
          <w:marBottom w:val="0"/>
          <w:divBdr>
            <w:top w:val="none" w:sz="0" w:space="0" w:color="auto"/>
            <w:left w:val="none" w:sz="0" w:space="0" w:color="auto"/>
            <w:bottom w:val="none" w:sz="0" w:space="0" w:color="auto"/>
            <w:right w:val="none" w:sz="0" w:space="0" w:color="auto"/>
          </w:divBdr>
        </w:div>
      </w:divsChild>
    </w:div>
    <w:div w:id="594705840">
      <w:bodyDiv w:val="1"/>
      <w:marLeft w:val="0"/>
      <w:marRight w:val="0"/>
      <w:marTop w:val="0"/>
      <w:marBottom w:val="0"/>
      <w:divBdr>
        <w:top w:val="none" w:sz="0" w:space="0" w:color="auto"/>
        <w:left w:val="none" w:sz="0" w:space="0" w:color="auto"/>
        <w:bottom w:val="none" w:sz="0" w:space="0" w:color="auto"/>
        <w:right w:val="none" w:sz="0" w:space="0" w:color="auto"/>
      </w:divBdr>
    </w:div>
    <w:div w:id="605694582">
      <w:bodyDiv w:val="1"/>
      <w:marLeft w:val="0"/>
      <w:marRight w:val="0"/>
      <w:marTop w:val="0"/>
      <w:marBottom w:val="0"/>
      <w:divBdr>
        <w:top w:val="none" w:sz="0" w:space="0" w:color="auto"/>
        <w:left w:val="none" w:sz="0" w:space="0" w:color="auto"/>
        <w:bottom w:val="none" w:sz="0" w:space="0" w:color="auto"/>
        <w:right w:val="none" w:sz="0" w:space="0" w:color="auto"/>
      </w:divBdr>
    </w:div>
    <w:div w:id="639382633">
      <w:bodyDiv w:val="1"/>
      <w:marLeft w:val="0"/>
      <w:marRight w:val="0"/>
      <w:marTop w:val="0"/>
      <w:marBottom w:val="0"/>
      <w:divBdr>
        <w:top w:val="none" w:sz="0" w:space="0" w:color="auto"/>
        <w:left w:val="none" w:sz="0" w:space="0" w:color="auto"/>
        <w:bottom w:val="none" w:sz="0" w:space="0" w:color="auto"/>
        <w:right w:val="none" w:sz="0" w:space="0" w:color="auto"/>
      </w:divBdr>
    </w:div>
    <w:div w:id="711658196">
      <w:bodyDiv w:val="1"/>
      <w:marLeft w:val="0"/>
      <w:marRight w:val="0"/>
      <w:marTop w:val="0"/>
      <w:marBottom w:val="0"/>
      <w:divBdr>
        <w:top w:val="none" w:sz="0" w:space="0" w:color="auto"/>
        <w:left w:val="none" w:sz="0" w:space="0" w:color="auto"/>
        <w:bottom w:val="none" w:sz="0" w:space="0" w:color="auto"/>
        <w:right w:val="none" w:sz="0" w:space="0" w:color="auto"/>
      </w:divBdr>
    </w:div>
    <w:div w:id="743139884">
      <w:bodyDiv w:val="1"/>
      <w:marLeft w:val="0"/>
      <w:marRight w:val="0"/>
      <w:marTop w:val="0"/>
      <w:marBottom w:val="0"/>
      <w:divBdr>
        <w:top w:val="none" w:sz="0" w:space="0" w:color="auto"/>
        <w:left w:val="none" w:sz="0" w:space="0" w:color="auto"/>
        <w:bottom w:val="none" w:sz="0" w:space="0" w:color="auto"/>
        <w:right w:val="none" w:sz="0" w:space="0" w:color="auto"/>
      </w:divBdr>
    </w:div>
    <w:div w:id="747002224">
      <w:bodyDiv w:val="1"/>
      <w:marLeft w:val="0"/>
      <w:marRight w:val="0"/>
      <w:marTop w:val="0"/>
      <w:marBottom w:val="0"/>
      <w:divBdr>
        <w:top w:val="none" w:sz="0" w:space="0" w:color="auto"/>
        <w:left w:val="none" w:sz="0" w:space="0" w:color="auto"/>
        <w:bottom w:val="none" w:sz="0" w:space="0" w:color="auto"/>
        <w:right w:val="none" w:sz="0" w:space="0" w:color="auto"/>
      </w:divBdr>
    </w:div>
    <w:div w:id="748698425">
      <w:bodyDiv w:val="1"/>
      <w:marLeft w:val="0"/>
      <w:marRight w:val="0"/>
      <w:marTop w:val="0"/>
      <w:marBottom w:val="0"/>
      <w:divBdr>
        <w:top w:val="none" w:sz="0" w:space="0" w:color="auto"/>
        <w:left w:val="none" w:sz="0" w:space="0" w:color="auto"/>
        <w:bottom w:val="none" w:sz="0" w:space="0" w:color="auto"/>
        <w:right w:val="none" w:sz="0" w:space="0" w:color="auto"/>
      </w:divBdr>
    </w:div>
    <w:div w:id="749498566">
      <w:bodyDiv w:val="1"/>
      <w:marLeft w:val="0"/>
      <w:marRight w:val="0"/>
      <w:marTop w:val="0"/>
      <w:marBottom w:val="0"/>
      <w:divBdr>
        <w:top w:val="none" w:sz="0" w:space="0" w:color="auto"/>
        <w:left w:val="none" w:sz="0" w:space="0" w:color="auto"/>
        <w:bottom w:val="none" w:sz="0" w:space="0" w:color="auto"/>
        <w:right w:val="none" w:sz="0" w:space="0" w:color="auto"/>
      </w:divBdr>
    </w:div>
    <w:div w:id="759135308">
      <w:bodyDiv w:val="1"/>
      <w:marLeft w:val="0"/>
      <w:marRight w:val="0"/>
      <w:marTop w:val="0"/>
      <w:marBottom w:val="0"/>
      <w:divBdr>
        <w:top w:val="none" w:sz="0" w:space="0" w:color="auto"/>
        <w:left w:val="none" w:sz="0" w:space="0" w:color="auto"/>
        <w:bottom w:val="none" w:sz="0" w:space="0" w:color="auto"/>
        <w:right w:val="none" w:sz="0" w:space="0" w:color="auto"/>
      </w:divBdr>
    </w:div>
    <w:div w:id="759840432">
      <w:bodyDiv w:val="1"/>
      <w:marLeft w:val="0"/>
      <w:marRight w:val="0"/>
      <w:marTop w:val="0"/>
      <w:marBottom w:val="0"/>
      <w:divBdr>
        <w:top w:val="none" w:sz="0" w:space="0" w:color="auto"/>
        <w:left w:val="none" w:sz="0" w:space="0" w:color="auto"/>
        <w:bottom w:val="none" w:sz="0" w:space="0" w:color="auto"/>
        <w:right w:val="none" w:sz="0" w:space="0" w:color="auto"/>
      </w:divBdr>
    </w:div>
    <w:div w:id="769815607">
      <w:bodyDiv w:val="1"/>
      <w:marLeft w:val="0"/>
      <w:marRight w:val="0"/>
      <w:marTop w:val="0"/>
      <w:marBottom w:val="0"/>
      <w:divBdr>
        <w:top w:val="none" w:sz="0" w:space="0" w:color="auto"/>
        <w:left w:val="none" w:sz="0" w:space="0" w:color="auto"/>
        <w:bottom w:val="none" w:sz="0" w:space="0" w:color="auto"/>
        <w:right w:val="none" w:sz="0" w:space="0" w:color="auto"/>
      </w:divBdr>
    </w:div>
    <w:div w:id="774131644">
      <w:bodyDiv w:val="1"/>
      <w:marLeft w:val="0"/>
      <w:marRight w:val="0"/>
      <w:marTop w:val="0"/>
      <w:marBottom w:val="0"/>
      <w:divBdr>
        <w:top w:val="none" w:sz="0" w:space="0" w:color="auto"/>
        <w:left w:val="none" w:sz="0" w:space="0" w:color="auto"/>
        <w:bottom w:val="none" w:sz="0" w:space="0" w:color="auto"/>
        <w:right w:val="none" w:sz="0" w:space="0" w:color="auto"/>
      </w:divBdr>
    </w:div>
    <w:div w:id="797265077">
      <w:bodyDiv w:val="1"/>
      <w:marLeft w:val="0"/>
      <w:marRight w:val="0"/>
      <w:marTop w:val="0"/>
      <w:marBottom w:val="0"/>
      <w:divBdr>
        <w:top w:val="none" w:sz="0" w:space="0" w:color="auto"/>
        <w:left w:val="none" w:sz="0" w:space="0" w:color="auto"/>
        <w:bottom w:val="none" w:sz="0" w:space="0" w:color="auto"/>
        <w:right w:val="none" w:sz="0" w:space="0" w:color="auto"/>
      </w:divBdr>
    </w:div>
    <w:div w:id="811629974">
      <w:bodyDiv w:val="1"/>
      <w:marLeft w:val="0"/>
      <w:marRight w:val="0"/>
      <w:marTop w:val="0"/>
      <w:marBottom w:val="0"/>
      <w:divBdr>
        <w:top w:val="none" w:sz="0" w:space="0" w:color="auto"/>
        <w:left w:val="none" w:sz="0" w:space="0" w:color="auto"/>
        <w:bottom w:val="none" w:sz="0" w:space="0" w:color="auto"/>
        <w:right w:val="none" w:sz="0" w:space="0" w:color="auto"/>
      </w:divBdr>
    </w:div>
    <w:div w:id="823858701">
      <w:bodyDiv w:val="1"/>
      <w:marLeft w:val="0"/>
      <w:marRight w:val="0"/>
      <w:marTop w:val="0"/>
      <w:marBottom w:val="0"/>
      <w:divBdr>
        <w:top w:val="none" w:sz="0" w:space="0" w:color="auto"/>
        <w:left w:val="none" w:sz="0" w:space="0" w:color="auto"/>
        <w:bottom w:val="none" w:sz="0" w:space="0" w:color="auto"/>
        <w:right w:val="none" w:sz="0" w:space="0" w:color="auto"/>
      </w:divBdr>
    </w:div>
    <w:div w:id="890074328">
      <w:bodyDiv w:val="1"/>
      <w:marLeft w:val="0"/>
      <w:marRight w:val="0"/>
      <w:marTop w:val="0"/>
      <w:marBottom w:val="0"/>
      <w:divBdr>
        <w:top w:val="none" w:sz="0" w:space="0" w:color="auto"/>
        <w:left w:val="none" w:sz="0" w:space="0" w:color="auto"/>
        <w:bottom w:val="none" w:sz="0" w:space="0" w:color="auto"/>
        <w:right w:val="none" w:sz="0" w:space="0" w:color="auto"/>
      </w:divBdr>
    </w:div>
    <w:div w:id="913390405">
      <w:bodyDiv w:val="1"/>
      <w:marLeft w:val="0"/>
      <w:marRight w:val="0"/>
      <w:marTop w:val="0"/>
      <w:marBottom w:val="0"/>
      <w:divBdr>
        <w:top w:val="none" w:sz="0" w:space="0" w:color="auto"/>
        <w:left w:val="none" w:sz="0" w:space="0" w:color="auto"/>
        <w:bottom w:val="none" w:sz="0" w:space="0" w:color="auto"/>
        <w:right w:val="none" w:sz="0" w:space="0" w:color="auto"/>
      </w:divBdr>
    </w:div>
    <w:div w:id="915894587">
      <w:bodyDiv w:val="1"/>
      <w:marLeft w:val="0"/>
      <w:marRight w:val="0"/>
      <w:marTop w:val="0"/>
      <w:marBottom w:val="0"/>
      <w:divBdr>
        <w:top w:val="none" w:sz="0" w:space="0" w:color="auto"/>
        <w:left w:val="none" w:sz="0" w:space="0" w:color="auto"/>
        <w:bottom w:val="none" w:sz="0" w:space="0" w:color="auto"/>
        <w:right w:val="none" w:sz="0" w:space="0" w:color="auto"/>
      </w:divBdr>
    </w:div>
    <w:div w:id="1003974318">
      <w:bodyDiv w:val="1"/>
      <w:marLeft w:val="0"/>
      <w:marRight w:val="0"/>
      <w:marTop w:val="0"/>
      <w:marBottom w:val="0"/>
      <w:divBdr>
        <w:top w:val="none" w:sz="0" w:space="0" w:color="auto"/>
        <w:left w:val="none" w:sz="0" w:space="0" w:color="auto"/>
        <w:bottom w:val="none" w:sz="0" w:space="0" w:color="auto"/>
        <w:right w:val="none" w:sz="0" w:space="0" w:color="auto"/>
      </w:divBdr>
    </w:div>
    <w:div w:id="1025907246">
      <w:bodyDiv w:val="1"/>
      <w:marLeft w:val="0"/>
      <w:marRight w:val="0"/>
      <w:marTop w:val="0"/>
      <w:marBottom w:val="0"/>
      <w:divBdr>
        <w:top w:val="none" w:sz="0" w:space="0" w:color="auto"/>
        <w:left w:val="none" w:sz="0" w:space="0" w:color="auto"/>
        <w:bottom w:val="none" w:sz="0" w:space="0" w:color="auto"/>
        <w:right w:val="none" w:sz="0" w:space="0" w:color="auto"/>
      </w:divBdr>
    </w:div>
    <w:div w:id="1075081041">
      <w:bodyDiv w:val="1"/>
      <w:marLeft w:val="0"/>
      <w:marRight w:val="0"/>
      <w:marTop w:val="0"/>
      <w:marBottom w:val="0"/>
      <w:divBdr>
        <w:top w:val="none" w:sz="0" w:space="0" w:color="auto"/>
        <w:left w:val="none" w:sz="0" w:space="0" w:color="auto"/>
        <w:bottom w:val="none" w:sz="0" w:space="0" w:color="auto"/>
        <w:right w:val="none" w:sz="0" w:space="0" w:color="auto"/>
      </w:divBdr>
    </w:div>
    <w:div w:id="1078018173">
      <w:bodyDiv w:val="1"/>
      <w:marLeft w:val="0"/>
      <w:marRight w:val="0"/>
      <w:marTop w:val="0"/>
      <w:marBottom w:val="0"/>
      <w:divBdr>
        <w:top w:val="none" w:sz="0" w:space="0" w:color="auto"/>
        <w:left w:val="none" w:sz="0" w:space="0" w:color="auto"/>
        <w:bottom w:val="none" w:sz="0" w:space="0" w:color="auto"/>
        <w:right w:val="none" w:sz="0" w:space="0" w:color="auto"/>
      </w:divBdr>
      <w:divsChild>
        <w:div w:id="1743680026">
          <w:marLeft w:val="0"/>
          <w:marRight w:val="0"/>
          <w:marTop w:val="0"/>
          <w:marBottom w:val="0"/>
          <w:divBdr>
            <w:top w:val="none" w:sz="0" w:space="0" w:color="auto"/>
            <w:left w:val="none" w:sz="0" w:space="0" w:color="auto"/>
            <w:bottom w:val="single" w:sz="6" w:space="0" w:color="EEEEEE"/>
            <w:right w:val="none" w:sz="0" w:space="0" w:color="auto"/>
          </w:divBdr>
          <w:divsChild>
            <w:div w:id="1858687735">
              <w:marLeft w:val="0"/>
              <w:marRight w:val="0"/>
              <w:marTop w:val="0"/>
              <w:marBottom w:val="0"/>
              <w:divBdr>
                <w:top w:val="none" w:sz="0" w:space="0" w:color="auto"/>
                <w:left w:val="none" w:sz="0" w:space="0" w:color="auto"/>
                <w:bottom w:val="none" w:sz="0" w:space="0" w:color="auto"/>
                <w:right w:val="none" w:sz="0" w:space="0" w:color="auto"/>
              </w:divBdr>
              <w:divsChild>
                <w:div w:id="106898844">
                  <w:marLeft w:val="0"/>
                  <w:marRight w:val="-225"/>
                  <w:marTop w:val="240"/>
                  <w:marBottom w:val="0"/>
                  <w:divBdr>
                    <w:top w:val="none" w:sz="0" w:space="0" w:color="auto"/>
                    <w:left w:val="none" w:sz="0" w:space="0" w:color="auto"/>
                    <w:bottom w:val="none" w:sz="0" w:space="0" w:color="auto"/>
                    <w:right w:val="none" w:sz="0" w:space="0" w:color="auto"/>
                  </w:divBdr>
                  <w:divsChild>
                    <w:div w:id="902521434">
                      <w:marLeft w:val="0"/>
                      <w:marRight w:val="0"/>
                      <w:marTop w:val="0"/>
                      <w:marBottom w:val="0"/>
                      <w:divBdr>
                        <w:top w:val="none" w:sz="0" w:space="0" w:color="auto"/>
                        <w:left w:val="none" w:sz="0" w:space="0" w:color="auto"/>
                        <w:bottom w:val="none" w:sz="0" w:space="0" w:color="auto"/>
                        <w:right w:val="none" w:sz="0" w:space="0" w:color="auto"/>
                      </w:divBdr>
                      <w:divsChild>
                        <w:div w:id="1438212971">
                          <w:marLeft w:val="0"/>
                          <w:marRight w:val="-225"/>
                          <w:marTop w:val="0"/>
                          <w:marBottom w:val="0"/>
                          <w:divBdr>
                            <w:top w:val="none" w:sz="0" w:space="0" w:color="auto"/>
                            <w:left w:val="none" w:sz="0" w:space="0" w:color="auto"/>
                            <w:bottom w:val="none" w:sz="0" w:space="0" w:color="auto"/>
                            <w:right w:val="none" w:sz="0" w:space="0" w:color="auto"/>
                          </w:divBdr>
                          <w:divsChild>
                            <w:div w:id="1776560170">
                              <w:marLeft w:val="-225"/>
                              <w:marRight w:val="-225"/>
                              <w:marTop w:val="0"/>
                              <w:marBottom w:val="0"/>
                              <w:divBdr>
                                <w:top w:val="none" w:sz="0" w:space="0" w:color="auto"/>
                                <w:left w:val="none" w:sz="0" w:space="0" w:color="auto"/>
                                <w:bottom w:val="none" w:sz="0" w:space="0" w:color="auto"/>
                                <w:right w:val="none" w:sz="0" w:space="0" w:color="auto"/>
                              </w:divBdr>
                              <w:divsChild>
                                <w:div w:id="39532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557256">
                      <w:marLeft w:val="330"/>
                      <w:marRight w:val="0"/>
                      <w:marTop w:val="0"/>
                      <w:marBottom w:val="0"/>
                      <w:divBdr>
                        <w:top w:val="none" w:sz="0" w:space="0" w:color="auto"/>
                        <w:left w:val="none" w:sz="0" w:space="0" w:color="auto"/>
                        <w:bottom w:val="none" w:sz="0" w:space="0" w:color="auto"/>
                        <w:right w:val="none" w:sz="0" w:space="0" w:color="auto"/>
                      </w:divBdr>
                    </w:div>
                  </w:divsChild>
                </w:div>
                <w:div w:id="185441267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624699413">
          <w:marLeft w:val="0"/>
          <w:marRight w:val="0"/>
          <w:marTop w:val="0"/>
          <w:marBottom w:val="150"/>
          <w:divBdr>
            <w:top w:val="none" w:sz="0" w:space="0" w:color="auto"/>
            <w:left w:val="none" w:sz="0" w:space="0" w:color="auto"/>
            <w:bottom w:val="none" w:sz="0" w:space="0" w:color="auto"/>
            <w:right w:val="none" w:sz="0" w:space="0" w:color="auto"/>
          </w:divBdr>
          <w:divsChild>
            <w:div w:id="1640721783">
              <w:marLeft w:val="0"/>
              <w:marRight w:val="15"/>
              <w:marTop w:val="0"/>
              <w:marBottom w:val="0"/>
              <w:divBdr>
                <w:top w:val="none" w:sz="0" w:space="0" w:color="auto"/>
                <w:left w:val="none" w:sz="0" w:space="0" w:color="auto"/>
                <w:bottom w:val="none" w:sz="0" w:space="0" w:color="auto"/>
                <w:right w:val="none" w:sz="0" w:space="0" w:color="auto"/>
              </w:divBdr>
              <w:divsChild>
                <w:div w:id="1593392297">
                  <w:marLeft w:val="0"/>
                  <w:marRight w:val="0"/>
                  <w:marTop w:val="0"/>
                  <w:marBottom w:val="0"/>
                  <w:divBdr>
                    <w:top w:val="none" w:sz="0" w:space="0" w:color="auto"/>
                    <w:left w:val="none" w:sz="0" w:space="0" w:color="auto"/>
                    <w:bottom w:val="none" w:sz="0" w:space="0" w:color="auto"/>
                    <w:right w:val="none" w:sz="0" w:space="0" w:color="auto"/>
                  </w:divBdr>
                </w:div>
                <w:div w:id="769665043">
                  <w:marLeft w:val="0"/>
                  <w:marRight w:val="0"/>
                  <w:marTop w:val="0"/>
                  <w:marBottom w:val="0"/>
                  <w:divBdr>
                    <w:top w:val="none" w:sz="0" w:space="0" w:color="auto"/>
                    <w:left w:val="none" w:sz="0" w:space="0" w:color="auto"/>
                    <w:bottom w:val="none" w:sz="0" w:space="0" w:color="auto"/>
                    <w:right w:val="none" w:sz="0" w:space="0" w:color="auto"/>
                  </w:divBdr>
                  <w:divsChild>
                    <w:div w:id="1872186861">
                      <w:marLeft w:val="0"/>
                      <w:marRight w:val="0"/>
                      <w:marTop w:val="0"/>
                      <w:marBottom w:val="0"/>
                      <w:divBdr>
                        <w:top w:val="none" w:sz="0" w:space="0" w:color="auto"/>
                        <w:left w:val="none" w:sz="0" w:space="0" w:color="auto"/>
                        <w:bottom w:val="none" w:sz="0" w:space="0" w:color="auto"/>
                        <w:right w:val="none" w:sz="0" w:space="0" w:color="auto"/>
                      </w:divBdr>
                      <w:divsChild>
                        <w:div w:id="1167288781">
                          <w:marLeft w:val="0"/>
                          <w:marRight w:val="0"/>
                          <w:marTop w:val="180"/>
                          <w:marBottom w:val="225"/>
                          <w:divBdr>
                            <w:top w:val="none" w:sz="0" w:space="0" w:color="auto"/>
                            <w:left w:val="none" w:sz="0" w:space="0" w:color="auto"/>
                            <w:bottom w:val="none" w:sz="0" w:space="0" w:color="auto"/>
                            <w:right w:val="none" w:sz="0" w:space="0" w:color="auto"/>
                          </w:divBdr>
                        </w:div>
                        <w:div w:id="7216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758323">
      <w:bodyDiv w:val="1"/>
      <w:marLeft w:val="0"/>
      <w:marRight w:val="0"/>
      <w:marTop w:val="0"/>
      <w:marBottom w:val="0"/>
      <w:divBdr>
        <w:top w:val="none" w:sz="0" w:space="0" w:color="auto"/>
        <w:left w:val="none" w:sz="0" w:space="0" w:color="auto"/>
        <w:bottom w:val="none" w:sz="0" w:space="0" w:color="auto"/>
        <w:right w:val="none" w:sz="0" w:space="0" w:color="auto"/>
      </w:divBdr>
    </w:div>
    <w:div w:id="1102339583">
      <w:bodyDiv w:val="1"/>
      <w:marLeft w:val="0"/>
      <w:marRight w:val="0"/>
      <w:marTop w:val="0"/>
      <w:marBottom w:val="0"/>
      <w:divBdr>
        <w:top w:val="none" w:sz="0" w:space="0" w:color="auto"/>
        <w:left w:val="none" w:sz="0" w:space="0" w:color="auto"/>
        <w:bottom w:val="none" w:sz="0" w:space="0" w:color="auto"/>
        <w:right w:val="none" w:sz="0" w:space="0" w:color="auto"/>
      </w:divBdr>
    </w:div>
    <w:div w:id="1224289359">
      <w:bodyDiv w:val="1"/>
      <w:marLeft w:val="0"/>
      <w:marRight w:val="0"/>
      <w:marTop w:val="0"/>
      <w:marBottom w:val="0"/>
      <w:divBdr>
        <w:top w:val="none" w:sz="0" w:space="0" w:color="auto"/>
        <w:left w:val="none" w:sz="0" w:space="0" w:color="auto"/>
        <w:bottom w:val="none" w:sz="0" w:space="0" w:color="auto"/>
        <w:right w:val="none" w:sz="0" w:space="0" w:color="auto"/>
      </w:divBdr>
    </w:div>
    <w:div w:id="1227490649">
      <w:bodyDiv w:val="1"/>
      <w:marLeft w:val="0"/>
      <w:marRight w:val="0"/>
      <w:marTop w:val="0"/>
      <w:marBottom w:val="0"/>
      <w:divBdr>
        <w:top w:val="none" w:sz="0" w:space="0" w:color="auto"/>
        <w:left w:val="none" w:sz="0" w:space="0" w:color="auto"/>
        <w:bottom w:val="none" w:sz="0" w:space="0" w:color="auto"/>
        <w:right w:val="none" w:sz="0" w:space="0" w:color="auto"/>
      </w:divBdr>
    </w:div>
    <w:div w:id="1232889324">
      <w:bodyDiv w:val="1"/>
      <w:marLeft w:val="0"/>
      <w:marRight w:val="0"/>
      <w:marTop w:val="0"/>
      <w:marBottom w:val="0"/>
      <w:divBdr>
        <w:top w:val="none" w:sz="0" w:space="0" w:color="auto"/>
        <w:left w:val="none" w:sz="0" w:space="0" w:color="auto"/>
        <w:bottom w:val="none" w:sz="0" w:space="0" w:color="auto"/>
        <w:right w:val="none" w:sz="0" w:space="0" w:color="auto"/>
      </w:divBdr>
    </w:div>
    <w:div w:id="1246111643">
      <w:bodyDiv w:val="1"/>
      <w:marLeft w:val="0"/>
      <w:marRight w:val="0"/>
      <w:marTop w:val="0"/>
      <w:marBottom w:val="0"/>
      <w:divBdr>
        <w:top w:val="none" w:sz="0" w:space="0" w:color="auto"/>
        <w:left w:val="none" w:sz="0" w:space="0" w:color="auto"/>
        <w:bottom w:val="none" w:sz="0" w:space="0" w:color="auto"/>
        <w:right w:val="none" w:sz="0" w:space="0" w:color="auto"/>
      </w:divBdr>
    </w:div>
    <w:div w:id="1268581212">
      <w:bodyDiv w:val="1"/>
      <w:marLeft w:val="0"/>
      <w:marRight w:val="0"/>
      <w:marTop w:val="0"/>
      <w:marBottom w:val="0"/>
      <w:divBdr>
        <w:top w:val="none" w:sz="0" w:space="0" w:color="auto"/>
        <w:left w:val="none" w:sz="0" w:space="0" w:color="auto"/>
        <w:bottom w:val="none" w:sz="0" w:space="0" w:color="auto"/>
        <w:right w:val="none" w:sz="0" w:space="0" w:color="auto"/>
      </w:divBdr>
    </w:div>
    <w:div w:id="1277827707">
      <w:bodyDiv w:val="1"/>
      <w:marLeft w:val="0"/>
      <w:marRight w:val="0"/>
      <w:marTop w:val="0"/>
      <w:marBottom w:val="0"/>
      <w:divBdr>
        <w:top w:val="none" w:sz="0" w:space="0" w:color="auto"/>
        <w:left w:val="none" w:sz="0" w:space="0" w:color="auto"/>
        <w:bottom w:val="none" w:sz="0" w:space="0" w:color="auto"/>
        <w:right w:val="none" w:sz="0" w:space="0" w:color="auto"/>
      </w:divBdr>
    </w:div>
    <w:div w:id="1328245491">
      <w:bodyDiv w:val="1"/>
      <w:marLeft w:val="0"/>
      <w:marRight w:val="0"/>
      <w:marTop w:val="0"/>
      <w:marBottom w:val="0"/>
      <w:divBdr>
        <w:top w:val="none" w:sz="0" w:space="0" w:color="auto"/>
        <w:left w:val="none" w:sz="0" w:space="0" w:color="auto"/>
        <w:bottom w:val="none" w:sz="0" w:space="0" w:color="auto"/>
        <w:right w:val="none" w:sz="0" w:space="0" w:color="auto"/>
      </w:divBdr>
    </w:div>
    <w:div w:id="1329090397">
      <w:bodyDiv w:val="1"/>
      <w:marLeft w:val="0"/>
      <w:marRight w:val="0"/>
      <w:marTop w:val="0"/>
      <w:marBottom w:val="0"/>
      <w:divBdr>
        <w:top w:val="none" w:sz="0" w:space="0" w:color="auto"/>
        <w:left w:val="none" w:sz="0" w:space="0" w:color="auto"/>
        <w:bottom w:val="none" w:sz="0" w:space="0" w:color="auto"/>
        <w:right w:val="none" w:sz="0" w:space="0" w:color="auto"/>
      </w:divBdr>
    </w:div>
    <w:div w:id="1346639150">
      <w:bodyDiv w:val="1"/>
      <w:marLeft w:val="0"/>
      <w:marRight w:val="0"/>
      <w:marTop w:val="0"/>
      <w:marBottom w:val="0"/>
      <w:divBdr>
        <w:top w:val="none" w:sz="0" w:space="0" w:color="auto"/>
        <w:left w:val="none" w:sz="0" w:space="0" w:color="auto"/>
        <w:bottom w:val="none" w:sz="0" w:space="0" w:color="auto"/>
        <w:right w:val="none" w:sz="0" w:space="0" w:color="auto"/>
      </w:divBdr>
      <w:divsChild>
        <w:div w:id="2033526312">
          <w:marLeft w:val="0"/>
          <w:marRight w:val="0"/>
          <w:marTop w:val="0"/>
          <w:marBottom w:val="0"/>
          <w:divBdr>
            <w:top w:val="none" w:sz="0" w:space="0" w:color="auto"/>
            <w:left w:val="none" w:sz="0" w:space="0" w:color="auto"/>
            <w:bottom w:val="none" w:sz="0" w:space="0" w:color="auto"/>
            <w:right w:val="none" w:sz="0" w:space="0" w:color="auto"/>
          </w:divBdr>
          <w:divsChild>
            <w:div w:id="343290903">
              <w:marLeft w:val="0"/>
              <w:marRight w:val="0"/>
              <w:marTop w:val="0"/>
              <w:marBottom w:val="0"/>
              <w:divBdr>
                <w:top w:val="none" w:sz="0" w:space="0" w:color="auto"/>
                <w:left w:val="none" w:sz="0" w:space="0" w:color="auto"/>
                <w:bottom w:val="none" w:sz="0" w:space="0" w:color="auto"/>
                <w:right w:val="none" w:sz="0" w:space="0" w:color="auto"/>
              </w:divBdr>
              <w:divsChild>
                <w:div w:id="529031672">
                  <w:marLeft w:val="0"/>
                  <w:marRight w:val="0"/>
                  <w:marTop w:val="0"/>
                  <w:marBottom w:val="0"/>
                  <w:divBdr>
                    <w:top w:val="none" w:sz="0" w:space="0" w:color="auto"/>
                    <w:left w:val="none" w:sz="0" w:space="0" w:color="auto"/>
                    <w:bottom w:val="none" w:sz="0" w:space="0" w:color="auto"/>
                    <w:right w:val="none" w:sz="0" w:space="0" w:color="auto"/>
                  </w:divBdr>
                  <w:divsChild>
                    <w:div w:id="690762082">
                      <w:marLeft w:val="0"/>
                      <w:marRight w:val="0"/>
                      <w:marTop w:val="0"/>
                      <w:marBottom w:val="0"/>
                      <w:divBdr>
                        <w:top w:val="none" w:sz="0" w:space="0" w:color="auto"/>
                        <w:left w:val="none" w:sz="0" w:space="0" w:color="auto"/>
                        <w:bottom w:val="none" w:sz="0" w:space="0" w:color="auto"/>
                        <w:right w:val="none" w:sz="0" w:space="0" w:color="auto"/>
                      </w:divBdr>
                      <w:divsChild>
                        <w:div w:id="1906530892">
                          <w:marLeft w:val="0"/>
                          <w:marRight w:val="0"/>
                          <w:marTop w:val="0"/>
                          <w:marBottom w:val="0"/>
                          <w:divBdr>
                            <w:top w:val="none" w:sz="0" w:space="0" w:color="auto"/>
                            <w:left w:val="none" w:sz="0" w:space="0" w:color="auto"/>
                            <w:bottom w:val="none" w:sz="0" w:space="0" w:color="auto"/>
                            <w:right w:val="none" w:sz="0" w:space="0" w:color="auto"/>
                          </w:divBdr>
                          <w:divsChild>
                            <w:div w:id="130570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965614">
      <w:bodyDiv w:val="1"/>
      <w:marLeft w:val="0"/>
      <w:marRight w:val="0"/>
      <w:marTop w:val="0"/>
      <w:marBottom w:val="0"/>
      <w:divBdr>
        <w:top w:val="none" w:sz="0" w:space="0" w:color="auto"/>
        <w:left w:val="none" w:sz="0" w:space="0" w:color="auto"/>
        <w:bottom w:val="none" w:sz="0" w:space="0" w:color="auto"/>
        <w:right w:val="none" w:sz="0" w:space="0" w:color="auto"/>
      </w:divBdr>
    </w:div>
    <w:div w:id="1392540698">
      <w:bodyDiv w:val="1"/>
      <w:marLeft w:val="0"/>
      <w:marRight w:val="0"/>
      <w:marTop w:val="0"/>
      <w:marBottom w:val="0"/>
      <w:divBdr>
        <w:top w:val="none" w:sz="0" w:space="0" w:color="auto"/>
        <w:left w:val="none" w:sz="0" w:space="0" w:color="auto"/>
        <w:bottom w:val="none" w:sz="0" w:space="0" w:color="auto"/>
        <w:right w:val="none" w:sz="0" w:space="0" w:color="auto"/>
      </w:divBdr>
    </w:div>
    <w:div w:id="1412192294">
      <w:bodyDiv w:val="1"/>
      <w:marLeft w:val="0"/>
      <w:marRight w:val="0"/>
      <w:marTop w:val="0"/>
      <w:marBottom w:val="0"/>
      <w:divBdr>
        <w:top w:val="none" w:sz="0" w:space="0" w:color="auto"/>
        <w:left w:val="none" w:sz="0" w:space="0" w:color="auto"/>
        <w:bottom w:val="none" w:sz="0" w:space="0" w:color="auto"/>
        <w:right w:val="none" w:sz="0" w:space="0" w:color="auto"/>
      </w:divBdr>
    </w:div>
    <w:div w:id="1445885327">
      <w:bodyDiv w:val="1"/>
      <w:marLeft w:val="0"/>
      <w:marRight w:val="0"/>
      <w:marTop w:val="0"/>
      <w:marBottom w:val="0"/>
      <w:divBdr>
        <w:top w:val="none" w:sz="0" w:space="0" w:color="auto"/>
        <w:left w:val="none" w:sz="0" w:space="0" w:color="auto"/>
        <w:bottom w:val="none" w:sz="0" w:space="0" w:color="auto"/>
        <w:right w:val="none" w:sz="0" w:space="0" w:color="auto"/>
      </w:divBdr>
    </w:div>
    <w:div w:id="1447965856">
      <w:bodyDiv w:val="1"/>
      <w:marLeft w:val="0"/>
      <w:marRight w:val="0"/>
      <w:marTop w:val="0"/>
      <w:marBottom w:val="0"/>
      <w:divBdr>
        <w:top w:val="none" w:sz="0" w:space="0" w:color="auto"/>
        <w:left w:val="none" w:sz="0" w:space="0" w:color="auto"/>
        <w:bottom w:val="none" w:sz="0" w:space="0" w:color="auto"/>
        <w:right w:val="none" w:sz="0" w:space="0" w:color="auto"/>
      </w:divBdr>
    </w:div>
    <w:div w:id="1480726741">
      <w:bodyDiv w:val="1"/>
      <w:marLeft w:val="0"/>
      <w:marRight w:val="0"/>
      <w:marTop w:val="0"/>
      <w:marBottom w:val="0"/>
      <w:divBdr>
        <w:top w:val="none" w:sz="0" w:space="0" w:color="auto"/>
        <w:left w:val="none" w:sz="0" w:space="0" w:color="auto"/>
        <w:bottom w:val="none" w:sz="0" w:space="0" w:color="auto"/>
        <w:right w:val="none" w:sz="0" w:space="0" w:color="auto"/>
      </w:divBdr>
    </w:div>
    <w:div w:id="1515848182">
      <w:bodyDiv w:val="1"/>
      <w:marLeft w:val="0"/>
      <w:marRight w:val="0"/>
      <w:marTop w:val="0"/>
      <w:marBottom w:val="0"/>
      <w:divBdr>
        <w:top w:val="none" w:sz="0" w:space="0" w:color="auto"/>
        <w:left w:val="none" w:sz="0" w:space="0" w:color="auto"/>
        <w:bottom w:val="none" w:sz="0" w:space="0" w:color="auto"/>
        <w:right w:val="none" w:sz="0" w:space="0" w:color="auto"/>
      </w:divBdr>
    </w:div>
    <w:div w:id="1519192999">
      <w:bodyDiv w:val="1"/>
      <w:marLeft w:val="0"/>
      <w:marRight w:val="0"/>
      <w:marTop w:val="0"/>
      <w:marBottom w:val="0"/>
      <w:divBdr>
        <w:top w:val="none" w:sz="0" w:space="0" w:color="auto"/>
        <w:left w:val="none" w:sz="0" w:space="0" w:color="auto"/>
        <w:bottom w:val="none" w:sz="0" w:space="0" w:color="auto"/>
        <w:right w:val="none" w:sz="0" w:space="0" w:color="auto"/>
      </w:divBdr>
    </w:div>
    <w:div w:id="1589777431">
      <w:bodyDiv w:val="1"/>
      <w:marLeft w:val="0"/>
      <w:marRight w:val="0"/>
      <w:marTop w:val="0"/>
      <w:marBottom w:val="0"/>
      <w:divBdr>
        <w:top w:val="none" w:sz="0" w:space="0" w:color="auto"/>
        <w:left w:val="none" w:sz="0" w:space="0" w:color="auto"/>
        <w:bottom w:val="none" w:sz="0" w:space="0" w:color="auto"/>
        <w:right w:val="none" w:sz="0" w:space="0" w:color="auto"/>
      </w:divBdr>
    </w:div>
    <w:div w:id="1595479777">
      <w:bodyDiv w:val="1"/>
      <w:marLeft w:val="0"/>
      <w:marRight w:val="0"/>
      <w:marTop w:val="0"/>
      <w:marBottom w:val="0"/>
      <w:divBdr>
        <w:top w:val="none" w:sz="0" w:space="0" w:color="auto"/>
        <w:left w:val="none" w:sz="0" w:space="0" w:color="auto"/>
        <w:bottom w:val="none" w:sz="0" w:space="0" w:color="auto"/>
        <w:right w:val="none" w:sz="0" w:space="0" w:color="auto"/>
      </w:divBdr>
    </w:div>
    <w:div w:id="1598633974">
      <w:bodyDiv w:val="1"/>
      <w:marLeft w:val="0"/>
      <w:marRight w:val="0"/>
      <w:marTop w:val="0"/>
      <w:marBottom w:val="0"/>
      <w:divBdr>
        <w:top w:val="none" w:sz="0" w:space="0" w:color="auto"/>
        <w:left w:val="none" w:sz="0" w:space="0" w:color="auto"/>
        <w:bottom w:val="none" w:sz="0" w:space="0" w:color="auto"/>
        <w:right w:val="none" w:sz="0" w:space="0" w:color="auto"/>
      </w:divBdr>
      <w:divsChild>
        <w:div w:id="300817281">
          <w:marLeft w:val="360"/>
          <w:marRight w:val="0"/>
          <w:marTop w:val="200"/>
          <w:marBottom w:val="0"/>
          <w:divBdr>
            <w:top w:val="none" w:sz="0" w:space="0" w:color="auto"/>
            <w:left w:val="none" w:sz="0" w:space="0" w:color="auto"/>
            <w:bottom w:val="none" w:sz="0" w:space="0" w:color="auto"/>
            <w:right w:val="none" w:sz="0" w:space="0" w:color="auto"/>
          </w:divBdr>
        </w:div>
        <w:div w:id="1909922105">
          <w:marLeft w:val="1080"/>
          <w:marRight w:val="0"/>
          <w:marTop w:val="100"/>
          <w:marBottom w:val="0"/>
          <w:divBdr>
            <w:top w:val="none" w:sz="0" w:space="0" w:color="auto"/>
            <w:left w:val="none" w:sz="0" w:space="0" w:color="auto"/>
            <w:bottom w:val="none" w:sz="0" w:space="0" w:color="auto"/>
            <w:right w:val="none" w:sz="0" w:space="0" w:color="auto"/>
          </w:divBdr>
        </w:div>
        <w:div w:id="1802650454">
          <w:marLeft w:val="1080"/>
          <w:marRight w:val="0"/>
          <w:marTop w:val="100"/>
          <w:marBottom w:val="0"/>
          <w:divBdr>
            <w:top w:val="none" w:sz="0" w:space="0" w:color="auto"/>
            <w:left w:val="none" w:sz="0" w:space="0" w:color="auto"/>
            <w:bottom w:val="none" w:sz="0" w:space="0" w:color="auto"/>
            <w:right w:val="none" w:sz="0" w:space="0" w:color="auto"/>
          </w:divBdr>
        </w:div>
        <w:div w:id="1530296101">
          <w:marLeft w:val="1080"/>
          <w:marRight w:val="0"/>
          <w:marTop w:val="100"/>
          <w:marBottom w:val="0"/>
          <w:divBdr>
            <w:top w:val="none" w:sz="0" w:space="0" w:color="auto"/>
            <w:left w:val="none" w:sz="0" w:space="0" w:color="auto"/>
            <w:bottom w:val="none" w:sz="0" w:space="0" w:color="auto"/>
            <w:right w:val="none" w:sz="0" w:space="0" w:color="auto"/>
          </w:divBdr>
        </w:div>
        <w:div w:id="1581983252">
          <w:marLeft w:val="1080"/>
          <w:marRight w:val="0"/>
          <w:marTop w:val="100"/>
          <w:marBottom w:val="0"/>
          <w:divBdr>
            <w:top w:val="none" w:sz="0" w:space="0" w:color="auto"/>
            <w:left w:val="none" w:sz="0" w:space="0" w:color="auto"/>
            <w:bottom w:val="none" w:sz="0" w:space="0" w:color="auto"/>
            <w:right w:val="none" w:sz="0" w:space="0" w:color="auto"/>
          </w:divBdr>
        </w:div>
        <w:div w:id="1534609287">
          <w:marLeft w:val="1080"/>
          <w:marRight w:val="0"/>
          <w:marTop w:val="100"/>
          <w:marBottom w:val="0"/>
          <w:divBdr>
            <w:top w:val="none" w:sz="0" w:space="0" w:color="auto"/>
            <w:left w:val="none" w:sz="0" w:space="0" w:color="auto"/>
            <w:bottom w:val="none" w:sz="0" w:space="0" w:color="auto"/>
            <w:right w:val="none" w:sz="0" w:space="0" w:color="auto"/>
          </w:divBdr>
        </w:div>
        <w:div w:id="1023896563">
          <w:marLeft w:val="1080"/>
          <w:marRight w:val="0"/>
          <w:marTop w:val="100"/>
          <w:marBottom w:val="0"/>
          <w:divBdr>
            <w:top w:val="none" w:sz="0" w:space="0" w:color="auto"/>
            <w:left w:val="none" w:sz="0" w:space="0" w:color="auto"/>
            <w:bottom w:val="none" w:sz="0" w:space="0" w:color="auto"/>
            <w:right w:val="none" w:sz="0" w:space="0" w:color="auto"/>
          </w:divBdr>
        </w:div>
        <w:div w:id="1285379786">
          <w:marLeft w:val="1080"/>
          <w:marRight w:val="0"/>
          <w:marTop w:val="100"/>
          <w:marBottom w:val="0"/>
          <w:divBdr>
            <w:top w:val="none" w:sz="0" w:space="0" w:color="auto"/>
            <w:left w:val="none" w:sz="0" w:space="0" w:color="auto"/>
            <w:bottom w:val="none" w:sz="0" w:space="0" w:color="auto"/>
            <w:right w:val="none" w:sz="0" w:space="0" w:color="auto"/>
          </w:divBdr>
        </w:div>
        <w:div w:id="1854955428">
          <w:marLeft w:val="360"/>
          <w:marRight w:val="0"/>
          <w:marTop w:val="200"/>
          <w:marBottom w:val="0"/>
          <w:divBdr>
            <w:top w:val="none" w:sz="0" w:space="0" w:color="auto"/>
            <w:left w:val="none" w:sz="0" w:space="0" w:color="auto"/>
            <w:bottom w:val="none" w:sz="0" w:space="0" w:color="auto"/>
            <w:right w:val="none" w:sz="0" w:space="0" w:color="auto"/>
          </w:divBdr>
        </w:div>
        <w:div w:id="1566454426">
          <w:marLeft w:val="1080"/>
          <w:marRight w:val="0"/>
          <w:marTop w:val="100"/>
          <w:marBottom w:val="0"/>
          <w:divBdr>
            <w:top w:val="none" w:sz="0" w:space="0" w:color="auto"/>
            <w:left w:val="none" w:sz="0" w:space="0" w:color="auto"/>
            <w:bottom w:val="none" w:sz="0" w:space="0" w:color="auto"/>
            <w:right w:val="none" w:sz="0" w:space="0" w:color="auto"/>
          </w:divBdr>
        </w:div>
        <w:div w:id="1192299835">
          <w:marLeft w:val="1080"/>
          <w:marRight w:val="0"/>
          <w:marTop w:val="100"/>
          <w:marBottom w:val="0"/>
          <w:divBdr>
            <w:top w:val="none" w:sz="0" w:space="0" w:color="auto"/>
            <w:left w:val="none" w:sz="0" w:space="0" w:color="auto"/>
            <w:bottom w:val="none" w:sz="0" w:space="0" w:color="auto"/>
            <w:right w:val="none" w:sz="0" w:space="0" w:color="auto"/>
          </w:divBdr>
        </w:div>
        <w:div w:id="1085765558">
          <w:marLeft w:val="1080"/>
          <w:marRight w:val="0"/>
          <w:marTop w:val="100"/>
          <w:marBottom w:val="0"/>
          <w:divBdr>
            <w:top w:val="none" w:sz="0" w:space="0" w:color="auto"/>
            <w:left w:val="none" w:sz="0" w:space="0" w:color="auto"/>
            <w:bottom w:val="none" w:sz="0" w:space="0" w:color="auto"/>
            <w:right w:val="none" w:sz="0" w:space="0" w:color="auto"/>
          </w:divBdr>
        </w:div>
        <w:div w:id="1710372111">
          <w:marLeft w:val="360"/>
          <w:marRight w:val="0"/>
          <w:marTop w:val="200"/>
          <w:marBottom w:val="0"/>
          <w:divBdr>
            <w:top w:val="none" w:sz="0" w:space="0" w:color="auto"/>
            <w:left w:val="none" w:sz="0" w:space="0" w:color="auto"/>
            <w:bottom w:val="none" w:sz="0" w:space="0" w:color="auto"/>
            <w:right w:val="none" w:sz="0" w:space="0" w:color="auto"/>
          </w:divBdr>
        </w:div>
        <w:div w:id="1606618512">
          <w:marLeft w:val="1080"/>
          <w:marRight w:val="0"/>
          <w:marTop w:val="100"/>
          <w:marBottom w:val="0"/>
          <w:divBdr>
            <w:top w:val="none" w:sz="0" w:space="0" w:color="auto"/>
            <w:left w:val="none" w:sz="0" w:space="0" w:color="auto"/>
            <w:bottom w:val="none" w:sz="0" w:space="0" w:color="auto"/>
            <w:right w:val="none" w:sz="0" w:space="0" w:color="auto"/>
          </w:divBdr>
        </w:div>
        <w:div w:id="1538931824">
          <w:marLeft w:val="1080"/>
          <w:marRight w:val="0"/>
          <w:marTop w:val="100"/>
          <w:marBottom w:val="0"/>
          <w:divBdr>
            <w:top w:val="none" w:sz="0" w:space="0" w:color="auto"/>
            <w:left w:val="none" w:sz="0" w:space="0" w:color="auto"/>
            <w:bottom w:val="none" w:sz="0" w:space="0" w:color="auto"/>
            <w:right w:val="none" w:sz="0" w:space="0" w:color="auto"/>
          </w:divBdr>
        </w:div>
        <w:div w:id="2060392469">
          <w:marLeft w:val="360"/>
          <w:marRight w:val="0"/>
          <w:marTop w:val="200"/>
          <w:marBottom w:val="0"/>
          <w:divBdr>
            <w:top w:val="none" w:sz="0" w:space="0" w:color="auto"/>
            <w:left w:val="none" w:sz="0" w:space="0" w:color="auto"/>
            <w:bottom w:val="none" w:sz="0" w:space="0" w:color="auto"/>
            <w:right w:val="none" w:sz="0" w:space="0" w:color="auto"/>
          </w:divBdr>
        </w:div>
        <w:div w:id="18481815">
          <w:marLeft w:val="1080"/>
          <w:marRight w:val="0"/>
          <w:marTop w:val="100"/>
          <w:marBottom w:val="0"/>
          <w:divBdr>
            <w:top w:val="none" w:sz="0" w:space="0" w:color="auto"/>
            <w:left w:val="none" w:sz="0" w:space="0" w:color="auto"/>
            <w:bottom w:val="none" w:sz="0" w:space="0" w:color="auto"/>
            <w:right w:val="none" w:sz="0" w:space="0" w:color="auto"/>
          </w:divBdr>
        </w:div>
      </w:divsChild>
    </w:div>
    <w:div w:id="1617061489">
      <w:bodyDiv w:val="1"/>
      <w:marLeft w:val="0"/>
      <w:marRight w:val="0"/>
      <w:marTop w:val="0"/>
      <w:marBottom w:val="0"/>
      <w:divBdr>
        <w:top w:val="none" w:sz="0" w:space="0" w:color="auto"/>
        <w:left w:val="none" w:sz="0" w:space="0" w:color="auto"/>
        <w:bottom w:val="none" w:sz="0" w:space="0" w:color="auto"/>
        <w:right w:val="none" w:sz="0" w:space="0" w:color="auto"/>
      </w:divBdr>
    </w:div>
    <w:div w:id="1645312761">
      <w:bodyDiv w:val="1"/>
      <w:marLeft w:val="0"/>
      <w:marRight w:val="0"/>
      <w:marTop w:val="0"/>
      <w:marBottom w:val="0"/>
      <w:divBdr>
        <w:top w:val="none" w:sz="0" w:space="0" w:color="auto"/>
        <w:left w:val="none" w:sz="0" w:space="0" w:color="auto"/>
        <w:bottom w:val="none" w:sz="0" w:space="0" w:color="auto"/>
        <w:right w:val="none" w:sz="0" w:space="0" w:color="auto"/>
      </w:divBdr>
    </w:div>
    <w:div w:id="1672678032">
      <w:bodyDiv w:val="1"/>
      <w:marLeft w:val="0"/>
      <w:marRight w:val="0"/>
      <w:marTop w:val="0"/>
      <w:marBottom w:val="0"/>
      <w:divBdr>
        <w:top w:val="none" w:sz="0" w:space="0" w:color="auto"/>
        <w:left w:val="none" w:sz="0" w:space="0" w:color="auto"/>
        <w:bottom w:val="none" w:sz="0" w:space="0" w:color="auto"/>
        <w:right w:val="none" w:sz="0" w:space="0" w:color="auto"/>
      </w:divBdr>
    </w:div>
    <w:div w:id="1710570416">
      <w:bodyDiv w:val="1"/>
      <w:marLeft w:val="0"/>
      <w:marRight w:val="0"/>
      <w:marTop w:val="0"/>
      <w:marBottom w:val="0"/>
      <w:divBdr>
        <w:top w:val="none" w:sz="0" w:space="0" w:color="auto"/>
        <w:left w:val="none" w:sz="0" w:space="0" w:color="auto"/>
        <w:bottom w:val="none" w:sz="0" w:space="0" w:color="auto"/>
        <w:right w:val="none" w:sz="0" w:space="0" w:color="auto"/>
      </w:divBdr>
    </w:div>
    <w:div w:id="1716544576">
      <w:bodyDiv w:val="1"/>
      <w:marLeft w:val="0"/>
      <w:marRight w:val="0"/>
      <w:marTop w:val="0"/>
      <w:marBottom w:val="0"/>
      <w:divBdr>
        <w:top w:val="none" w:sz="0" w:space="0" w:color="auto"/>
        <w:left w:val="none" w:sz="0" w:space="0" w:color="auto"/>
        <w:bottom w:val="none" w:sz="0" w:space="0" w:color="auto"/>
        <w:right w:val="none" w:sz="0" w:space="0" w:color="auto"/>
      </w:divBdr>
      <w:divsChild>
        <w:div w:id="265382331">
          <w:marLeft w:val="360"/>
          <w:marRight w:val="0"/>
          <w:marTop w:val="200"/>
          <w:marBottom w:val="0"/>
          <w:divBdr>
            <w:top w:val="none" w:sz="0" w:space="0" w:color="auto"/>
            <w:left w:val="none" w:sz="0" w:space="0" w:color="auto"/>
            <w:bottom w:val="none" w:sz="0" w:space="0" w:color="auto"/>
            <w:right w:val="none" w:sz="0" w:space="0" w:color="auto"/>
          </w:divBdr>
        </w:div>
        <w:div w:id="1792549177">
          <w:marLeft w:val="1080"/>
          <w:marRight w:val="0"/>
          <w:marTop w:val="100"/>
          <w:marBottom w:val="0"/>
          <w:divBdr>
            <w:top w:val="none" w:sz="0" w:space="0" w:color="auto"/>
            <w:left w:val="none" w:sz="0" w:space="0" w:color="auto"/>
            <w:bottom w:val="none" w:sz="0" w:space="0" w:color="auto"/>
            <w:right w:val="none" w:sz="0" w:space="0" w:color="auto"/>
          </w:divBdr>
        </w:div>
        <w:div w:id="210918969">
          <w:marLeft w:val="1080"/>
          <w:marRight w:val="0"/>
          <w:marTop w:val="100"/>
          <w:marBottom w:val="0"/>
          <w:divBdr>
            <w:top w:val="none" w:sz="0" w:space="0" w:color="auto"/>
            <w:left w:val="none" w:sz="0" w:space="0" w:color="auto"/>
            <w:bottom w:val="none" w:sz="0" w:space="0" w:color="auto"/>
            <w:right w:val="none" w:sz="0" w:space="0" w:color="auto"/>
          </w:divBdr>
        </w:div>
        <w:div w:id="168059893">
          <w:marLeft w:val="1080"/>
          <w:marRight w:val="0"/>
          <w:marTop w:val="100"/>
          <w:marBottom w:val="0"/>
          <w:divBdr>
            <w:top w:val="none" w:sz="0" w:space="0" w:color="auto"/>
            <w:left w:val="none" w:sz="0" w:space="0" w:color="auto"/>
            <w:bottom w:val="none" w:sz="0" w:space="0" w:color="auto"/>
            <w:right w:val="none" w:sz="0" w:space="0" w:color="auto"/>
          </w:divBdr>
        </w:div>
        <w:div w:id="1317152286">
          <w:marLeft w:val="360"/>
          <w:marRight w:val="0"/>
          <w:marTop w:val="200"/>
          <w:marBottom w:val="0"/>
          <w:divBdr>
            <w:top w:val="none" w:sz="0" w:space="0" w:color="auto"/>
            <w:left w:val="none" w:sz="0" w:space="0" w:color="auto"/>
            <w:bottom w:val="none" w:sz="0" w:space="0" w:color="auto"/>
            <w:right w:val="none" w:sz="0" w:space="0" w:color="auto"/>
          </w:divBdr>
        </w:div>
        <w:div w:id="1888301614">
          <w:marLeft w:val="360"/>
          <w:marRight w:val="0"/>
          <w:marTop w:val="200"/>
          <w:marBottom w:val="0"/>
          <w:divBdr>
            <w:top w:val="none" w:sz="0" w:space="0" w:color="auto"/>
            <w:left w:val="none" w:sz="0" w:space="0" w:color="auto"/>
            <w:bottom w:val="none" w:sz="0" w:space="0" w:color="auto"/>
            <w:right w:val="none" w:sz="0" w:space="0" w:color="auto"/>
          </w:divBdr>
        </w:div>
        <w:div w:id="1011687234">
          <w:marLeft w:val="1080"/>
          <w:marRight w:val="0"/>
          <w:marTop w:val="100"/>
          <w:marBottom w:val="0"/>
          <w:divBdr>
            <w:top w:val="none" w:sz="0" w:space="0" w:color="auto"/>
            <w:left w:val="none" w:sz="0" w:space="0" w:color="auto"/>
            <w:bottom w:val="none" w:sz="0" w:space="0" w:color="auto"/>
            <w:right w:val="none" w:sz="0" w:space="0" w:color="auto"/>
          </w:divBdr>
        </w:div>
        <w:div w:id="1080368342">
          <w:marLeft w:val="1080"/>
          <w:marRight w:val="0"/>
          <w:marTop w:val="100"/>
          <w:marBottom w:val="0"/>
          <w:divBdr>
            <w:top w:val="none" w:sz="0" w:space="0" w:color="auto"/>
            <w:left w:val="none" w:sz="0" w:space="0" w:color="auto"/>
            <w:bottom w:val="none" w:sz="0" w:space="0" w:color="auto"/>
            <w:right w:val="none" w:sz="0" w:space="0" w:color="auto"/>
          </w:divBdr>
        </w:div>
        <w:div w:id="2060126578">
          <w:marLeft w:val="360"/>
          <w:marRight w:val="0"/>
          <w:marTop w:val="200"/>
          <w:marBottom w:val="0"/>
          <w:divBdr>
            <w:top w:val="none" w:sz="0" w:space="0" w:color="auto"/>
            <w:left w:val="none" w:sz="0" w:space="0" w:color="auto"/>
            <w:bottom w:val="none" w:sz="0" w:space="0" w:color="auto"/>
            <w:right w:val="none" w:sz="0" w:space="0" w:color="auto"/>
          </w:divBdr>
        </w:div>
        <w:div w:id="485363988">
          <w:marLeft w:val="360"/>
          <w:marRight w:val="0"/>
          <w:marTop w:val="200"/>
          <w:marBottom w:val="0"/>
          <w:divBdr>
            <w:top w:val="none" w:sz="0" w:space="0" w:color="auto"/>
            <w:left w:val="none" w:sz="0" w:space="0" w:color="auto"/>
            <w:bottom w:val="none" w:sz="0" w:space="0" w:color="auto"/>
            <w:right w:val="none" w:sz="0" w:space="0" w:color="auto"/>
          </w:divBdr>
        </w:div>
        <w:div w:id="1974094954">
          <w:marLeft w:val="360"/>
          <w:marRight w:val="0"/>
          <w:marTop w:val="200"/>
          <w:marBottom w:val="0"/>
          <w:divBdr>
            <w:top w:val="none" w:sz="0" w:space="0" w:color="auto"/>
            <w:left w:val="none" w:sz="0" w:space="0" w:color="auto"/>
            <w:bottom w:val="none" w:sz="0" w:space="0" w:color="auto"/>
            <w:right w:val="none" w:sz="0" w:space="0" w:color="auto"/>
          </w:divBdr>
        </w:div>
        <w:div w:id="1412581574">
          <w:marLeft w:val="1080"/>
          <w:marRight w:val="0"/>
          <w:marTop w:val="100"/>
          <w:marBottom w:val="0"/>
          <w:divBdr>
            <w:top w:val="none" w:sz="0" w:space="0" w:color="auto"/>
            <w:left w:val="none" w:sz="0" w:space="0" w:color="auto"/>
            <w:bottom w:val="none" w:sz="0" w:space="0" w:color="auto"/>
            <w:right w:val="none" w:sz="0" w:space="0" w:color="auto"/>
          </w:divBdr>
        </w:div>
        <w:div w:id="386608440">
          <w:marLeft w:val="1080"/>
          <w:marRight w:val="0"/>
          <w:marTop w:val="100"/>
          <w:marBottom w:val="0"/>
          <w:divBdr>
            <w:top w:val="none" w:sz="0" w:space="0" w:color="auto"/>
            <w:left w:val="none" w:sz="0" w:space="0" w:color="auto"/>
            <w:bottom w:val="none" w:sz="0" w:space="0" w:color="auto"/>
            <w:right w:val="none" w:sz="0" w:space="0" w:color="auto"/>
          </w:divBdr>
        </w:div>
        <w:div w:id="114175251">
          <w:marLeft w:val="1080"/>
          <w:marRight w:val="0"/>
          <w:marTop w:val="100"/>
          <w:marBottom w:val="0"/>
          <w:divBdr>
            <w:top w:val="none" w:sz="0" w:space="0" w:color="auto"/>
            <w:left w:val="none" w:sz="0" w:space="0" w:color="auto"/>
            <w:bottom w:val="none" w:sz="0" w:space="0" w:color="auto"/>
            <w:right w:val="none" w:sz="0" w:space="0" w:color="auto"/>
          </w:divBdr>
        </w:div>
        <w:div w:id="1786002923">
          <w:marLeft w:val="1080"/>
          <w:marRight w:val="0"/>
          <w:marTop w:val="100"/>
          <w:marBottom w:val="0"/>
          <w:divBdr>
            <w:top w:val="none" w:sz="0" w:space="0" w:color="auto"/>
            <w:left w:val="none" w:sz="0" w:space="0" w:color="auto"/>
            <w:bottom w:val="none" w:sz="0" w:space="0" w:color="auto"/>
            <w:right w:val="none" w:sz="0" w:space="0" w:color="auto"/>
          </w:divBdr>
        </w:div>
        <w:div w:id="2083990675">
          <w:marLeft w:val="1080"/>
          <w:marRight w:val="0"/>
          <w:marTop w:val="100"/>
          <w:marBottom w:val="0"/>
          <w:divBdr>
            <w:top w:val="none" w:sz="0" w:space="0" w:color="auto"/>
            <w:left w:val="none" w:sz="0" w:space="0" w:color="auto"/>
            <w:bottom w:val="none" w:sz="0" w:space="0" w:color="auto"/>
            <w:right w:val="none" w:sz="0" w:space="0" w:color="auto"/>
          </w:divBdr>
        </w:div>
        <w:div w:id="255986913">
          <w:marLeft w:val="360"/>
          <w:marRight w:val="0"/>
          <w:marTop w:val="200"/>
          <w:marBottom w:val="0"/>
          <w:divBdr>
            <w:top w:val="none" w:sz="0" w:space="0" w:color="auto"/>
            <w:left w:val="none" w:sz="0" w:space="0" w:color="auto"/>
            <w:bottom w:val="none" w:sz="0" w:space="0" w:color="auto"/>
            <w:right w:val="none" w:sz="0" w:space="0" w:color="auto"/>
          </w:divBdr>
        </w:div>
        <w:div w:id="1678313088">
          <w:marLeft w:val="1080"/>
          <w:marRight w:val="0"/>
          <w:marTop w:val="100"/>
          <w:marBottom w:val="0"/>
          <w:divBdr>
            <w:top w:val="none" w:sz="0" w:space="0" w:color="auto"/>
            <w:left w:val="none" w:sz="0" w:space="0" w:color="auto"/>
            <w:bottom w:val="none" w:sz="0" w:space="0" w:color="auto"/>
            <w:right w:val="none" w:sz="0" w:space="0" w:color="auto"/>
          </w:divBdr>
        </w:div>
      </w:divsChild>
    </w:div>
    <w:div w:id="1755853694">
      <w:bodyDiv w:val="1"/>
      <w:marLeft w:val="0"/>
      <w:marRight w:val="0"/>
      <w:marTop w:val="0"/>
      <w:marBottom w:val="0"/>
      <w:divBdr>
        <w:top w:val="none" w:sz="0" w:space="0" w:color="auto"/>
        <w:left w:val="none" w:sz="0" w:space="0" w:color="auto"/>
        <w:bottom w:val="none" w:sz="0" w:space="0" w:color="auto"/>
        <w:right w:val="none" w:sz="0" w:space="0" w:color="auto"/>
      </w:divBdr>
      <w:divsChild>
        <w:div w:id="667447327">
          <w:marLeft w:val="360"/>
          <w:marRight w:val="0"/>
          <w:marTop w:val="200"/>
          <w:marBottom w:val="0"/>
          <w:divBdr>
            <w:top w:val="none" w:sz="0" w:space="0" w:color="auto"/>
            <w:left w:val="none" w:sz="0" w:space="0" w:color="auto"/>
            <w:bottom w:val="none" w:sz="0" w:space="0" w:color="auto"/>
            <w:right w:val="none" w:sz="0" w:space="0" w:color="auto"/>
          </w:divBdr>
        </w:div>
        <w:div w:id="13071894">
          <w:marLeft w:val="1080"/>
          <w:marRight w:val="0"/>
          <w:marTop w:val="100"/>
          <w:marBottom w:val="0"/>
          <w:divBdr>
            <w:top w:val="none" w:sz="0" w:space="0" w:color="auto"/>
            <w:left w:val="none" w:sz="0" w:space="0" w:color="auto"/>
            <w:bottom w:val="none" w:sz="0" w:space="0" w:color="auto"/>
            <w:right w:val="none" w:sz="0" w:space="0" w:color="auto"/>
          </w:divBdr>
        </w:div>
        <w:div w:id="1185939811">
          <w:marLeft w:val="1080"/>
          <w:marRight w:val="0"/>
          <w:marTop w:val="100"/>
          <w:marBottom w:val="0"/>
          <w:divBdr>
            <w:top w:val="none" w:sz="0" w:space="0" w:color="auto"/>
            <w:left w:val="none" w:sz="0" w:space="0" w:color="auto"/>
            <w:bottom w:val="none" w:sz="0" w:space="0" w:color="auto"/>
            <w:right w:val="none" w:sz="0" w:space="0" w:color="auto"/>
          </w:divBdr>
        </w:div>
        <w:div w:id="1071074335">
          <w:marLeft w:val="1080"/>
          <w:marRight w:val="0"/>
          <w:marTop w:val="100"/>
          <w:marBottom w:val="0"/>
          <w:divBdr>
            <w:top w:val="none" w:sz="0" w:space="0" w:color="auto"/>
            <w:left w:val="none" w:sz="0" w:space="0" w:color="auto"/>
            <w:bottom w:val="none" w:sz="0" w:space="0" w:color="auto"/>
            <w:right w:val="none" w:sz="0" w:space="0" w:color="auto"/>
          </w:divBdr>
        </w:div>
        <w:div w:id="980958246">
          <w:marLeft w:val="1080"/>
          <w:marRight w:val="0"/>
          <w:marTop w:val="100"/>
          <w:marBottom w:val="0"/>
          <w:divBdr>
            <w:top w:val="none" w:sz="0" w:space="0" w:color="auto"/>
            <w:left w:val="none" w:sz="0" w:space="0" w:color="auto"/>
            <w:bottom w:val="none" w:sz="0" w:space="0" w:color="auto"/>
            <w:right w:val="none" w:sz="0" w:space="0" w:color="auto"/>
          </w:divBdr>
        </w:div>
        <w:div w:id="819688778">
          <w:marLeft w:val="1080"/>
          <w:marRight w:val="0"/>
          <w:marTop w:val="100"/>
          <w:marBottom w:val="0"/>
          <w:divBdr>
            <w:top w:val="none" w:sz="0" w:space="0" w:color="auto"/>
            <w:left w:val="none" w:sz="0" w:space="0" w:color="auto"/>
            <w:bottom w:val="none" w:sz="0" w:space="0" w:color="auto"/>
            <w:right w:val="none" w:sz="0" w:space="0" w:color="auto"/>
          </w:divBdr>
        </w:div>
        <w:div w:id="1154302347">
          <w:marLeft w:val="1080"/>
          <w:marRight w:val="0"/>
          <w:marTop w:val="100"/>
          <w:marBottom w:val="0"/>
          <w:divBdr>
            <w:top w:val="none" w:sz="0" w:space="0" w:color="auto"/>
            <w:left w:val="none" w:sz="0" w:space="0" w:color="auto"/>
            <w:bottom w:val="none" w:sz="0" w:space="0" w:color="auto"/>
            <w:right w:val="none" w:sz="0" w:space="0" w:color="auto"/>
          </w:divBdr>
        </w:div>
        <w:div w:id="1733581938">
          <w:marLeft w:val="1080"/>
          <w:marRight w:val="0"/>
          <w:marTop w:val="100"/>
          <w:marBottom w:val="0"/>
          <w:divBdr>
            <w:top w:val="none" w:sz="0" w:space="0" w:color="auto"/>
            <w:left w:val="none" w:sz="0" w:space="0" w:color="auto"/>
            <w:bottom w:val="none" w:sz="0" w:space="0" w:color="auto"/>
            <w:right w:val="none" w:sz="0" w:space="0" w:color="auto"/>
          </w:divBdr>
        </w:div>
        <w:div w:id="60912584">
          <w:marLeft w:val="360"/>
          <w:marRight w:val="0"/>
          <w:marTop w:val="200"/>
          <w:marBottom w:val="0"/>
          <w:divBdr>
            <w:top w:val="none" w:sz="0" w:space="0" w:color="auto"/>
            <w:left w:val="none" w:sz="0" w:space="0" w:color="auto"/>
            <w:bottom w:val="none" w:sz="0" w:space="0" w:color="auto"/>
            <w:right w:val="none" w:sz="0" w:space="0" w:color="auto"/>
          </w:divBdr>
        </w:div>
        <w:div w:id="1993563777">
          <w:marLeft w:val="1080"/>
          <w:marRight w:val="0"/>
          <w:marTop w:val="100"/>
          <w:marBottom w:val="0"/>
          <w:divBdr>
            <w:top w:val="none" w:sz="0" w:space="0" w:color="auto"/>
            <w:left w:val="none" w:sz="0" w:space="0" w:color="auto"/>
            <w:bottom w:val="none" w:sz="0" w:space="0" w:color="auto"/>
            <w:right w:val="none" w:sz="0" w:space="0" w:color="auto"/>
          </w:divBdr>
        </w:div>
        <w:div w:id="1900285178">
          <w:marLeft w:val="1080"/>
          <w:marRight w:val="0"/>
          <w:marTop w:val="100"/>
          <w:marBottom w:val="0"/>
          <w:divBdr>
            <w:top w:val="none" w:sz="0" w:space="0" w:color="auto"/>
            <w:left w:val="none" w:sz="0" w:space="0" w:color="auto"/>
            <w:bottom w:val="none" w:sz="0" w:space="0" w:color="auto"/>
            <w:right w:val="none" w:sz="0" w:space="0" w:color="auto"/>
          </w:divBdr>
        </w:div>
        <w:div w:id="862791786">
          <w:marLeft w:val="1080"/>
          <w:marRight w:val="0"/>
          <w:marTop w:val="100"/>
          <w:marBottom w:val="0"/>
          <w:divBdr>
            <w:top w:val="none" w:sz="0" w:space="0" w:color="auto"/>
            <w:left w:val="none" w:sz="0" w:space="0" w:color="auto"/>
            <w:bottom w:val="none" w:sz="0" w:space="0" w:color="auto"/>
            <w:right w:val="none" w:sz="0" w:space="0" w:color="auto"/>
          </w:divBdr>
        </w:div>
        <w:div w:id="623389562">
          <w:marLeft w:val="360"/>
          <w:marRight w:val="0"/>
          <w:marTop w:val="200"/>
          <w:marBottom w:val="0"/>
          <w:divBdr>
            <w:top w:val="none" w:sz="0" w:space="0" w:color="auto"/>
            <w:left w:val="none" w:sz="0" w:space="0" w:color="auto"/>
            <w:bottom w:val="none" w:sz="0" w:space="0" w:color="auto"/>
            <w:right w:val="none" w:sz="0" w:space="0" w:color="auto"/>
          </w:divBdr>
        </w:div>
        <w:div w:id="407002511">
          <w:marLeft w:val="1080"/>
          <w:marRight w:val="0"/>
          <w:marTop w:val="100"/>
          <w:marBottom w:val="0"/>
          <w:divBdr>
            <w:top w:val="none" w:sz="0" w:space="0" w:color="auto"/>
            <w:left w:val="none" w:sz="0" w:space="0" w:color="auto"/>
            <w:bottom w:val="none" w:sz="0" w:space="0" w:color="auto"/>
            <w:right w:val="none" w:sz="0" w:space="0" w:color="auto"/>
          </w:divBdr>
        </w:div>
        <w:div w:id="1632906822">
          <w:marLeft w:val="1080"/>
          <w:marRight w:val="0"/>
          <w:marTop w:val="100"/>
          <w:marBottom w:val="0"/>
          <w:divBdr>
            <w:top w:val="none" w:sz="0" w:space="0" w:color="auto"/>
            <w:left w:val="none" w:sz="0" w:space="0" w:color="auto"/>
            <w:bottom w:val="none" w:sz="0" w:space="0" w:color="auto"/>
            <w:right w:val="none" w:sz="0" w:space="0" w:color="auto"/>
          </w:divBdr>
        </w:div>
        <w:div w:id="908809546">
          <w:marLeft w:val="360"/>
          <w:marRight w:val="0"/>
          <w:marTop w:val="200"/>
          <w:marBottom w:val="0"/>
          <w:divBdr>
            <w:top w:val="none" w:sz="0" w:space="0" w:color="auto"/>
            <w:left w:val="none" w:sz="0" w:space="0" w:color="auto"/>
            <w:bottom w:val="none" w:sz="0" w:space="0" w:color="auto"/>
            <w:right w:val="none" w:sz="0" w:space="0" w:color="auto"/>
          </w:divBdr>
        </w:div>
        <w:div w:id="1291664347">
          <w:marLeft w:val="1080"/>
          <w:marRight w:val="0"/>
          <w:marTop w:val="100"/>
          <w:marBottom w:val="0"/>
          <w:divBdr>
            <w:top w:val="none" w:sz="0" w:space="0" w:color="auto"/>
            <w:left w:val="none" w:sz="0" w:space="0" w:color="auto"/>
            <w:bottom w:val="none" w:sz="0" w:space="0" w:color="auto"/>
            <w:right w:val="none" w:sz="0" w:space="0" w:color="auto"/>
          </w:divBdr>
        </w:div>
      </w:divsChild>
    </w:div>
    <w:div w:id="1831092836">
      <w:bodyDiv w:val="1"/>
      <w:marLeft w:val="0"/>
      <w:marRight w:val="0"/>
      <w:marTop w:val="0"/>
      <w:marBottom w:val="0"/>
      <w:divBdr>
        <w:top w:val="none" w:sz="0" w:space="0" w:color="auto"/>
        <w:left w:val="none" w:sz="0" w:space="0" w:color="auto"/>
        <w:bottom w:val="none" w:sz="0" w:space="0" w:color="auto"/>
        <w:right w:val="none" w:sz="0" w:space="0" w:color="auto"/>
      </w:divBdr>
    </w:div>
    <w:div w:id="1831142932">
      <w:bodyDiv w:val="1"/>
      <w:marLeft w:val="0"/>
      <w:marRight w:val="0"/>
      <w:marTop w:val="0"/>
      <w:marBottom w:val="0"/>
      <w:divBdr>
        <w:top w:val="none" w:sz="0" w:space="0" w:color="auto"/>
        <w:left w:val="none" w:sz="0" w:space="0" w:color="auto"/>
        <w:bottom w:val="none" w:sz="0" w:space="0" w:color="auto"/>
        <w:right w:val="none" w:sz="0" w:space="0" w:color="auto"/>
      </w:divBdr>
    </w:div>
    <w:div w:id="1839805299">
      <w:bodyDiv w:val="1"/>
      <w:marLeft w:val="0"/>
      <w:marRight w:val="0"/>
      <w:marTop w:val="0"/>
      <w:marBottom w:val="0"/>
      <w:divBdr>
        <w:top w:val="none" w:sz="0" w:space="0" w:color="auto"/>
        <w:left w:val="none" w:sz="0" w:space="0" w:color="auto"/>
        <w:bottom w:val="none" w:sz="0" w:space="0" w:color="auto"/>
        <w:right w:val="none" w:sz="0" w:space="0" w:color="auto"/>
      </w:divBdr>
    </w:div>
    <w:div w:id="1908806652">
      <w:bodyDiv w:val="1"/>
      <w:marLeft w:val="0"/>
      <w:marRight w:val="0"/>
      <w:marTop w:val="0"/>
      <w:marBottom w:val="0"/>
      <w:divBdr>
        <w:top w:val="none" w:sz="0" w:space="0" w:color="auto"/>
        <w:left w:val="none" w:sz="0" w:space="0" w:color="auto"/>
        <w:bottom w:val="none" w:sz="0" w:space="0" w:color="auto"/>
        <w:right w:val="none" w:sz="0" w:space="0" w:color="auto"/>
      </w:divBdr>
      <w:divsChild>
        <w:div w:id="1900968609">
          <w:marLeft w:val="0"/>
          <w:marRight w:val="0"/>
          <w:marTop w:val="375"/>
          <w:marBottom w:val="150"/>
          <w:divBdr>
            <w:top w:val="none" w:sz="0" w:space="0" w:color="auto"/>
            <w:left w:val="none" w:sz="0" w:space="0" w:color="auto"/>
            <w:bottom w:val="none" w:sz="0" w:space="0" w:color="auto"/>
            <w:right w:val="none" w:sz="0" w:space="0" w:color="auto"/>
          </w:divBdr>
          <w:divsChild>
            <w:div w:id="239678641">
              <w:marLeft w:val="0"/>
              <w:marRight w:val="0"/>
              <w:marTop w:val="0"/>
              <w:marBottom w:val="0"/>
              <w:divBdr>
                <w:top w:val="none" w:sz="0" w:space="0" w:color="auto"/>
                <w:left w:val="none" w:sz="0" w:space="0" w:color="auto"/>
                <w:bottom w:val="none" w:sz="0" w:space="0" w:color="auto"/>
                <w:right w:val="none" w:sz="0" w:space="0" w:color="auto"/>
              </w:divBdr>
            </w:div>
          </w:divsChild>
        </w:div>
        <w:div w:id="802045413">
          <w:marLeft w:val="0"/>
          <w:marRight w:val="0"/>
          <w:marTop w:val="0"/>
          <w:marBottom w:val="150"/>
          <w:divBdr>
            <w:top w:val="none" w:sz="0" w:space="0" w:color="auto"/>
            <w:left w:val="none" w:sz="0" w:space="0" w:color="auto"/>
            <w:bottom w:val="none" w:sz="0" w:space="0" w:color="auto"/>
            <w:right w:val="none" w:sz="0" w:space="0" w:color="auto"/>
          </w:divBdr>
          <w:divsChild>
            <w:div w:id="310981642">
              <w:marLeft w:val="0"/>
              <w:marRight w:val="0"/>
              <w:marTop w:val="0"/>
              <w:marBottom w:val="0"/>
              <w:divBdr>
                <w:top w:val="none" w:sz="0" w:space="0" w:color="auto"/>
                <w:left w:val="none" w:sz="0" w:space="0" w:color="auto"/>
                <w:bottom w:val="none" w:sz="0" w:space="0" w:color="auto"/>
                <w:right w:val="none" w:sz="0" w:space="0" w:color="auto"/>
              </w:divBdr>
            </w:div>
            <w:div w:id="1958288285">
              <w:marLeft w:val="0"/>
              <w:marRight w:val="0"/>
              <w:marTop w:val="0"/>
              <w:marBottom w:val="0"/>
              <w:divBdr>
                <w:top w:val="none" w:sz="0" w:space="0" w:color="auto"/>
                <w:left w:val="none" w:sz="0" w:space="0" w:color="auto"/>
                <w:bottom w:val="none" w:sz="0" w:space="0" w:color="auto"/>
                <w:right w:val="none" w:sz="0" w:space="0" w:color="auto"/>
              </w:divBdr>
            </w:div>
            <w:div w:id="1533835789">
              <w:marLeft w:val="0"/>
              <w:marRight w:val="0"/>
              <w:marTop w:val="0"/>
              <w:marBottom w:val="150"/>
              <w:divBdr>
                <w:top w:val="none" w:sz="0" w:space="0" w:color="auto"/>
                <w:left w:val="none" w:sz="0" w:space="0" w:color="auto"/>
                <w:bottom w:val="none" w:sz="0" w:space="0" w:color="auto"/>
                <w:right w:val="none" w:sz="0" w:space="0" w:color="auto"/>
              </w:divBdr>
            </w:div>
            <w:div w:id="1773276918">
              <w:marLeft w:val="0"/>
              <w:marRight w:val="0"/>
              <w:marTop w:val="0"/>
              <w:marBottom w:val="0"/>
              <w:divBdr>
                <w:top w:val="none" w:sz="0" w:space="0" w:color="auto"/>
                <w:left w:val="none" w:sz="0" w:space="0" w:color="auto"/>
                <w:bottom w:val="none" w:sz="0" w:space="0" w:color="auto"/>
                <w:right w:val="none" w:sz="0" w:space="0" w:color="auto"/>
              </w:divBdr>
            </w:div>
            <w:div w:id="2096051505">
              <w:marLeft w:val="0"/>
              <w:marRight w:val="0"/>
              <w:marTop w:val="0"/>
              <w:marBottom w:val="0"/>
              <w:divBdr>
                <w:top w:val="none" w:sz="0" w:space="0" w:color="auto"/>
                <w:left w:val="none" w:sz="0" w:space="0" w:color="auto"/>
                <w:bottom w:val="none" w:sz="0" w:space="0" w:color="auto"/>
                <w:right w:val="none" w:sz="0" w:space="0" w:color="auto"/>
              </w:divBdr>
            </w:div>
            <w:div w:id="891892979">
              <w:marLeft w:val="0"/>
              <w:marRight w:val="0"/>
              <w:marTop w:val="0"/>
              <w:marBottom w:val="150"/>
              <w:divBdr>
                <w:top w:val="none" w:sz="0" w:space="0" w:color="auto"/>
                <w:left w:val="none" w:sz="0" w:space="0" w:color="auto"/>
                <w:bottom w:val="none" w:sz="0" w:space="0" w:color="auto"/>
                <w:right w:val="none" w:sz="0" w:space="0" w:color="auto"/>
              </w:divBdr>
            </w:div>
            <w:div w:id="1969554076">
              <w:marLeft w:val="0"/>
              <w:marRight w:val="0"/>
              <w:marTop w:val="0"/>
              <w:marBottom w:val="0"/>
              <w:divBdr>
                <w:top w:val="none" w:sz="0" w:space="0" w:color="auto"/>
                <w:left w:val="none" w:sz="0" w:space="0" w:color="auto"/>
                <w:bottom w:val="none" w:sz="0" w:space="0" w:color="auto"/>
                <w:right w:val="none" w:sz="0" w:space="0" w:color="auto"/>
              </w:divBdr>
            </w:div>
            <w:div w:id="875506511">
              <w:marLeft w:val="0"/>
              <w:marRight w:val="0"/>
              <w:marTop w:val="0"/>
              <w:marBottom w:val="0"/>
              <w:divBdr>
                <w:top w:val="none" w:sz="0" w:space="0" w:color="auto"/>
                <w:left w:val="none" w:sz="0" w:space="0" w:color="auto"/>
                <w:bottom w:val="none" w:sz="0" w:space="0" w:color="auto"/>
                <w:right w:val="none" w:sz="0" w:space="0" w:color="auto"/>
              </w:divBdr>
            </w:div>
            <w:div w:id="63601287">
              <w:marLeft w:val="0"/>
              <w:marRight w:val="0"/>
              <w:marTop w:val="0"/>
              <w:marBottom w:val="150"/>
              <w:divBdr>
                <w:top w:val="none" w:sz="0" w:space="0" w:color="auto"/>
                <w:left w:val="none" w:sz="0" w:space="0" w:color="auto"/>
                <w:bottom w:val="none" w:sz="0" w:space="0" w:color="auto"/>
                <w:right w:val="none" w:sz="0" w:space="0" w:color="auto"/>
              </w:divBdr>
            </w:div>
          </w:divsChild>
        </w:div>
        <w:div w:id="2142920807">
          <w:marLeft w:val="0"/>
          <w:marRight w:val="0"/>
          <w:marTop w:val="375"/>
          <w:marBottom w:val="150"/>
          <w:divBdr>
            <w:top w:val="none" w:sz="0" w:space="0" w:color="auto"/>
            <w:left w:val="none" w:sz="0" w:space="0" w:color="auto"/>
            <w:bottom w:val="none" w:sz="0" w:space="0" w:color="auto"/>
            <w:right w:val="none" w:sz="0" w:space="0" w:color="auto"/>
          </w:divBdr>
        </w:div>
      </w:divsChild>
    </w:div>
    <w:div w:id="1916090672">
      <w:bodyDiv w:val="1"/>
      <w:marLeft w:val="0"/>
      <w:marRight w:val="0"/>
      <w:marTop w:val="0"/>
      <w:marBottom w:val="0"/>
      <w:divBdr>
        <w:top w:val="none" w:sz="0" w:space="0" w:color="auto"/>
        <w:left w:val="none" w:sz="0" w:space="0" w:color="auto"/>
        <w:bottom w:val="none" w:sz="0" w:space="0" w:color="auto"/>
        <w:right w:val="none" w:sz="0" w:space="0" w:color="auto"/>
      </w:divBdr>
    </w:div>
    <w:div w:id="1920140178">
      <w:bodyDiv w:val="1"/>
      <w:marLeft w:val="0"/>
      <w:marRight w:val="0"/>
      <w:marTop w:val="0"/>
      <w:marBottom w:val="0"/>
      <w:divBdr>
        <w:top w:val="none" w:sz="0" w:space="0" w:color="auto"/>
        <w:left w:val="none" w:sz="0" w:space="0" w:color="auto"/>
        <w:bottom w:val="none" w:sz="0" w:space="0" w:color="auto"/>
        <w:right w:val="none" w:sz="0" w:space="0" w:color="auto"/>
      </w:divBdr>
    </w:div>
    <w:div w:id="1931084661">
      <w:bodyDiv w:val="1"/>
      <w:marLeft w:val="0"/>
      <w:marRight w:val="0"/>
      <w:marTop w:val="0"/>
      <w:marBottom w:val="0"/>
      <w:divBdr>
        <w:top w:val="none" w:sz="0" w:space="0" w:color="auto"/>
        <w:left w:val="none" w:sz="0" w:space="0" w:color="auto"/>
        <w:bottom w:val="none" w:sz="0" w:space="0" w:color="auto"/>
        <w:right w:val="none" w:sz="0" w:space="0" w:color="auto"/>
      </w:divBdr>
    </w:div>
    <w:div w:id="1942637129">
      <w:bodyDiv w:val="1"/>
      <w:marLeft w:val="0"/>
      <w:marRight w:val="0"/>
      <w:marTop w:val="0"/>
      <w:marBottom w:val="0"/>
      <w:divBdr>
        <w:top w:val="none" w:sz="0" w:space="0" w:color="auto"/>
        <w:left w:val="none" w:sz="0" w:space="0" w:color="auto"/>
        <w:bottom w:val="none" w:sz="0" w:space="0" w:color="auto"/>
        <w:right w:val="none" w:sz="0" w:space="0" w:color="auto"/>
      </w:divBdr>
    </w:div>
    <w:div w:id="1972053956">
      <w:bodyDiv w:val="1"/>
      <w:marLeft w:val="0"/>
      <w:marRight w:val="0"/>
      <w:marTop w:val="0"/>
      <w:marBottom w:val="0"/>
      <w:divBdr>
        <w:top w:val="none" w:sz="0" w:space="0" w:color="auto"/>
        <w:left w:val="none" w:sz="0" w:space="0" w:color="auto"/>
        <w:bottom w:val="none" w:sz="0" w:space="0" w:color="auto"/>
        <w:right w:val="none" w:sz="0" w:space="0" w:color="auto"/>
      </w:divBdr>
    </w:div>
    <w:div w:id="2058309429">
      <w:bodyDiv w:val="1"/>
      <w:marLeft w:val="0"/>
      <w:marRight w:val="0"/>
      <w:marTop w:val="0"/>
      <w:marBottom w:val="0"/>
      <w:divBdr>
        <w:top w:val="none" w:sz="0" w:space="0" w:color="auto"/>
        <w:left w:val="none" w:sz="0" w:space="0" w:color="auto"/>
        <w:bottom w:val="none" w:sz="0" w:space="0" w:color="auto"/>
        <w:right w:val="none" w:sz="0" w:space="0" w:color="auto"/>
      </w:divBdr>
    </w:div>
    <w:div w:id="2116753206">
      <w:bodyDiv w:val="1"/>
      <w:marLeft w:val="0"/>
      <w:marRight w:val="0"/>
      <w:marTop w:val="0"/>
      <w:marBottom w:val="0"/>
      <w:divBdr>
        <w:top w:val="none" w:sz="0" w:space="0" w:color="auto"/>
        <w:left w:val="none" w:sz="0" w:space="0" w:color="auto"/>
        <w:bottom w:val="none" w:sz="0" w:space="0" w:color="auto"/>
        <w:right w:val="none" w:sz="0" w:space="0" w:color="auto"/>
      </w:divBdr>
    </w:div>
    <w:div w:id="2119592730">
      <w:bodyDiv w:val="1"/>
      <w:marLeft w:val="0"/>
      <w:marRight w:val="0"/>
      <w:marTop w:val="0"/>
      <w:marBottom w:val="0"/>
      <w:divBdr>
        <w:top w:val="none" w:sz="0" w:space="0" w:color="auto"/>
        <w:left w:val="none" w:sz="0" w:space="0" w:color="auto"/>
        <w:bottom w:val="none" w:sz="0" w:space="0" w:color="auto"/>
        <w:right w:val="none" w:sz="0" w:space="0" w:color="auto"/>
      </w:divBdr>
    </w:div>
    <w:div w:id="2128499024">
      <w:bodyDiv w:val="1"/>
      <w:marLeft w:val="0"/>
      <w:marRight w:val="0"/>
      <w:marTop w:val="0"/>
      <w:marBottom w:val="0"/>
      <w:divBdr>
        <w:top w:val="none" w:sz="0" w:space="0" w:color="auto"/>
        <w:left w:val="none" w:sz="0" w:space="0" w:color="auto"/>
        <w:bottom w:val="none" w:sz="0" w:space="0" w:color="auto"/>
        <w:right w:val="none" w:sz="0" w:space="0" w:color="auto"/>
      </w:divBdr>
    </w:div>
    <w:div w:id="2140107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ber.com/en-AU/blog/h3/" TargetMode="External"/><Relationship Id="rId13" Type="http://schemas.openxmlformats.org/officeDocument/2006/relationships/hyperlink" Target="https://datasets.seed.nsw.gov.au/dataset/1aacf341-945d-4392-b53d-9d266468963f"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7/9781009325844.02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microsoft/AustraliaBuildingFootprints" TargetMode="External"/><Relationship Id="rId5" Type="http://schemas.openxmlformats.org/officeDocument/2006/relationships/webSettings" Target="webSettings.xml"/><Relationship Id="rId15" Type="http://schemas.openxmlformats.org/officeDocument/2006/relationships/hyperlink" Target="https://doi.org/https://doi.org/10.5281/zenodo.7254221" TargetMode="External"/><Relationship Id="rId10" Type="http://schemas.openxmlformats.org/officeDocument/2006/relationships/hyperlink" Target="https://doi.org/10.25919/mywe-tz1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https://doi.org/10.7927/1z4r-ez63" TargetMode="External"/><Relationship Id="rId14" Type="http://schemas.openxmlformats.org/officeDocument/2006/relationships/hyperlink" Target="https://doi.org/https://doi.org/10.1080/002075900399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34E32-AEC6-4CF8-8A97-F3061C41E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31075</TotalTime>
  <Pages>22</Pages>
  <Words>13712</Words>
  <Characters>78163</Characters>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2024-05-23T03:51:00Z</cp:lastPrinted>
  <dcterms:created xsi:type="dcterms:W3CDTF">2024-12-21T06:19:00Z</dcterms:created>
  <dcterms:modified xsi:type="dcterms:W3CDTF">2026-07-10T06:32:00Z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http://www.zotero.org/styles/international-journal-of-disaster-risk-reduction</vt:lpwstr>
  </property>
  <property fmtid="{D5CDD505-2E9C-101B-9397-08002B2CF9AE}" pid="15" name="Mendeley Recent Style Name 6_1">
    <vt:lpwstr>International Journal of Disaster Risk Reduction</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bf4aa607-82c6-37df-a971-0801212d3066</vt:lpwstr>
  </property>
  <property fmtid="{D5CDD505-2E9C-101B-9397-08002B2CF9AE}" pid="24" name="Mendeley Citation Style_1">
    <vt:lpwstr>http://www.zotero.org/styles/apa</vt:lpwstr>
  </property>
  <property fmtid="{D5CDD505-2E9C-101B-9397-08002B2CF9AE}" pid="25" name="ClassificationContentMarkingHeaderShapeIds">
    <vt:lpwstr>1,2,3</vt:lpwstr>
  </property>
  <property fmtid="{D5CDD505-2E9C-101B-9397-08002B2CF9AE}" pid="26" name="ClassificationContentMarkingHeaderFontProps">
    <vt:lpwstr>#eedc00,12,Calibri</vt:lpwstr>
  </property>
  <property fmtid="{D5CDD505-2E9C-101B-9397-08002B2CF9AE}" pid="27" name="ClassificationContentMarkingHeaderText">
    <vt:lpwstr>RMIT Classification: Trusted</vt:lpwstr>
  </property>
  <property fmtid="{D5CDD505-2E9C-101B-9397-08002B2CF9AE}" pid="28" name="MSIP_Label_8c3d088b-6243-4963-a2e2-8b321ab7f8fc_Enabled">
    <vt:lpwstr>true</vt:lpwstr>
  </property>
  <property fmtid="{D5CDD505-2E9C-101B-9397-08002B2CF9AE}" pid="29" name="MSIP_Label_8c3d088b-6243-4963-a2e2-8b321ab7f8fc_SetDate">
    <vt:lpwstr>2022-12-01T23:42:27Z</vt:lpwstr>
  </property>
  <property fmtid="{D5CDD505-2E9C-101B-9397-08002B2CF9AE}" pid="30" name="MSIP_Label_8c3d088b-6243-4963-a2e2-8b321ab7f8fc_Method">
    <vt:lpwstr>Standard</vt:lpwstr>
  </property>
  <property fmtid="{D5CDD505-2E9C-101B-9397-08002B2CF9AE}" pid="31" name="MSIP_Label_8c3d088b-6243-4963-a2e2-8b321ab7f8fc_Name">
    <vt:lpwstr>Trusted</vt:lpwstr>
  </property>
  <property fmtid="{D5CDD505-2E9C-101B-9397-08002B2CF9AE}" pid="32" name="MSIP_Label_8c3d088b-6243-4963-a2e2-8b321ab7f8fc_SiteId">
    <vt:lpwstr>d1323671-cdbe-4417-b4d4-bdb24b51316b</vt:lpwstr>
  </property>
  <property fmtid="{D5CDD505-2E9C-101B-9397-08002B2CF9AE}" pid="33" name="MSIP_Label_8c3d088b-6243-4963-a2e2-8b321ab7f8fc_ActionId">
    <vt:lpwstr>b7251500-d6cb-4042-bb62-bc391e0c8c77</vt:lpwstr>
  </property>
  <property fmtid="{D5CDD505-2E9C-101B-9397-08002B2CF9AE}" pid="34" name="MSIP_Label_8c3d088b-6243-4963-a2e2-8b321ab7f8fc_ContentBits">
    <vt:lpwstr>1</vt:lpwstr>
  </property>
  <property fmtid="{D5CDD505-2E9C-101B-9397-08002B2CF9AE}" pid="35" name="GrammarlyDocumentId">
    <vt:lpwstr>7ca26d8e88765b424364238fb7f0fb992963c59caf8b09edf09961f5f8ee7d9f</vt:lpwstr>
  </property>
  <property fmtid="{D5CDD505-2E9C-101B-9397-08002B2CF9AE}" pid="36" name="MSIP_Label_4044bd30-2ed7-4c9d-9d12-46200872a97b_Enabled">
    <vt:lpwstr>true</vt:lpwstr>
  </property>
  <property fmtid="{D5CDD505-2E9C-101B-9397-08002B2CF9AE}" pid="37" name="MSIP_Label_4044bd30-2ed7-4c9d-9d12-46200872a97b_SetDate">
    <vt:lpwstr>2024-11-11T17:51:59Z</vt:lpwstr>
  </property>
  <property fmtid="{D5CDD505-2E9C-101B-9397-08002B2CF9AE}" pid="38" name="MSIP_Label_4044bd30-2ed7-4c9d-9d12-46200872a97b_Method">
    <vt:lpwstr>Standard</vt:lpwstr>
  </property>
  <property fmtid="{D5CDD505-2E9C-101B-9397-08002B2CF9AE}" pid="39" name="MSIP_Label_4044bd30-2ed7-4c9d-9d12-46200872a97b_Name">
    <vt:lpwstr>defa4170-0d19-0005-0004-bc88714345d2</vt:lpwstr>
  </property>
  <property fmtid="{D5CDD505-2E9C-101B-9397-08002B2CF9AE}" pid="40" name="MSIP_Label_4044bd30-2ed7-4c9d-9d12-46200872a97b_SiteId">
    <vt:lpwstr>4130bd39-7c53-419c-b1e5-8758d6d63f21</vt:lpwstr>
  </property>
  <property fmtid="{D5CDD505-2E9C-101B-9397-08002B2CF9AE}" pid="41" name="MSIP_Label_4044bd30-2ed7-4c9d-9d12-46200872a97b_ActionId">
    <vt:lpwstr>e230258a-cb70-4402-a3f4-3c97f66c7677</vt:lpwstr>
  </property>
  <property fmtid="{D5CDD505-2E9C-101B-9397-08002B2CF9AE}" pid="42" name="MSIP_Label_4044bd30-2ed7-4c9d-9d12-46200872a97b_ContentBits">
    <vt:lpwstr>0</vt:lpwstr>
  </property>
</Properties>
</file>