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06D87A">
      <w:pPr>
        <w:pStyle w:val="3"/>
        <w:keepNext/>
        <w:jc w:val="center"/>
        <w:rPr>
          <w:rFonts w:hint="default" w:ascii="Times New Roman" w:hAnsi="Times New Roman" w:cs="Times New Roman"/>
          <w:i w:val="0"/>
          <w:color w:val="auto"/>
        </w:rPr>
      </w:pPr>
      <w:r>
        <w:rPr>
          <w:rFonts w:hint="default" w:ascii="Times New Roman" w:hAnsi="Times New Roman" w:cs="Times New Roman"/>
          <w:i w:val="0"/>
          <w:color w:val="auto"/>
        </w:rPr>
        <w:t>Supplementary Materials</w:t>
      </w:r>
    </w:p>
    <w:p w14:paraId="173DE8F9">
      <w:pPr>
        <w:pStyle w:val="3"/>
        <w:keepNext/>
        <w:rPr>
          <w:rFonts w:hint="default" w:ascii="Times New Roman" w:hAnsi="Times New Roman" w:cs="Times New Roman"/>
          <w:color w:val="auto"/>
        </w:rPr>
      </w:pPr>
      <w:r>
        <w:rPr>
          <w:rFonts w:hint="default" w:ascii="Times New Roman" w:hAnsi="Times New Roman" w:cs="Times New Roman"/>
          <w:i w:val="0"/>
          <w:color w:val="auto"/>
        </w:rPr>
        <w:t>Supplementary Methods</w:t>
      </w:r>
    </w:p>
    <w:p w14:paraId="3B72B772">
      <w:pPr>
        <w:pStyle w:val="4"/>
        <w:keepNext/>
        <w:spacing w:line="360" w:lineRule="auto"/>
        <w:jc w:val="both"/>
        <w:rPr>
          <w:rFonts w:hint="default" w:ascii="Times New Roman" w:hAnsi="Times New Roman" w:cs="Times New Roman"/>
          <w:color w:val="auto"/>
        </w:rPr>
      </w:pPr>
      <w:r>
        <w:rPr>
          <w:rFonts w:hint="default" w:ascii="Times New Roman" w:hAnsi="Times New Roman" w:cs="Times New Roman"/>
          <w:i w:val="0"/>
          <w:color w:val="auto"/>
        </w:rPr>
        <w:t>1. Detailed surgical technique</w:t>
      </w:r>
    </w:p>
    <w:p w14:paraId="51E5E390">
      <w:pPr>
        <w:spacing w:line="360" w:lineRule="auto"/>
        <w:jc w:val="both"/>
        <w:rPr>
          <w:rFonts w:hint="default" w:ascii="Times New Roman" w:hAnsi="Times New Roman" w:cs="Times New Roman"/>
          <w:color w:val="auto"/>
        </w:rPr>
      </w:pPr>
      <w:r>
        <w:rPr>
          <w:rFonts w:hint="default" w:ascii="Times New Roman" w:hAnsi="Times New Roman" w:cs="Times New Roman"/>
          <w:i w:val="0"/>
          <w:color w:val="auto"/>
        </w:rPr>
        <w:t>All procedures were performed by the same senior spine surgery team. Patients underwent general anesthesia and were positioned prone on a radiolucent operating table. Both groups followed the same operative indication, decompression and fusion intent, implant strategy, perioperative management, postoperative rehabilitation, and follow-up pathway. The decompression and interbody fusion were performed through ipsilateral viewing and working portals, followed by bilateral percutaneous pedicle screw and rod fixation.</w:t>
      </w:r>
    </w:p>
    <w:p w14:paraId="22646BD3">
      <w:pPr>
        <w:spacing w:line="360" w:lineRule="auto"/>
        <w:jc w:val="both"/>
        <w:rPr>
          <w:rFonts w:hint="default" w:ascii="Times New Roman" w:hAnsi="Times New Roman" w:cs="Times New Roman"/>
          <w:color w:val="auto"/>
        </w:rPr>
      </w:pPr>
      <w:r>
        <w:rPr>
          <w:rFonts w:hint="default" w:ascii="Times New Roman" w:hAnsi="Times New Roman" w:cs="Times New Roman"/>
          <w:i w:val="0"/>
          <w:color w:val="auto"/>
        </w:rPr>
        <w:t>Fluoro-UBE-TLIF group. Under C-arm fluoroscopic guidance, four skin incisions were localized at the lateral borders of the target-level pedicles. Four percutaneous guidewires for pedicle screw placement were then inserted under repeated anteroposterior and lateral fluoroscopic confirmation. The biportal endoscopic viewing and working portals were established on the side selected for decompression and interbody fusion. After soft-tissue dissection, the ipsilateral target lamina and facet joint were exposed. Laminectomy, facetectomy, flavectomy, neural decompression, discectomy, and endplate preparation were performed under direct endoscopic visualization. Autologous bone graft and the interbody cage were inserted into the prepared disc space. Percutaneous pedicle screws were placed along the prepositioned guidewires, and two precontoured rods were inserted and secured bilaterally. Final anteroposterior and lateral fluoroscopy verified the positions of the guidewires or screws, rods, and cage.</w:t>
      </w:r>
    </w:p>
    <w:p w14:paraId="6C6097C7">
      <w:pPr>
        <w:spacing w:line="360" w:lineRule="auto"/>
        <w:jc w:val="both"/>
        <w:rPr>
          <w:rFonts w:hint="default" w:ascii="Times New Roman" w:hAnsi="Times New Roman" w:cs="Times New Roman"/>
          <w:color w:val="auto"/>
        </w:rPr>
      </w:pPr>
      <w:r>
        <w:rPr>
          <w:rFonts w:hint="default" w:ascii="Times New Roman" w:hAnsi="Times New Roman" w:cs="Times New Roman"/>
          <w:i w:val="0"/>
          <w:color w:val="auto"/>
        </w:rPr>
        <w:t>Nav-UBE-TLIF group. The patient position, biportal approach, decompression extent, disc preparation, grafting, cage implantation, pedicle screw/rod construct, and final fluoroscopic verification followed the same overall surgical sequence. The principal difference was that guidewire placement and spatial orientation during portal localization, bony decompression, disc-space preparation, cage insertion, and percutaneous fixation were supported by the two-dimensional fluoroscopy-registered optical navigation system. Neural decompression remained under direct endoscopic visualization throughout the procedure. The complete system configuration, registration sequence, and navigated operative workflow are described below and illustrated in Figs. 2 and 3.</w:t>
      </w:r>
    </w:p>
    <w:p w14:paraId="52970A39">
      <w:pPr>
        <w:pStyle w:val="4"/>
        <w:keepNext/>
        <w:spacing w:line="360" w:lineRule="auto"/>
        <w:jc w:val="both"/>
        <w:rPr>
          <w:rFonts w:hint="default" w:ascii="Times New Roman" w:hAnsi="Times New Roman" w:cs="Times New Roman"/>
          <w:color w:val="auto"/>
        </w:rPr>
      </w:pPr>
      <w:r>
        <w:rPr>
          <w:rFonts w:hint="default" w:ascii="Times New Roman" w:hAnsi="Times New Roman" w:cs="Times New Roman"/>
          <w:i w:val="0"/>
          <w:color w:val="auto"/>
        </w:rPr>
        <w:t>2. Navigation system and registration workflow</w:t>
      </w:r>
    </w:p>
    <w:p w14:paraId="663530BF">
      <w:pPr>
        <w:spacing w:line="360" w:lineRule="auto"/>
        <w:jc w:val="both"/>
        <w:rPr>
          <w:rFonts w:hint="default" w:ascii="Times New Roman" w:hAnsi="Times New Roman" w:cs="Times New Roman"/>
          <w:color w:val="auto"/>
        </w:rPr>
      </w:pPr>
      <w:r>
        <w:rPr>
          <w:rFonts w:hint="default" w:ascii="Times New Roman" w:hAnsi="Times New Roman" w:cs="Times New Roman"/>
          <w:i w:val="0"/>
          <w:color w:val="auto"/>
        </w:rPr>
        <w:t>The navigation group used the ZETNa optical surgical navigation system (BOSSCOME, China), which applies two-dimensional fluoroscopy-based registration. The system setup is shown in Fig. 2. The navigation workstation and image-processing console were integrated with the operative monitor, endoscopic imaging system, light source, and radiofrequency system (Fig. 2A). The C-arm image-acquisition unit was equipped with a C-arm tracker and tracker support arm (Fig. 2B). An optical positioning camera mounted on a camera stand detected the patient reference tracker and the markers attached to navigated instruments (Fig. 2C). Navigated and standard instruments included optical reference frames, tracked percutaneous tools, dilators, reamers, curettes, and cage inserters (Fig. 2D). Standard anteroposterior and lateral C-arm images were acquired for registration and spatial guidance (Fig. 2E). The intraoperative arrangement of the iliac-crest reference tracker and a tracked instrument is shown in Fig. 2F.</w:t>
      </w:r>
    </w:p>
    <w:p w14:paraId="680FB498">
      <w:pPr>
        <w:spacing w:line="360" w:lineRule="auto"/>
        <w:jc w:val="both"/>
        <w:rPr>
          <w:rFonts w:hint="default" w:ascii="Times New Roman" w:hAnsi="Times New Roman" w:cs="Times New Roman"/>
          <w:color w:val="auto"/>
        </w:rPr>
      </w:pPr>
      <w:r>
        <w:rPr>
          <w:rFonts w:hint="default" w:ascii="Times New Roman" w:hAnsi="Times New Roman" w:cs="Times New Roman"/>
          <w:i w:val="0"/>
          <w:color w:val="auto"/>
        </w:rPr>
        <w:t>After prone positioning and sterile preparation, a specialized patient reference tracker was attached to the iliac crest and maintained within the field of the optical camera. Standard anteroposterior and lateral C-arm fluoroscopic images were obtained with the registration target visible. These images were automatically transferred to the navigation workstation and registered to create the virtual two-dimensional tracking space. Optical markers were then attached to the percutaneous and endoscopic instruments used during the procedure, allowing their positions and trajectories to be displayed on the registered fluoroscopic images.</w:t>
      </w:r>
    </w:p>
    <w:p w14:paraId="53D54A82">
      <w:pPr>
        <w:spacing w:line="360" w:lineRule="auto"/>
        <w:jc w:val="both"/>
        <w:rPr>
          <w:rFonts w:hint="default" w:ascii="Times New Roman" w:hAnsi="Times New Roman" w:cs="Times New Roman"/>
          <w:color w:val="auto"/>
        </w:rPr>
      </w:pPr>
      <w:r>
        <w:rPr>
          <w:rFonts w:hint="default" w:ascii="Times New Roman" w:hAnsi="Times New Roman" w:cs="Times New Roman"/>
          <w:i w:val="0"/>
          <w:color w:val="auto"/>
        </w:rPr>
        <w:t>Percutaneous guidewire placement is illustrated in Fig. 3A–F. The pedicle entry point and trajectory were planned on the navigation screen using the registered anteroposterior and lateral views, and guidewire progression through the pedicle was monitored in real time (Fig. 3A–D). Figure 3E shows the operative field after placement of the guidewires with the iliac-crest tracker in position. Standard anteroposterior and lateral fluoroscopy was then used to confirm final guidewire position (Fig. 3F).</w:t>
      </w:r>
    </w:p>
    <w:p w14:paraId="5A7E83DF">
      <w:pPr>
        <w:spacing w:line="360" w:lineRule="auto"/>
        <w:jc w:val="both"/>
        <w:rPr>
          <w:rFonts w:hint="default" w:ascii="Times New Roman" w:hAnsi="Times New Roman" w:cs="Times New Roman"/>
          <w:color w:val="auto"/>
        </w:rPr>
      </w:pPr>
      <w:r>
        <w:rPr>
          <w:rFonts w:hint="default" w:ascii="Times New Roman" w:hAnsi="Times New Roman" w:cs="Times New Roman"/>
          <w:i w:val="0"/>
          <w:color w:val="auto"/>
        </w:rPr>
        <w:t>Portal establishment and bony decompression are illustrated in Fig. 3G–J. After the viewing and working portals were established, an optical marker was attached to an endoscopic instrument so that the instrument tip could be tracked during decompression (Fig. 3G). Under direct endoscopic visualization, navigation assisted identification of the facet joint (Fig. 3H) and, in isthmic cases, the pars or spondylolysis defect (Fig. 3I). Laminotomy and flavectomy were then performed to access the interlaminar space while the instrument location was displayed on the navigation screen (Fig. 3J).</w:t>
      </w:r>
    </w:p>
    <w:p w14:paraId="75FA5987">
      <w:pPr>
        <w:spacing w:line="360" w:lineRule="auto"/>
        <w:jc w:val="both"/>
        <w:rPr>
          <w:rFonts w:hint="default" w:ascii="Times New Roman" w:hAnsi="Times New Roman" w:cs="Times New Roman"/>
          <w:color w:val="auto"/>
        </w:rPr>
      </w:pPr>
      <w:r>
        <w:rPr>
          <w:rFonts w:hint="default" w:ascii="Times New Roman" w:hAnsi="Times New Roman" w:cs="Times New Roman"/>
          <w:i w:val="0"/>
          <w:color w:val="auto"/>
        </w:rPr>
        <w:t>Discectomy, endplate preparation, and interbody fusion are illustrated in Fig. 3K. After exposure of the disc space, discectomy and endplate preparation were performed under endoscopic visualization with navigational monitoring of instrument position. The tracked cage inserter was used to plan and monitor cage trajectory and insertion depth. During final percutaneous fixation, the screw towers and screwdrivers were optically tracked; the screws were inserted along the prepositioned guidewires while entry points and trajectories were monitored on the registered views. The rods were inserted and secured bilaterally, followed by final fluoroscopic confirmation.</w:t>
      </w:r>
    </w:p>
    <w:p w14:paraId="5E71B51D">
      <w:pPr>
        <w:spacing w:line="360" w:lineRule="auto"/>
        <w:jc w:val="both"/>
        <w:rPr>
          <w:rFonts w:hint="default" w:ascii="Times New Roman" w:hAnsi="Times New Roman" w:cs="Times New Roman"/>
          <w:color w:val="auto"/>
        </w:rPr>
      </w:pPr>
      <w:r>
        <w:rPr>
          <w:rFonts w:hint="default" w:ascii="Times New Roman" w:hAnsi="Times New Roman" w:cs="Times New Roman"/>
          <w:i w:val="0"/>
          <w:color w:val="auto"/>
        </w:rPr>
        <w:t>Navigation setup and registration time were included in total operative time. The anteroposterior and lateral images used for registration were included in the total fluoroscopic shot count.</w:t>
      </w:r>
    </w:p>
    <w:p w14:paraId="78C0F255">
      <w:pPr>
        <w:pStyle w:val="4"/>
        <w:keepNext/>
        <w:spacing w:line="360" w:lineRule="auto"/>
        <w:jc w:val="both"/>
        <w:rPr>
          <w:rFonts w:hint="default" w:ascii="Times New Roman" w:hAnsi="Times New Roman" w:cs="Times New Roman"/>
          <w:color w:val="auto"/>
        </w:rPr>
      </w:pPr>
      <w:r>
        <w:rPr>
          <w:rFonts w:hint="default" w:ascii="Times New Roman" w:hAnsi="Times New Roman" w:cs="Times New Roman"/>
          <w:i w:val="0"/>
          <w:color w:val="auto"/>
        </w:rPr>
        <w:t>3. Data collection and outcome definitions</w:t>
      </w:r>
    </w:p>
    <w:p w14:paraId="2A87BB86">
      <w:pPr>
        <w:spacing w:line="360" w:lineRule="auto"/>
        <w:jc w:val="both"/>
        <w:rPr>
          <w:rFonts w:hint="default" w:ascii="Times New Roman" w:hAnsi="Times New Roman" w:cs="Times New Roman"/>
          <w:color w:val="auto"/>
        </w:rPr>
      </w:pPr>
      <w:r>
        <w:rPr>
          <w:rFonts w:hint="default" w:ascii="Times New Roman" w:hAnsi="Times New Roman" w:cs="Times New Roman"/>
          <w:i w:val="0"/>
          <w:color w:val="auto"/>
        </w:rPr>
        <w:t>Data sources included electronic medical records, operative and anesthesia records, imaging archives, and outpatient follow-up records. Baseline variables included age, sex, body mass index, comorbidities, smoking status, alcohol use, osteoporosis, spondylolisthesis subtype, Meyerding grade, operative level, symptom duration, and preoperative patient-reported outcome measures.</w:t>
      </w:r>
    </w:p>
    <w:p w14:paraId="5C1F49E8">
      <w:pPr>
        <w:spacing w:line="360" w:lineRule="auto"/>
        <w:jc w:val="both"/>
        <w:rPr>
          <w:rFonts w:hint="default" w:ascii="Times New Roman" w:hAnsi="Times New Roman" w:cs="Times New Roman"/>
          <w:color w:val="auto"/>
        </w:rPr>
      </w:pPr>
      <w:r>
        <w:rPr>
          <w:rFonts w:hint="default" w:ascii="Times New Roman" w:hAnsi="Times New Roman" w:cs="Times New Roman"/>
          <w:i w:val="0"/>
          <w:color w:val="auto"/>
        </w:rPr>
        <w:t>The primary outcome was total operative time, defined as the interval from surgical localization after sterile preparation to final wound dressing. Component times comprised navigation setup and registration when applicable, portal establishment, percutaneous guidewire or pedicle screw instrumentation, endoscopic decompression and disc-space preparation, and interbody bone grafting with cage insertion. Secondary perioperative outcomes included intraoperative blood loss, postoperative drainage volume, length of hospital stay, total and step-specific fluoroscopic shots, and calculated fluoroscopic output.</w:t>
      </w:r>
    </w:p>
    <w:p w14:paraId="4AC3923E">
      <w:pPr>
        <w:spacing w:line="360" w:lineRule="auto"/>
        <w:jc w:val="both"/>
        <w:rPr>
          <w:rFonts w:hint="default" w:ascii="Times New Roman" w:hAnsi="Times New Roman" w:cs="Times New Roman"/>
          <w:color w:val="auto"/>
        </w:rPr>
      </w:pPr>
      <w:r>
        <w:rPr>
          <w:rFonts w:hint="default" w:ascii="Times New Roman" w:hAnsi="Times New Roman" w:cs="Times New Roman"/>
          <w:i w:val="0"/>
          <w:color w:val="auto"/>
        </w:rPr>
        <w:t>Fluoroscopic shots were recorded for the principal fluoroscopy-dependent phases, including percutaneous guidewire or screw placement and interbody cage insertion, and were summed as the total intraoperative fluoroscopic count. Estimated fluoroscopic output was calculated by multiplying total fluoroscopic shots by the C-arm single-shot output.</w:t>
      </w:r>
    </w:p>
    <w:p w14:paraId="7BCE21FA">
      <w:pPr>
        <w:spacing w:line="360" w:lineRule="auto"/>
        <w:jc w:val="both"/>
        <w:rPr>
          <w:rFonts w:hint="default" w:ascii="Times New Roman" w:hAnsi="Times New Roman" w:cs="Times New Roman"/>
          <w:color w:val="auto"/>
        </w:rPr>
      </w:pPr>
      <w:r>
        <w:rPr>
          <w:rFonts w:hint="default" w:ascii="Times New Roman" w:hAnsi="Times New Roman" w:cs="Times New Roman"/>
          <w:i w:val="0"/>
          <w:color w:val="auto"/>
        </w:rPr>
        <w:t>Back and leg pain were evaluated using 0–10 visual analog scales. Disability was assessed with the Oswestry Disability Index (0–100%), and health-related quality of life with the EQ-5D-5L index. VAS and ODI were recorded preoperatively, at discharge, and at 1, 3, 6, and 12 months; EQ-5D-5L was recorded preoperatively and at 1, 3, 6, and 12 months. Patient satisfaction at 12 months was evaluated using the modified MacNab criteria and categorized as excellent, good, fair, or poor.</w:t>
      </w:r>
    </w:p>
    <w:p w14:paraId="3FB9CF3E">
      <w:pPr>
        <w:pStyle w:val="4"/>
        <w:keepNext/>
        <w:spacing w:line="360" w:lineRule="auto"/>
        <w:jc w:val="both"/>
        <w:rPr>
          <w:rFonts w:hint="default" w:ascii="Times New Roman" w:hAnsi="Times New Roman" w:cs="Times New Roman"/>
          <w:color w:val="auto"/>
        </w:rPr>
      </w:pPr>
      <w:r>
        <w:rPr>
          <w:rFonts w:hint="default" w:ascii="Times New Roman" w:hAnsi="Times New Roman" w:cs="Times New Roman"/>
          <w:i w:val="0"/>
          <w:color w:val="auto"/>
        </w:rPr>
        <w:t>4. Radiographic assessment and grading definitions</w:t>
      </w:r>
    </w:p>
    <w:p w14:paraId="21EDA38F">
      <w:pPr>
        <w:spacing w:line="360" w:lineRule="auto"/>
        <w:jc w:val="both"/>
        <w:rPr>
          <w:rFonts w:hint="default" w:ascii="Times New Roman" w:hAnsi="Times New Roman" w:cs="Times New Roman"/>
          <w:color w:val="auto"/>
        </w:rPr>
      </w:pPr>
      <w:r>
        <w:rPr>
          <w:rFonts w:hint="default" w:ascii="Times New Roman" w:hAnsi="Times New Roman" w:cs="Times New Roman"/>
          <w:i w:val="0"/>
          <w:color w:val="auto"/>
        </w:rPr>
        <w:t>Radiographic outcomes were evaluated using standing radiographs, flexion-extension radiographs, computed tomography, and magnetic resonance imaging as appropriate. Slip percentage and intervertebral height were measured on lateral radiographs. Slip correction rate was calculated as (preoperative slip percentage − postoperative slip percentage)/preoperative slip percentage ×100%. Intervertebral height was assessed preoperatively, immediately postoperatively, and at 12 months.</w:t>
      </w:r>
    </w:p>
    <w:p w14:paraId="593BC737">
      <w:pPr>
        <w:spacing w:line="360" w:lineRule="auto"/>
        <w:jc w:val="both"/>
        <w:rPr>
          <w:rFonts w:hint="default" w:ascii="Times New Roman" w:hAnsi="Times New Roman" w:cs="Times New Roman"/>
          <w:color w:val="auto"/>
        </w:rPr>
      </w:pPr>
      <w:r>
        <w:rPr>
          <w:rFonts w:hint="default" w:ascii="Times New Roman" w:hAnsi="Times New Roman" w:cs="Times New Roman"/>
          <w:i w:val="0"/>
          <w:color w:val="auto"/>
        </w:rPr>
        <w:t>Postoperative CT was used to assess pedicle screw accuracy, superior facet joint violation, cage subsidence, cage migration, and fusion status. Pedicle screw accuracy was graded per screw using the Mobbs–Raley classification: grade 0, complete cortical containment; grade 1, thread breach ≤2 mm; grade 2, breach &gt;2 mm without neurological compromise; and grade 3, pedicle fracture or an associated neurovascular or neurological complication. Superior facet preservation was graded per screw using the Badu classification: grade 0, no facet contact; grade 1, lateral facet contact without joint entry; grade 2, joint entry &lt;1 mm; and grade 3, joint entry ≥1 mm.</w:t>
      </w:r>
    </w:p>
    <w:p w14:paraId="635DDDE0">
      <w:pPr>
        <w:spacing w:line="360" w:lineRule="auto"/>
        <w:jc w:val="both"/>
        <w:rPr>
          <w:rFonts w:hint="default" w:ascii="Times New Roman" w:hAnsi="Times New Roman" w:cs="Times New Roman"/>
          <w:color w:val="auto"/>
        </w:rPr>
      </w:pPr>
      <w:r>
        <w:rPr>
          <w:rFonts w:hint="default" w:ascii="Times New Roman" w:hAnsi="Times New Roman" w:cs="Times New Roman"/>
          <w:i w:val="0"/>
          <w:color w:val="auto"/>
        </w:rPr>
        <w:t>Interbody fusion at 12 months was graded using the Bridwell classification. Grades I and II were defined as successful fusion, whereas grades III and IV represented uncertain fusion or nonunion. Radiographic suspected nonunion alone was not classified as a complication unless accompanied by persistent or recurrent symptoms attributable to the index level, implant-related failure, or additional treatment. Slip percentage, intervertebral height, correction rate, fusion, cage findings, and complications were analyzed at the patient level; screw and facet grades were analyzed at the screw level.</w:t>
      </w:r>
    </w:p>
    <w:p w14:paraId="61716C7A">
      <w:pPr>
        <w:pStyle w:val="4"/>
        <w:keepNext/>
        <w:spacing w:line="360" w:lineRule="auto"/>
        <w:jc w:val="both"/>
        <w:rPr>
          <w:rFonts w:hint="default" w:ascii="Times New Roman" w:hAnsi="Times New Roman" w:cs="Times New Roman"/>
          <w:color w:val="auto"/>
        </w:rPr>
      </w:pPr>
      <w:r>
        <w:rPr>
          <w:rFonts w:hint="default" w:ascii="Times New Roman" w:hAnsi="Times New Roman" w:cs="Times New Roman"/>
          <w:i w:val="0"/>
          <w:color w:val="auto"/>
        </w:rPr>
        <w:t>5. Detailed complication definitions</w:t>
      </w:r>
    </w:p>
    <w:p w14:paraId="7BF4220B">
      <w:pPr>
        <w:spacing w:line="360" w:lineRule="auto"/>
        <w:jc w:val="both"/>
        <w:rPr>
          <w:rFonts w:hint="default" w:ascii="Times New Roman" w:hAnsi="Times New Roman" w:cs="Times New Roman"/>
          <w:color w:val="auto"/>
        </w:rPr>
      </w:pPr>
      <w:r>
        <w:rPr>
          <w:rFonts w:hint="default" w:ascii="Times New Roman" w:hAnsi="Times New Roman" w:cs="Times New Roman"/>
          <w:i w:val="0"/>
          <w:color w:val="auto"/>
        </w:rPr>
        <w:t>Intraoperative and postoperative complications were recorded through 12 months. Intraoperative complications included dural tear, nerve-root injury, major bleeding, major vessel or visceral injury, and other adverse events occurring during surgery. Postoperative and late complications included postoperative radiculitis, infection, symptomatic epidural hematoma, neurological deterioration, symptomatic pseudarthrosis, clinically relevant cage migration or subsidence, internal fixation irritation or failure, adjacent-segment disease, and reoperation.</w:t>
      </w:r>
    </w:p>
    <w:p w14:paraId="0C1FFF33">
      <w:pPr>
        <w:spacing w:line="360" w:lineRule="auto"/>
        <w:jc w:val="both"/>
        <w:rPr>
          <w:rFonts w:hint="default" w:ascii="Times New Roman" w:hAnsi="Times New Roman" w:cs="Times New Roman"/>
          <w:color w:val="auto"/>
        </w:rPr>
      </w:pPr>
      <w:r>
        <w:rPr>
          <w:rFonts w:hint="default" w:ascii="Times New Roman" w:hAnsi="Times New Roman" w:cs="Times New Roman"/>
          <w:i w:val="0"/>
          <w:color w:val="auto"/>
        </w:rPr>
        <w:t>Symptomatic pseudarthrosis was defined as Bridwell grade III or IV fusion status accompanied by persistent or recurrent symptoms attributable to the index level, implant-related failure, or the need for additional treatment. For the overall complication rate, each patient was counted once even when more than one related event was present; individual complication categories were not necessarily mutually exclusive.</w:t>
      </w:r>
    </w:p>
    <w:p w14:paraId="171F948B">
      <w:pPr>
        <w:pStyle w:val="4"/>
        <w:keepNext/>
        <w:spacing w:line="360" w:lineRule="auto"/>
        <w:jc w:val="both"/>
        <w:rPr>
          <w:rFonts w:hint="default" w:ascii="Times New Roman" w:hAnsi="Times New Roman" w:cs="Times New Roman"/>
          <w:color w:val="auto"/>
        </w:rPr>
      </w:pPr>
      <w:r>
        <w:rPr>
          <w:rFonts w:hint="default" w:ascii="Times New Roman" w:hAnsi="Times New Roman" w:cs="Times New Roman"/>
          <w:i w:val="0"/>
          <w:color w:val="auto"/>
        </w:rPr>
        <w:t>6. Interobserver reliability methods</w:t>
      </w:r>
    </w:p>
    <w:p w14:paraId="373DFC43">
      <w:pPr>
        <w:spacing w:line="360" w:lineRule="auto"/>
        <w:jc w:val="both"/>
        <w:rPr>
          <w:rFonts w:hint="default" w:ascii="Times New Roman" w:hAnsi="Times New Roman" w:cs="Times New Roman"/>
          <w:color w:val="auto"/>
        </w:rPr>
      </w:pPr>
      <w:r>
        <w:rPr>
          <w:rFonts w:hint="default" w:ascii="Times New Roman" w:hAnsi="Times New Roman" w:cs="Times New Roman"/>
          <w:i w:val="0"/>
          <w:color w:val="auto"/>
        </w:rPr>
        <w:t>Radiographic measurements and categorical grades were assessed independently by two observers who were blinded to clinical outcomes. Disagreements were resolved by consensus after the independent assessments. Cohen's kappa coefficient with a 95% confidence interval was used for categorical outcomes, including Mobbs–Raley screw grade, Badu facet violation grade, Bridwell fusion grade, cage subsidence, and cage migration. Intraclass correlation coefficients with 95% confidence intervals were calculated using a two-way random-effects absolute-agreement model for continuous measurements, including slip percentage, intervertebral height, and slip correction rate. Reliability estimates are reported in Supplementary Table 6.</w:t>
      </w:r>
    </w:p>
    <w:p w14:paraId="11B79732">
      <w:pPr>
        <w:pStyle w:val="4"/>
        <w:keepNext/>
        <w:spacing w:line="360" w:lineRule="auto"/>
        <w:jc w:val="both"/>
        <w:rPr>
          <w:rFonts w:hint="default" w:ascii="Times New Roman" w:hAnsi="Times New Roman" w:cs="Times New Roman"/>
          <w:color w:val="auto"/>
        </w:rPr>
      </w:pPr>
      <w:r>
        <w:rPr>
          <w:rFonts w:hint="default" w:ascii="Times New Roman" w:hAnsi="Times New Roman" w:cs="Times New Roman"/>
          <w:i w:val="0"/>
          <w:color w:val="auto"/>
        </w:rPr>
        <w:t>7. Statistical analysis and adjusted timepoint contrasts</w:t>
      </w:r>
    </w:p>
    <w:p w14:paraId="3E8188C2">
      <w:pPr>
        <w:spacing w:line="360" w:lineRule="auto"/>
        <w:jc w:val="both"/>
        <w:rPr>
          <w:rFonts w:hint="default" w:ascii="Times New Roman" w:hAnsi="Times New Roman" w:cs="Times New Roman"/>
          <w:color w:val="auto"/>
        </w:rPr>
      </w:pPr>
      <w:r>
        <w:rPr>
          <w:rFonts w:hint="default" w:ascii="Times New Roman" w:hAnsi="Times New Roman" w:cs="Times New Roman"/>
          <w:i w:val="0"/>
          <w:color w:val="auto"/>
        </w:rPr>
        <w:t>Continuous-variable distributions were assessed using the Shapiro–Wilk test together with visual inspection of histograms and quantile-quantile plots. Continuous variables were reported as mean±standard deviation and categorical variables as n (%). Baseline characteristics were summarized by group, and standardized mean differences were used to describe balance; values &gt;0.10 were considered potentially meaningful. Normally distributed continuous variables were compared with independent-samples or Welch t tests, nonnormally distributed variables with Mann–Whitney U tests, and categorical variables with chi-square or Fisher exact tests, as appropriate.</w:t>
      </w:r>
    </w:p>
    <w:p w14:paraId="35804EB4">
      <w:pPr>
        <w:spacing w:line="360" w:lineRule="auto"/>
        <w:jc w:val="both"/>
        <w:rPr>
          <w:rFonts w:hint="default" w:ascii="Times New Roman" w:hAnsi="Times New Roman" w:cs="Times New Roman"/>
          <w:color w:val="auto"/>
        </w:rPr>
      </w:pPr>
      <w:r>
        <w:rPr>
          <w:rFonts w:hint="default" w:ascii="Times New Roman" w:hAnsi="Times New Roman" w:cs="Times New Roman"/>
          <w:i w:val="0"/>
          <w:color w:val="auto"/>
        </w:rPr>
        <w:t>The primary analysis compared total operative time between groups. Multivariable linear regression adjusted the primary and key continuous secondary outcomes for age, sex, body mass index, spondylolisthesis subtype, Meyerding grade, operative level, smoking, osteoporosis, and symptom duration. Effect estimates were expressed for Nav-UBE-TLIF minus Fluoro-UBE-TLIF with 95% confidence intervals. Screw-level grade 0 outcomes were analyzed using logistic generalized estimating equations with an exchangeable working correlation structure to account for four screws clustered within each patient. Fusion and complications retained patient-level denominators.</w:t>
      </w:r>
    </w:p>
    <w:p w14:paraId="7D6CF7D6">
      <w:pPr>
        <w:spacing w:line="360" w:lineRule="auto"/>
        <w:jc w:val="both"/>
        <w:rPr>
          <w:rFonts w:hint="default" w:ascii="Times New Roman" w:hAnsi="Times New Roman" w:cs="Times New Roman"/>
          <w:color w:val="auto"/>
        </w:rPr>
      </w:pPr>
      <w:r>
        <w:rPr>
          <w:rFonts w:hint="default" w:ascii="Times New Roman" w:hAnsi="Times New Roman" w:cs="Times New Roman"/>
          <w:i w:val="0"/>
          <w:color w:val="auto"/>
        </w:rPr>
        <w:t>Each PROM was modeled separately using a linear mixed-effects model. Fixed effects comprised guidance group, categorical postoperative time, the group-by-time interaction, the corresponding baseline score, age, sex, body mass index, spondylolisthesis subtype, Meyerding grade, operative level, smoking, osteoporosis, and symptom duration; a patient-level random intercept accounted for repeated observations. Estimated marginal means were used to obtain Nav-minus-Fluoro contrasts at every postoperative time point. Raw p values were adjusted within each PROM using the Holm procedure. The adjusted 12-month contrasts were used for the principal clinical interpretation, while earlier contrasts assisted interpretation of longitudinal interactions. Analyses were performed using IBM SPSS Statistics version 26.0 and R; all tests were two-sided.</w:t>
      </w:r>
    </w:p>
    <w:p w14:paraId="382374B8">
      <w:pPr>
        <w:pStyle w:val="4"/>
        <w:keepNext/>
        <w:spacing w:line="360" w:lineRule="auto"/>
        <w:jc w:val="both"/>
        <w:rPr>
          <w:rFonts w:hint="default" w:ascii="Times New Roman" w:hAnsi="Times New Roman" w:cs="Times New Roman"/>
          <w:color w:val="auto"/>
        </w:rPr>
      </w:pPr>
      <w:r>
        <w:rPr>
          <w:rFonts w:hint="default" w:ascii="Times New Roman" w:hAnsi="Times New Roman" w:cs="Times New Roman"/>
          <w:i w:val="0"/>
          <w:color w:val="auto"/>
        </w:rPr>
        <w:t>8. MCID threshold selection</w:t>
      </w:r>
    </w:p>
    <w:p w14:paraId="35650807">
      <w:pPr>
        <w:spacing w:line="360" w:lineRule="auto"/>
        <w:jc w:val="both"/>
        <w:rPr>
          <w:rFonts w:hint="default" w:ascii="Times New Roman" w:hAnsi="Times New Roman" w:cs="Times New Roman"/>
          <w:color w:val="auto"/>
        </w:rPr>
      </w:pPr>
      <w:r>
        <w:rPr>
          <w:rFonts w:hint="default" w:ascii="Times New Roman" w:hAnsi="Times New Roman" w:cs="Times New Roman"/>
          <w:i w:val="0"/>
          <w:color w:val="auto"/>
        </w:rPr>
        <w:t>MCID thresholds were selected from external validation studies rather than estimated from this cohort. Copay et al. reported improvement thresholds of 1.2 points for VAS back pain, 1.6 points for VAS leg pain, and 12.8 points for ODI in lumbar spine surgery patients using anchor- and distribution-based approaches. Yakdan et al. reported an anchor-based EQ-5D-5L improvement threshold of 0.22 after full-endoscopic lumbar surgery for degenerative disease. These thresholds were used to contextualize the magnitude of adjusted 12-month between-group differences and were not treated as formal equivalence or noninferiority margins. Differences in population, baseline severity, follow-up interval, external anchor, outcome responsiveness, and estimation method can produce different MCID values.</w:t>
      </w:r>
    </w:p>
    <w:p w14:paraId="474060C2">
      <w:pPr>
        <w:pStyle w:val="4"/>
        <w:keepNext/>
        <w:spacing w:line="360" w:lineRule="auto"/>
        <w:jc w:val="both"/>
        <w:rPr>
          <w:rFonts w:hint="default" w:ascii="Times New Roman" w:hAnsi="Times New Roman" w:cs="Times New Roman"/>
          <w:color w:val="auto"/>
        </w:rPr>
      </w:pPr>
      <w:r>
        <w:rPr>
          <w:rFonts w:hint="default" w:ascii="Times New Roman" w:hAnsi="Times New Roman" w:cs="Times New Roman"/>
          <w:i w:val="0"/>
          <w:color w:val="auto"/>
        </w:rPr>
        <w:t>9. MCID responder analysis</w:t>
      </w:r>
    </w:p>
    <w:p w14:paraId="04FA91B7">
      <w:pPr>
        <w:spacing w:line="360" w:lineRule="auto"/>
        <w:jc w:val="both"/>
        <w:rPr>
          <w:rFonts w:hint="default" w:ascii="Times New Roman" w:hAnsi="Times New Roman" w:cs="Times New Roman"/>
          <w:color w:val="auto"/>
        </w:rPr>
      </w:pPr>
      <w:r>
        <w:rPr>
          <w:rFonts w:hint="default" w:ascii="Times New Roman" w:hAnsi="Times New Roman" w:cs="Times New Roman"/>
          <w:i w:val="0"/>
          <w:color w:val="auto"/>
        </w:rPr>
        <w:t>For the exploratory patient-level analysis, 12-month improvement was calculated as baseline minus 12-month score for VAS back pain, VAS leg pain, and ODI, and as 12-month minus baseline score for EQ-5D-5L. A patient was classified as a responder when improvement met or exceeded the selected literature-derived threshold.</w:t>
      </w:r>
    </w:p>
    <w:p w14:paraId="5F14B840">
      <w:pPr>
        <w:spacing w:line="360" w:lineRule="auto"/>
        <w:jc w:val="both"/>
        <w:rPr>
          <w:rFonts w:hint="default" w:ascii="Times New Roman" w:hAnsi="Times New Roman" w:cs="Times New Roman"/>
          <w:color w:val="auto"/>
        </w:rPr>
      </w:pPr>
      <w:r>
        <w:rPr>
          <w:rFonts w:hint="default" w:ascii="Times New Roman" w:hAnsi="Times New Roman" w:cs="Times New Roman"/>
          <w:i w:val="0"/>
          <w:color w:val="auto"/>
        </w:rPr>
        <w:t>Responder results were summarized as n/N (%) for each group. Between-group measures included the Nav-minus-Fluoro risk difference with a Newcombe–Wilson 95% confidence interval, the Nav/Fluoro risk ratio with a 95% confidence interval, and a two-sided Fisher exact p value. Adjusted logistic models were not emphasized when complete or near-complete response produced separation and unstable multivariable estimation. This post hoc responder analysis supplemented rather than replaced the continuous adjusted contrasts. All included patients had complete scheduled PROM observations through 12 months.</w:t>
      </w:r>
    </w:p>
    <w:p w14:paraId="5DEE50EF">
      <w:pPr>
        <w:rPr>
          <w:rFonts w:hint="default" w:ascii="Times New Roman" w:hAnsi="Times New Roman" w:cs="Times New Roman"/>
          <w:color w:val="auto"/>
        </w:rPr>
      </w:pPr>
      <w:r>
        <w:rPr>
          <w:rFonts w:hint="default" w:ascii="Times New Roman" w:hAnsi="Times New Roman" w:cs="Times New Roman"/>
          <w:color w:val="auto"/>
        </w:rPr>
        <w:br w:type="page"/>
      </w:r>
    </w:p>
    <w:p w14:paraId="628FB634">
      <w:pPr>
        <w:pStyle w:val="3"/>
        <w:keepNext/>
        <w:rPr>
          <w:rFonts w:hint="default" w:ascii="Times New Roman" w:hAnsi="Times New Roman" w:cs="Times New Roman"/>
          <w:color w:val="auto"/>
        </w:rPr>
      </w:pPr>
      <w:r>
        <w:rPr>
          <w:rFonts w:hint="default" w:ascii="Times New Roman" w:hAnsi="Times New Roman" w:cs="Times New Roman"/>
          <w:i w:val="0"/>
          <w:color w:val="auto"/>
        </w:rPr>
        <w:t>Supplementary Tables</w:t>
      </w:r>
    </w:p>
    <w:p w14:paraId="2B2ECA03">
      <w:pPr>
        <w:pStyle w:val="4"/>
        <w:keepNext/>
        <w:rPr>
          <w:rFonts w:hint="default" w:ascii="Times New Roman" w:hAnsi="Times New Roman" w:cs="Times New Roman"/>
          <w:color w:val="auto"/>
        </w:rPr>
      </w:pPr>
      <w:r>
        <w:rPr>
          <w:rFonts w:hint="default" w:ascii="Times New Roman" w:hAnsi="Times New Roman" w:cs="Times New Roman"/>
          <w:i w:val="0"/>
          <w:color w:val="auto"/>
        </w:rPr>
        <w:t>Supplementary Table 1. Linear mixed-effects model omnibus tests</w:t>
      </w:r>
    </w:p>
    <w:tbl>
      <w:tblPr>
        <w:tblStyle w:val="32"/>
        <w:tblW w:w="4999" w:type="pct"/>
        <w:jc w:val="center"/>
        <w:tblBorders>
          <w:top w:val="single" w:color="000000" w:sz="12" w:space="0"/>
          <w:left w:val="none" w:color="000000" w:sz="0" w:space="0"/>
          <w:bottom w:val="single" w:color="000000" w:sz="12" w:space="0"/>
          <w:right w:val="none" w:color="000000" w:sz="0" w:space="0"/>
          <w:insideH w:val="none" w:color="000000" w:sz="0" w:space="0"/>
          <w:insideV w:val="none" w:color="000000" w:sz="0" w:space="0"/>
        </w:tblBorders>
        <w:tblLayout w:type="autofit"/>
        <w:tblCellMar>
          <w:top w:w="0" w:type="dxa"/>
          <w:left w:w="108" w:type="dxa"/>
          <w:bottom w:w="0" w:type="dxa"/>
          <w:right w:w="108" w:type="dxa"/>
        </w:tblCellMar>
      </w:tblPr>
      <w:tblGrid>
        <w:gridCol w:w="1887"/>
        <w:gridCol w:w="2360"/>
        <w:gridCol w:w="2360"/>
        <w:gridCol w:w="3543"/>
      </w:tblGrid>
      <w:tr w14:paraId="47013C9A">
        <w:tblPrEx>
          <w:tblBorders>
            <w:top w:val="single" w:color="000000" w:sz="12" w:space="0"/>
            <w:left w:val="none" w:color="000000" w:sz="0" w:space="0"/>
            <w:bottom w:val="single" w:color="000000" w:sz="12" w:space="0"/>
            <w:right w:val="none" w:color="000000" w:sz="0" w:space="0"/>
            <w:insideH w:val="none" w:color="000000" w:sz="0" w:space="0"/>
            <w:insideV w:val="none" w:color="000000" w:sz="0" w:space="0"/>
          </w:tblBorders>
          <w:tblCellMar>
            <w:top w:w="0" w:type="dxa"/>
            <w:left w:w="108" w:type="dxa"/>
            <w:bottom w:w="0" w:type="dxa"/>
            <w:right w:w="108" w:type="dxa"/>
          </w:tblCellMar>
        </w:tblPrEx>
        <w:trPr>
          <w:tblHeader/>
          <w:jc w:val="center"/>
        </w:trPr>
        <w:tc>
          <w:tcPr>
            <w:tcW w:w="929" w:type="pct"/>
            <w:tcBorders>
              <w:bottom w:val="single" w:color="000000" w:sz="8" w:space="0"/>
            </w:tcBorders>
            <w:tcMar>
              <w:top w:w="90" w:type="dxa"/>
              <w:left w:w="90" w:type="dxa"/>
              <w:bottom w:w="90" w:type="dxa"/>
              <w:right w:w="90" w:type="dxa"/>
            </w:tcMar>
            <w:vAlign w:val="center"/>
          </w:tcPr>
          <w:p w14:paraId="165C0ECF">
            <w:pPr>
              <w:spacing w:before="0" w:after="0"/>
              <w:jc w:val="center"/>
              <w:rPr>
                <w:rFonts w:hint="default" w:ascii="Times New Roman" w:hAnsi="Times New Roman" w:cs="Times New Roman"/>
                <w:color w:val="auto"/>
              </w:rPr>
            </w:pPr>
            <w:r>
              <w:rPr>
                <w:rFonts w:hint="default" w:ascii="Times New Roman" w:hAnsi="Times New Roman" w:cs="Times New Roman"/>
                <w:b/>
                <w:color w:val="auto"/>
                <w:sz w:val="16"/>
              </w:rPr>
              <w:t>Outcome</w:t>
            </w:r>
          </w:p>
        </w:tc>
        <w:tc>
          <w:tcPr>
            <w:tcW w:w="1162" w:type="pct"/>
            <w:tcBorders>
              <w:bottom w:val="single" w:color="000000" w:sz="8" w:space="0"/>
            </w:tcBorders>
            <w:tcMar>
              <w:top w:w="90" w:type="dxa"/>
              <w:left w:w="90" w:type="dxa"/>
              <w:bottom w:w="90" w:type="dxa"/>
              <w:right w:w="90" w:type="dxa"/>
            </w:tcMar>
            <w:vAlign w:val="center"/>
          </w:tcPr>
          <w:p w14:paraId="67725C84">
            <w:pPr>
              <w:spacing w:before="0" w:after="0"/>
              <w:jc w:val="center"/>
              <w:rPr>
                <w:rFonts w:hint="default" w:ascii="Times New Roman" w:hAnsi="Times New Roman" w:cs="Times New Roman"/>
                <w:color w:val="auto"/>
              </w:rPr>
            </w:pPr>
            <w:r>
              <w:rPr>
                <w:rFonts w:hint="default" w:ascii="Times New Roman" w:hAnsi="Times New Roman" w:cs="Times New Roman"/>
                <w:b/>
                <w:color w:val="auto"/>
                <w:sz w:val="16"/>
              </w:rPr>
              <w:t>Group effect p-value</w:t>
            </w:r>
          </w:p>
        </w:tc>
        <w:tc>
          <w:tcPr>
            <w:tcW w:w="1162" w:type="pct"/>
            <w:tcBorders>
              <w:bottom w:val="single" w:color="000000" w:sz="8" w:space="0"/>
            </w:tcBorders>
            <w:tcMar>
              <w:top w:w="90" w:type="dxa"/>
              <w:left w:w="90" w:type="dxa"/>
              <w:bottom w:w="90" w:type="dxa"/>
              <w:right w:w="90" w:type="dxa"/>
            </w:tcMar>
            <w:vAlign w:val="center"/>
          </w:tcPr>
          <w:p w14:paraId="6A833512">
            <w:pPr>
              <w:spacing w:before="0" w:after="0"/>
              <w:jc w:val="center"/>
              <w:rPr>
                <w:rFonts w:hint="default" w:ascii="Times New Roman" w:hAnsi="Times New Roman" w:cs="Times New Roman"/>
                <w:color w:val="auto"/>
              </w:rPr>
            </w:pPr>
            <w:r>
              <w:rPr>
                <w:rFonts w:hint="default" w:ascii="Times New Roman" w:hAnsi="Times New Roman" w:cs="Times New Roman"/>
                <w:b/>
                <w:color w:val="auto"/>
                <w:sz w:val="16"/>
              </w:rPr>
              <w:t>Time effect p-value</w:t>
            </w:r>
          </w:p>
        </w:tc>
        <w:tc>
          <w:tcPr>
            <w:tcW w:w="1744" w:type="pct"/>
            <w:tcBorders>
              <w:bottom w:val="single" w:color="000000" w:sz="8" w:space="0"/>
            </w:tcBorders>
            <w:tcMar>
              <w:top w:w="90" w:type="dxa"/>
              <w:left w:w="90" w:type="dxa"/>
              <w:bottom w:w="90" w:type="dxa"/>
              <w:right w:w="90" w:type="dxa"/>
            </w:tcMar>
            <w:vAlign w:val="center"/>
          </w:tcPr>
          <w:p w14:paraId="120332ED">
            <w:pPr>
              <w:spacing w:before="0" w:after="0"/>
              <w:jc w:val="center"/>
              <w:rPr>
                <w:rFonts w:hint="default" w:ascii="Times New Roman" w:hAnsi="Times New Roman" w:cs="Times New Roman"/>
                <w:color w:val="auto"/>
              </w:rPr>
            </w:pPr>
            <w:r>
              <w:rPr>
                <w:rFonts w:hint="default" w:ascii="Times New Roman" w:hAnsi="Times New Roman" w:cs="Times New Roman"/>
                <w:b/>
                <w:color w:val="auto"/>
                <w:sz w:val="16"/>
              </w:rPr>
              <w:t>Group-by-time interaction p-value</w:t>
            </w:r>
          </w:p>
        </w:tc>
      </w:tr>
      <w:tr w14:paraId="56EAA88C">
        <w:tblPrEx>
          <w:tblBorders>
            <w:top w:val="single" w:color="000000" w:sz="12" w:space="0"/>
            <w:left w:val="none" w:color="000000" w:sz="0" w:space="0"/>
            <w:bottom w:val="single" w:color="000000" w:sz="12" w:space="0"/>
            <w:right w:val="none" w:color="000000" w:sz="0" w:space="0"/>
            <w:insideH w:val="none" w:color="000000" w:sz="0" w:space="0"/>
            <w:insideV w:val="none" w:color="000000" w:sz="0" w:space="0"/>
          </w:tblBorders>
          <w:tblCellMar>
            <w:top w:w="0" w:type="dxa"/>
            <w:left w:w="108" w:type="dxa"/>
            <w:bottom w:w="0" w:type="dxa"/>
            <w:right w:w="108" w:type="dxa"/>
          </w:tblCellMar>
        </w:tblPrEx>
        <w:trPr>
          <w:jc w:val="center"/>
        </w:trPr>
        <w:tc>
          <w:tcPr>
            <w:tcW w:w="929" w:type="pct"/>
            <w:tcMar>
              <w:top w:w="90" w:type="dxa"/>
              <w:left w:w="90" w:type="dxa"/>
              <w:bottom w:w="90" w:type="dxa"/>
              <w:right w:w="90" w:type="dxa"/>
            </w:tcMar>
            <w:vAlign w:val="center"/>
          </w:tcPr>
          <w:p w14:paraId="4B9DCA89">
            <w:pPr>
              <w:spacing w:before="0" w:after="0"/>
              <w:jc w:val="left"/>
              <w:rPr>
                <w:rFonts w:hint="default" w:ascii="Times New Roman" w:hAnsi="Times New Roman" w:cs="Times New Roman"/>
                <w:color w:val="auto"/>
              </w:rPr>
            </w:pPr>
            <w:r>
              <w:rPr>
                <w:rFonts w:hint="default" w:ascii="Times New Roman" w:hAnsi="Times New Roman" w:cs="Times New Roman"/>
                <w:b w:val="0"/>
                <w:color w:val="auto"/>
                <w:sz w:val="16"/>
              </w:rPr>
              <w:t>VAS back pain</w:t>
            </w:r>
          </w:p>
        </w:tc>
        <w:tc>
          <w:tcPr>
            <w:tcW w:w="1162" w:type="pct"/>
            <w:tcMar>
              <w:top w:w="90" w:type="dxa"/>
              <w:left w:w="90" w:type="dxa"/>
              <w:bottom w:w="90" w:type="dxa"/>
              <w:right w:w="90" w:type="dxa"/>
            </w:tcMar>
            <w:vAlign w:val="center"/>
          </w:tcPr>
          <w:p w14:paraId="20F6CFA4">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6"/>
              </w:rPr>
              <w:t>0.119</w:t>
            </w:r>
          </w:p>
        </w:tc>
        <w:tc>
          <w:tcPr>
            <w:tcW w:w="1162" w:type="pct"/>
            <w:tcMar>
              <w:top w:w="90" w:type="dxa"/>
              <w:left w:w="90" w:type="dxa"/>
              <w:bottom w:w="90" w:type="dxa"/>
              <w:right w:w="90" w:type="dxa"/>
            </w:tcMar>
            <w:vAlign w:val="center"/>
          </w:tcPr>
          <w:p w14:paraId="024DDC50">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6"/>
              </w:rPr>
              <w:t>&lt;0.001</w:t>
            </w:r>
          </w:p>
        </w:tc>
        <w:tc>
          <w:tcPr>
            <w:tcW w:w="1744" w:type="pct"/>
            <w:tcMar>
              <w:top w:w="90" w:type="dxa"/>
              <w:left w:w="90" w:type="dxa"/>
              <w:bottom w:w="90" w:type="dxa"/>
              <w:right w:w="90" w:type="dxa"/>
            </w:tcMar>
            <w:vAlign w:val="center"/>
          </w:tcPr>
          <w:p w14:paraId="7D19DE90">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6"/>
              </w:rPr>
              <w:t>&lt;0.001</w:t>
            </w:r>
          </w:p>
        </w:tc>
      </w:tr>
      <w:tr w14:paraId="4684F961">
        <w:tblPrEx>
          <w:tblBorders>
            <w:top w:val="single" w:color="000000" w:sz="12" w:space="0"/>
            <w:left w:val="none" w:color="000000" w:sz="0" w:space="0"/>
            <w:bottom w:val="single" w:color="000000" w:sz="12" w:space="0"/>
            <w:right w:val="none" w:color="000000" w:sz="0" w:space="0"/>
            <w:insideH w:val="none" w:color="000000" w:sz="0" w:space="0"/>
            <w:insideV w:val="none" w:color="000000" w:sz="0" w:space="0"/>
          </w:tblBorders>
          <w:tblCellMar>
            <w:top w:w="0" w:type="dxa"/>
            <w:left w:w="108" w:type="dxa"/>
            <w:bottom w:w="0" w:type="dxa"/>
            <w:right w:w="108" w:type="dxa"/>
          </w:tblCellMar>
        </w:tblPrEx>
        <w:trPr>
          <w:jc w:val="center"/>
        </w:trPr>
        <w:tc>
          <w:tcPr>
            <w:tcW w:w="929" w:type="pct"/>
            <w:tcMar>
              <w:top w:w="90" w:type="dxa"/>
              <w:left w:w="90" w:type="dxa"/>
              <w:bottom w:w="90" w:type="dxa"/>
              <w:right w:w="90" w:type="dxa"/>
            </w:tcMar>
            <w:vAlign w:val="center"/>
          </w:tcPr>
          <w:p w14:paraId="459AF627">
            <w:pPr>
              <w:spacing w:before="0" w:after="0"/>
              <w:jc w:val="left"/>
              <w:rPr>
                <w:rFonts w:hint="default" w:ascii="Times New Roman" w:hAnsi="Times New Roman" w:cs="Times New Roman"/>
                <w:color w:val="auto"/>
              </w:rPr>
            </w:pPr>
            <w:r>
              <w:rPr>
                <w:rFonts w:hint="default" w:ascii="Times New Roman" w:hAnsi="Times New Roman" w:cs="Times New Roman"/>
                <w:b w:val="0"/>
                <w:color w:val="auto"/>
                <w:sz w:val="16"/>
              </w:rPr>
              <w:t>VAS leg pain</w:t>
            </w:r>
          </w:p>
        </w:tc>
        <w:tc>
          <w:tcPr>
            <w:tcW w:w="1162" w:type="pct"/>
            <w:tcMar>
              <w:top w:w="90" w:type="dxa"/>
              <w:left w:w="90" w:type="dxa"/>
              <w:bottom w:w="90" w:type="dxa"/>
              <w:right w:w="90" w:type="dxa"/>
            </w:tcMar>
            <w:vAlign w:val="center"/>
          </w:tcPr>
          <w:p w14:paraId="50BCE58D">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6"/>
              </w:rPr>
              <w:t>0.535</w:t>
            </w:r>
          </w:p>
        </w:tc>
        <w:tc>
          <w:tcPr>
            <w:tcW w:w="1162" w:type="pct"/>
            <w:tcMar>
              <w:top w:w="90" w:type="dxa"/>
              <w:left w:w="90" w:type="dxa"/>
              <w:bottom w:w="90" w:type="dxa"/>
              <w:right w:w="90" w:type="dxa"/>
            </w:tcMar>
            <w:vAlign w:val="center"/>
          </w:tcPr>
          <w:p w14:paraId="53B7B834">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6"/>
              </w:rPr>
              <w:t>&lt;0.001</w:t>
            </w:r>
          </w:p>
        </w:tc>
        <w:tc>
          <w:tcPr>
            <w:tcW w:w="1744" w:type="pct"/>
            <w:tcMar>
              <w:top w:w="90" w:type="dxa"/>
              <w:left w:w="90" w:type="dxa"/>
              <w:bottom w:w="90" w:type="dxa"/>
              <w:right w:w="90" w:type="dxa"/>
            </w:tcMar>
            <w:vAlign w:val="center"/>
          </w:tcPr>
          <w:p w14:paraId="2EC78338">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6"/>
              </w:rPr>
              <w:t>0.073</w:t>
            </w:r>
          </w:p>
        </w:tc>
      </w:tr>
      <w:tr w14:paraId="043B5480">
        <w:tblPrEx>
          <w:tblBorders>
            <w:top w:val="single" w:color="000000" w:sz="12" w:space="0"/>
            <w:left w:val="none" w:color="000000" w:sz="0" w:space="0"/>
            <w:bottom w:val="single" w:color="000000" w:sz="12" w:space="0"/>
            <w:right w:val="none" w:color="000000" w:sz="0" w:space="0"/>
            <w:insideH w:val="none" w:color="000000" w:sz="0" w:space="0"/>
            <w:insideV w:val="none" w:color="000000" w:sz="0" w:space="0"/>
          </w:tblBorders>
          <w:tblCellMar>
            <w:top w:w="0" w:type="dxa"/>
            <w:left w:w="108" w:type="dxa"/>
            <w:bottom w:w="0" w:type="dxa"/>
            <w:right w:w="108" w:type="dxa"/>
          </w:tblCellMar>
        </w:tblPrEx>
        <w:trPr>
          <w:jc w:val="center"/>
        </w:trPr>
        <w:tc>
          <w:tcPr>
            <w:tcW w:w="929" w:type="pct"/>
            <w:tcMar>
              <w:top w:w="90" w:type="dxa"/>
              <w:left w:w="90" w:type="dxa"/>
              <w:bottom w:w="90" w:type="dxa"/>
              <w:right w:w="90" w:type="dxa"/>
            </w:tcMar>
            <w:vAlign w:val="center"/>
          </w:tcPr>
          <w:p w14:paraId="70E6A57C">
            <w:pPr>
              <w:spacing w:before="0" w:after="0"/>
              <w:jc w:val="left"/>
              <w:rPr>
                <w:rFonts w:hint="default" w:ascii="Times New Roman" w:hAnsi="Times New Roman" w:cs="Times New Roman"/>
                <w:color w:val="auto"/>
              </w:rPr>
            </w:pPr>
            <w:r>
              <w:rPr>
                <w:rFonts w:hint="default" w:ascii="Times New Roman" w:hAnsi="Times New Roman" w:cs="Times New Roman"/>
                <w:b w:val="0"/>
                <w:color w:val="auto"/>
                <w:sz w:val="16"/>
              </w:rPr>
              <w:t>ODI</w:t>
            </w:r>
          </w:p>
        </w:tc>
        <w:tc>
          <w:tcPr>
            <w:tcW w:w="1162" w:type="pct"/>
            <w:tcMar>
              <w:top w:w="90" w:type="dxa"/>
              <w:left w:w="90" w:type="dxa"/>
              <w:bottom w:w="90" w:type="dxa"/>
              <w:right w:w="90" w:type="dxa"/>
            </w:tcMar>
            <w:vAlign w:val="center"/>
          </w:tcPr>
          <w:p w14:paraId="60F5C4B4">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6"/>
              </w:rPr>
              <w:t>0.140</w:t>
            </w:r>
          </w:p>
        </w:tc>
        <w:tc>
          <w:tcPr>
            <w:tcW w:w="1162" w:type="pct"/>
            <w:tcMar>
              <w:top w:w="90" w:type="dxa"/>
              <w:left w:w="90" w:type="dxa"/>
              <w:bottom w:w="90" w:type="dxa"/>
              <w:right w:w="90" w:type="dxa"/>
            </w:tcMar>
            <w:vAlign w:val="center"/>
          </w:tcPr>
          <w:p w14:paraId="3F12278C">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6"/>
              </w:rPr>
              <w:t>&lt;0.001</w:t>
            </w:r>
          </w:p>
        </w:tc>
        <w:tc>
          <w:tcPr>
            <w:tcW w:w="1744" w:type="pct"/>
            <w:tcMar>
              <w:top w:w="90" w:type="dxa"/>
              <w:left w:w="90" w:type="dxa"/>
              <w:bottom w:w="90" w:type="dxa"/>
              <w:right w:w="90" w:type="dxa"/>
            </w:tcMar>
            <w:vAlign w:val="center"/>
          </w:tcPr>
          <w:p w14:paraId="5E494DBB">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6"/>
              </w:rPr>
              <w:t>0.003</w:t>
            </w:r>
          </w:p>
        </w:tc>
      </w:tr>
      <w:tr w14:paraId="7271DA9D">
        <w:tblPrEx>
          <w:tblBorders>
            <w:top w:val="single" w:color="000000" w:sz="12" w:space="0"/>
            <w:left w:val="none" w:color="000000" w:sz="0" w:space="0"/>
            <w:bottom w:val="single" w:color="000000" w:sz="12" w:space="0"/>
            <w:right w:val="none" w:color="000000" w:sz="0" w:space="0"/>
            <w:insideH w:val="none" w:color="000000" w:sz="0" w:space="0"/>
            <w:insideV w:val="none" w:color="000000" w:sz="0" w:space="0"/>
          </w:tblBorders>
          <w:tblCellMar>
            <w:top w:w="0" w:type="dxa"/>
            <w:left w:w="108" w:type="dxa"/>
            <w:bottom w:w="0" w:type="dxa"/>
            <w:right w:w="108" w:type="dxa"/>
          </w:tblCellMar>
        </w:tblPrEx>
        <w:trPr>
          <w:jc w:val="center"/>
        </w:trPr>
        <w:tc>
          <w:tcPr>
            <w:tcW w:w="929" w:type="pct"/>
            <w:tcMar>
              <w:top w:w="90" w:type="dxa"/>
              <w:left w:w="90" w:type="dxa"/>
              <w:bottom w:w="90" w:type="dxa"/>
              <w:right w:w="90" w:type="dxa"/>
            </w:tcMar>
            <w:vAlign w:val="center"/>
          </w:tcPr>
          <w:p w14:paraId="3158A009">
            <w:pPr>
              <w:spacing w:before="0" w:after="0"/>
              <w:jc w:val="left"/>
              <w:rPr>
                <w:rFonts w:hint="default" w:ascii="Times New Roman" w:hAnsi="Times New Roman" w:cs="Times New Roman"/>
                <w:color w:val="auto"/>
              </w:rPr>
            </w:pPr>
            <w:r>
              <w:rPr>
                <w:rFonts w:hint="default" w:ascii="Times New Roman" w:hAnsi="Times New Roman" w:cs="Times New Roman"/>
                <w:b w:val="0"/>
                <w:color w:val="auto"/>
                <w:sz w:val="16"/>
              </w:rPr>
              <w:t>EQ-5D-5L</w:t>
            </w:r>
          </w:p>
        </w:tc>
        <w:tc>
          <w:tcPr>
            <w:tcW w:w="1162" w:type="pct"/>
            <w:tcMar>
              <w:top w:w="90" w:type="dxa"/>
              <w:left w:w="90" w:type="dxa"/>
              <w:bottom w:w="90" w:type="dxa"/>
              <w:right w:w="90" w:type="dxa"/>
            </w:tcMar>
            <w:vAlign w:val="center"/>
          </w:tcPr>
          <w:p w14:paraId="2B433792">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6"/>
              </w:rPr>
              <w:t>0.254</w:t>
            </w:r>
          </w:p>
        </w:tc>
        <w:tc>
          <w:tcPr>
            <w:tcW w:w="1162" w:type="pct"/>
            <w:tcMar>
              <w:top w:w="90" w:type="dxa"/>
              <w:left w:w="90" w:type="dxa"/>
              <w:bottom w:w="90" w:type="dxa"/>
              <w:right w:w="90" w:type="dxa"/>
            </w:tcMar>
            <w:vAlign w:val="center"/>
          </w:tcPr>
          <w:p w14:paraId="091345C6">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6"/>
              </w:rPr>
              <w:t>&lt;0.001</w:t>
            </w:r>
          </w:p>
        </w:tc>
        <w:tc>
          <w:tcPr>
            <w:tcW w:w="1744" w:type="pct"/>
            <w:tcMar>
              <w:top w:w="90" w:type="dxa"/>
              <w:left w:w="90" w:type="dxa"/>
              <w:bottom w:w="90" w:type="dxa"/>
              <w:right w:w="90" w:type="dxa"/>
            </w:tcMar>
            <w:vAlign w:val="center"/>
          </w:tcPr>
          <w:p w14:paraId="27B0634F">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6"/>
              </w:rPr>
              <w:t>0.031</w:t>
            </w:r>
          </w:p>
        </w:tc>
      </w:tr>
    </w:tbl>
    <w:p w14:paraId="6FB3B9BF">
      <w:pPr>
        <w:rPr>
          <w:rFonts w:hint="default" w:ascii="Times New Roman" w:hAnsi="Times New Roman" w:cs="Times New Roman"/>
          <w:i w:val="0"/>
          <w:iCs/>
          <w:color w:val="auto"/>
          <w:sz w:val="16"/>
          <w:szCs w:val="16"/>
        </w:rPr>
      </w:pPr>
      <w:r>
        <w:rPr>
          <w:rFonts w:hint="default" w:ascii="Times New Roman" w:hAnsi="Times New Roman" w:cs="Times New Roman"/>
          <w:i w:val="0"/>
          <w:iCs/>
          <w:color w:val="auto"/>
          <w:sz w:val="16"/>
          <w:szCs w:val="16"/>
        </w:rPr>
        <w:t>Models included group, categorical postoperative time, group-by-time interaction, the corresponding baseline value, age, sex, BMI, spondylolisthesis subtype, Meyerding grade, operative level, smoking, osteoporosis, and symptom duration, with a patient random intercept. P values are Satterthwaite-approximated fixed-effect tests.</w:t>
      </w:r>
    </w:p>
    <w:p w14:paraId="6C34849C">
      <w:pPr>
        <w:rPr>
          <w:rFonts w:hint="default" w:ascii="Times New Roman" w:hAnsi="Times New Roman" w:cs="Times New Roman"/>
          <w:i w:val="0"/>
          <w:iCs/>
          <w:color w:val="auto"/>
          <w:sz w:val="16"/>
          <w:szCs w:val="16"/>
        </w:rPr>
      </w:pPr>
      <w:r>
        <w:rPr>
          <w:rFonts w:hint="default" w:ascii="Times New Roman" w:hAnsi="Times New Roman" w:cs="Times New Roman"/>
          <w:i w:val="0"/>
          <w:iCs/>
          <w:color w:val="auto"/>
          <w:sz w:val="16"/>
          <w:szCs w:val="16"/>
        </w:rPr>
        <w:br w:type="page"/>
      </w:r>
    </w:p>
    <w:p w14:paraId="4E53090E">
      <w:pPr>
        <w:pStyle w:val="4"/>
        <w:keepNext/>
        <w:rPr>
          <w:rFonts w:hint="default" w:ascii="Times New Roman" w:hAnsi="Times New Roman" w:cs="Times New Roman"/>
          <w:color w:val="auto"/>
        </w:rPr>
      </w:pPr>
      <w:r>
        <w:rPr>
          <w:rFonts w:hint="default" w:ascii="Times New Roman" w:hAnsi="Times New Roman" w:cs="Times New Roman"/>
          <w:i w:val="0"/>
          <w:color w:val="auto"/>
        </w:rPr>
        <w:t>Supplementary Table 2. Adjusted between-group contrasts at each postoperative time point</w:t>
      </w:r>
    </w:p>
    <w:tbl>
      <w:tblPr>
        <w:tblStyle w:val="32"/>
        <w:tblW w:w="4998" w:type="pct"/>
        <w:jc w:val="center"/>
        <w:tblBorders>
          <w:top w:val="single" w:color="000000" w:sz="12" w:space="0"/>
          <w:left w:val="none" w:color="000000" w:sz="0" w:space="0"/>
          <w:bottom w:val="single" w:color="000000" w:sz="12" w:space="0"/>
          <w:right w:val="none" w:color="000000" w:sz="0" w:space="0"/>
          <w:insideH w:val="none" w:color="000000" w:sz="0" w:space="0"/>
          <w:insideV w:val="none" w:color="000000" w:sz="0" w:space="0"/>
        </w:tblBorders>
        <w:tblLayout w:type="autofit"/>
        <w:tblCellMar>
          <w:top w:w="0" w:type="dxa"/>
          <w:left w:w="108" w:type="dxa"/>
          <w:bottom w:w="0" w:type="dxa"/>
          <w:right w:w="108" w:type="dxa"/>
        </w:tblCellMar>
      </w:tblPr>
      <w:tblGrid>
        <w:gridCol w:w="1669"/>
        <w:gridCol w:w="1229"/>
        <w:gridCol w:w="3515"/>
        <w:gridCol w:w="1759"/>
        <w:gridCol w:w="1976"/>
      </w:tblGrid>
      <w:tr w14:paraId="53F720E8">
        <w:tblPrEx>
          <w:tblBorders>
            <w:top w:val="single" w:color="000000" w:sz="12" w:space="0"/>
            <w:left w:val="none" w:color="000000" w:sz="0" w:space="0"/>
            <w:bottom w:val="single" w:color="000000" w:sz="12" w:space="0"/>
            <w:right w:val="none" w:color="000000" w:sz="0" w:space="0"/>
            <w:insideH w:val="none" w:color="000000" w:sz="0" w:space="0"/>
            <w:insideV w:val="none" w:color="000000" w:sz="0" w:space="0"/>
          </w:tblBorders>
          <w:tblCellMar>
            <w:top w:w="0" w:type="dxa"/>
            <w:left w:w="108" w:type="dxa"/>
            <w:bottom w:w="0" w:type="dxa"/>
            <w:right w:w="108" w:type="dxa"/>
          </w:tblCellMar>
        </w:tblPrEx>
        <w:trPr>
          <w:tblHeader/>
          <w:jc w:val="center"/>
        </w:trPr>
        <w:tc>
          <w:tcPr>
            <w:tcW w:w="822" w:type="pct"/>
            <w:tcBorders>
              <w:bottom w:val="single" w:color="000000" w:sz="8" w:space="0"/>
            </w:tcBorders>
            <w:tcMar>
              <w:top w:w="90" w:type="dxa"/>
              <w:left w:w="90" w:type="dxa"/>
              <w:bottom w:w="90" w:type="dxa"/>
              <w:right w:w="90" w:type="dxa"/>
            </w:tcMar>
            <w:vAlign w:val="center"/>
          </w:tcPr>
          <w:p w14:paraId="7EF1C67B">
            <w:pPr>
              <w:spacing w:before="0" w:after="0"/>
              <w:jc w:val="center"/>
              <w:rPr>
                <w:rFonts w:hint="default" w:ascii="Times New Roman" w:hAnsi="Times New Roman" w:cs="Times New Roman"/>
                <w:color w:val="auto"/>
              </w:rPr>
            </w:pPr>
            <w:r>
              <w:rPr>
                <w:rFonts w:hint="default" w:ascii="Times New Roman" w:hAnsi="Times New Roman" w:cs="Times New Roman"/>
                <w:b/>
                <w:color w:val="auto"/>
                <w:sz w:val="15"/>
              </w:rPr>
              <w:t>Outcome</w:t>
            </w:r>
          </w:p>
        </w:tc>
        <w:tc>
          <w:tcPr>
            <w:tcW w:w="605" w:type="pct"/>
            <w:tcBorders>
              <w:bottom w:val="single" w:color="000000" w:sz="8" w:space="0"/>
            </w:tcBorders>
            <w:tcMar>
              <w:top w:w="90" w:type="dxa"/>
              <w:left w:w="90" w:type="dxa"/>
              <w:bottom w:w="90" w:type="dxa"/>
              <w:right w:w="90" w:type="dxa"/>
            </w:tcMar>
            <w:vAlign w:val="center"/>
          </w:tcPr>
          <w:p w14:paraId="1AA2A503">
            <w:pPr>
              <w:spacing w:before="0" w:after="0"/>
              <w:jc w:val="center"/>
              <w:rPr>
                <w:rFonts w:hint="default" w:ascii="Times New Roman" w:hAnsi="Times New Roman" w:cs="Times New Roman"/>
                <w:color w:val="auto"/>
              </w:rPr>
            </w:pPr>
            <w:r>
              <w:rPr>
                <w:rFonts w:hint="default" w:ascii="Times New Roman" w:hAnsi="Times New Roman" w:cs="Times New Roman"/>
                <w:b/>
                <w:color w:val="auto"/>
                <w:sz w:val="15"/>
              </w:rPr>
              <w:t>Time</w:t>
            </w:r>
          </w:p>
        </w:tc>
        <w:tc>
          <w:tcPr>
            <w:tcW w:w="1731" w:type="pct"/>
            <w:tcBorders>
              <w:bottom w:val="single" w:color="000000" w:sz="8" w:space="0"/>
            </w:tcBorders>
            <w:tcMar>
              <w:top w:w="90" w:type="dxa"/>
              <w:left w:w="90" w:type="dxa"/>
              <w:bottom w:w="90" w:type="dxa"/>
              <w:right w:w="90" w:type="dxa"/>
            </w:tcMar>
            <w:vAlign w:val="center"/>
          </w:tcPr>
          <w:p w14:paraId="7B3E7E9E">
            <w:pPr>
              <w:spacing w:before="0" w:after="0"/>
              <w:jc w:val="center"/>
              <w:rPr>
                <w:rFonts w:hint="default" w:ascii="Times New Roman" w:hAnsi="Times New Roman" w:cs="Times New Roman"/>
                <w:color w:val="auto"/>
              </w:rPr>
            </w:pPr>
            <w:r>
              <w:rPr>
                <w:rFonts w:hint="default" w:ascii="Times New Roman" w:hAnsi="Times New Roman" w:cs="Times New Roman"/>
                <w:b/>
                <w:color w:val="auto"/>
                <w:sz w:val="15"/>
              </w:rPr>
              <w:t>Adjusted difference (95% CI)</w:t>
            </w:r>
          </w:p>
        </w:tc>
        <w:tc>
          <w:tcPr>
            <w:tcW w:w="866" w:type="pct"/>
            <w:tcBorders>
              <w:bottom w:val="single" w:color="000000" w:sz="8" w:space="0"/>
            </w:tcBorders>
            <w:tcMar>
              <w:top w:w="90" w:type="dxa"/>
              <w:left w:w="90" w:type="dxa"/>
              <w:bottom w:w="90" w:type="dxa"/>
              <w:right w:w="90" w:type="dxa"/>
            </w:tcMar>
            <w:vAlign w:val="center"/>
          </w:tcPr>
          <w:p w14:paraId="300F5B66">
            <w:pPr>
              <w:spacing w:before="0" w:after="0"/>
              <w:jc w:val="center"/>
              <w:rPr>
                <w:rFonts w:hint="default" w:ascii="Times New Roman" w:hAnsi="Times New Roman" w:cs="Times New Roman"/>
                <w:color w:val="auto"/>
              </w:rPr>
            </w:pPr>
            <w:r>
              <w:rPr>
                <w:rFonts w:hint="default" w:ascii="Times New Roman" w:hAnsi="Times New Roman" w:cs="Times New Roman"/>
                <w:b/>
                <w:color w:val="auto"/>
                <w:sz w:val="15"/>
              </w:rPr>
              <w:t>Raw p-value</w:t>
            </w:r>
          </w:p>
        </w:tc>
        <w:tc>
          <w:tcPr>
            <w:tcW w:w="973" w:type="pct"/>
            <w:tcBorders>
              <w:bottom w:val="single" w:color="000000" w:sz="8" w:space="0"/>
            </w:tcBorders>
            <w:tcMar>
              <w:top w:w="90" w:type="dxa"/>
              <w:left w:w="90" w:type="dxa"/>
              <w:bottom w:w="90" w:type="dxa"/>
              <w:right w:w="90" w:type="dxa"/>
            </w:tcMar>
            <w:vAlign w:val="center"/>
          </w:tcPr>
          <w:p w14:paraId="652D3D52">
            <w:pPr>
              <w:spacing w:before="0" w:after="0"/>
              <w:jc w:val="center"/>
              <w:rPr>
                <w:rFonts w:hint="default" w:ascii="Times New Roman" w:hAnsi="Times New Roman" w:cs="Times New Roman"/>
                <w:color w:val="auto"/>
              </w:rPr>
            </w:pPr>
            <w:r>
              <w:rPr>
                <w:rFonts w:hint="default" w:ascii="Times New Roman" w:hAnsi="Times New Roman" w:cs="Times New Roman"/>
                <w:b/>
                <w:color w:val="auto"/>
                <w:sz w:val="15"/>
              </w:rPr>
              <w:t>Holm-adjusted p-value</w:t>
            </w:r>
          </w:p>
        </w:tc>
      </w:tr>
      <w:tr w14:paraId="5EF41E71">
        <w:tblPrEx>
          <w:tblBorders>
            <w:top w:val="single" w:color="000000" w:sz="12" w:space="0"/>
            <w:left w:val="none" w:color="000000" w:sz="0" w:space="0"/>
            <w:bottom w:val="single" w:color="000000" w:sz="12" w:space="0"/>
            <w:right w:val="none" w:color="000000" w:sz="0" w:space="0"/>
            <w:insideH w:val="none" w:color="000000" w:sz="0" w:space="0"/>
            <w:insideV w:val="none" w:color="000000" w:sz="0" w:space="0"/>
          </w:tblBorders>
          <w:tblCellMar>
            <w:top w:w="0" w:type="dxa"/>
            <w:left w:w="108" w:type="dxa"/>
            <w:bottom w:w="0" w:type="dxa"/>
            <w:right w:w="108" w:type="dxa"/>
          </w:tblCellMar>
        </w:tblPrEx>
        <w:trPr>
          <w:jc w:val="center"/>
        </w:trPr>
        <w:tc>
          <w:tcPr>
            <w:tcW w:w="822" w:type="pct"/>
            <w:tcMar>
              <w:top w:w="90" w:type="dxa"/>
              <w:left w:w="90" w:type="dxa"/>
              <w:bottom w:w="90" w:type="dxa"/>
              <w:right w:w="90" w:type="dxa"/>
            </w:tcMar>
            <w:vAlign w:val="center"/>
          </w:tcPr>
          <w:p w14:paraId="727C1A0A">
            <w:pPr>
              <w:spacing w:before="0" w:after="0"/>
              <w:jc w:val="left"/>
              <w:rPr>
                <w:rFonts w:hint="default" w:ascii="Times New Roman" w:hAnsi="Times New Roman" w:cs="Times New Roman"/>
                <w:color w:val="auto"/>
              </w:rPr>
            </w:pPr>
            <w:r>
              <w:rPr>
                <w:rFonts w:hint="default" w:ascii="Times New Roman" w:hAnsi="Times New Roman" w:cs="Times New Roman"/>
                <w:b w:val="0"/>
                <w:color w:val="auto"/>
                <w:sz w:val="15"/>
              </w:rPr>
              <w:t>VAS back pain</w:t>
            </w:r>
          </w:p>
        </w:tc>
        <w:tc>
          <w:tcPr>
            <w:tcW w:w="605" w:type="pct"/>
            <w:tcMar>
              <w:top w:w="90" w:type="dxa"/>
              <w:left w:w="90" w:type="dxa"/>
              <w:bottom w:w="90" w:type="dxa"/>
              <w:right w:w="90" w:type="dxa"/>
            </w:tcMar>
            <w:vAlign w:val="center"/>
          </w:tcPr>
          <w:p w14:paraId="68F2AB43">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5"/>
              </w:rPr>
              <w:t>Discharge</w:t>
            </w:r>
          </w:p>
        </w:tc>
        <w:tc>
          <w:tcPr>
            <w:tcW w:w="1731" w:type="pct"/>
            <w:tcMar>
              <w:top w:w="90" w:type="dxa"/>
              <w:left w:w="90" w:type="dxa"/>
              <w:bottom w:w="90" w:type="dxa"/>
              <w:right w:w="90" w:type="dxa"/>
            </w:tcMar>
            <w:vAlign w:val="center"/>
          </w:tcPr>
          <w:p w14:paraId="2DEDE470">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5"/>
              </w:rPr>
              <w:t>-0.79 (-1.11 to -0.46)</w:t>
            </w:r>
          </w:p>
        </w:tc>
        <w:tc>
          <w:tcPr>
            <w:tcW w:w="866" w:type="pct"/>
            <w:tcMar>
              <w:top w:w="90" w:type="dxa"/>
              <w:left w:w="90" w:type="dxa"/>
              <w:bottom w:w="90" w:type="dxa"/>
              <w:right w:w="90" w:type="dxa"/>
            </w:tcMar>
            <w:vAlign w:val="center"/>
          </w:tcPr>
          <w:p w14:paraId="1573108F">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5"/>
              </w:rPr>
              <w:t>&lt;0.001</w:t>
            </w:r>
          </w:p>
        </w:tc>
        <w:tc>
          <w:tcPr>
            <w:tcW w:w="973" w:type="pct"/>
            <w:tcMar>
              <w:top w:w="90" w:type="dxa"/>
              <w:left w:w="90" w:type="dxa"/>
              <w:bottom w:w="90" w:type="dxa"/>
              <w:right w:w="90" w:type="dxa"/>
            </w:tcMar>
            <w:vAlign w:val="center"/>
          </w:tcPr>
          <w:p w14:paraId="1E472CE9">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5"/>
              </w:rPr>
              <w:t>&lt;0.001</w:t>
            </w:r>
          </w:p>
        </w:tc>
      </w:tr>
      <w:tr w14:paraId="4A618B65">
        <w:tblPrEx>
          <w:tblBorders>
            <w:top w:val="single" w:color="000000" w:sz="12" w:space="0"/>
            <w:left w:val="none" w:color="000000" w:sz="0" w:space="0"/>
            <w:bottom w:val="single" w:color="000000" w:sz="12" w:space="0"/>
            <w:right w:val="none" w:color="000000" w:sz="0" w:space="0"/>
            <w:insideH w:val="none" w:color="000000" w:sz="0" w:space="0"/>
            <w:insideV w:val="none" w:color="000000" w:sz="0" w:space="0"/>
          </w:tblBorders>
          <w:tblCellMar>
            <w:top w:w="0" w:type="dxa"/>
            <w:left w:w="108" w:type="dxa"/>
            <w:bottom w:w="0" w:type="dxa"/>
            <w:right w:w="108" w:type="dxa"/>
          </w:tblCellMar>
        </w:tblPrEx>
        <w:trPr>
          <w:jc w:val="center"/>
        </w:trPr>
        <w:tc>
          <w:tcPr>
            <w:tcW w:w="822" w:type="pct"/>
            <w:tcMar>
              <w:top w:w="90" w:type="dxa"/>
              <w:left w:w="90" w:type="dxa"/>
              <w:bottom w:w="90" w:type="dxa"/>
              <w:right w:w="90" w:type="dxa"/>
            </w:tcMar>
            <w:vAlign w:val="center"/>
          </w:tcPr>
          <w:p w14:paraId="7D96768C">
            <w:pPr>
              <w:spacing w:before="0" w:after="0"/>
              <w:jc w:val="left"/>
              <w:rPr>
                <w:rFonts w:hint="default" w:ascii="Times New Roman" w:hAnsi="Times New Roman" w:cs="Times New Roman"/>
                <w:color w:val="auto"/>
              </w:rPr>
            </w:pPr>
          </w:p>
        </w:tc>
        <w:tc>
          <w:tcPr>
            <w:tcW w:w="605" w:type="pct"/>
            <w:tcMar>
              <w:top w:w="90" w:type="dxa"/>
              <w:left w:w="90" w:type="dxa"/>
              <w:bottom w:w="90" w:type="dxa"/>
              <w:right w:w="90" w:type="dxa"/>
            </w:tcMar>
            <w:vAlign w:val="center"/>
          </w:tcPr>
          <w:p w14:paraId="42C1A5EC">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5"/>
              </w:rPr>
              <w:t>1 month</w:t>
            </w:r>
          </w:p>
        </w:tc>
        <w:tc>
          <w:tcPr>
            <w:tcW w:w="1731" w:type="pct"/>
            <w:tcMar>
              <w:top w:w="90" w:type="dxa"/>
              <w:left w:w="90" w:type="dxa"/>
              <w:bottom w:w="90" w:type="dxa"/>
              <w:right w:w="90" w:type="dxa"/>
            </w:tcMar>
            <w:vAlign w:val="center"/>
          </w:tcPr>
          <w:p w14:paraId="624A4612">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5"/>
              </w:rPr>
              <w:t>-0.01 (-0.34 to 0.31)</w:t>
            </w:r>
          </w:p>
        </w:tc>
        <w:tc>
          <w:tcPr>
            <w:tcW w:w="866" w:type="pct"/>
            <w:tcMar>
              <w:top w:w="90" w:type="dxa"/>
              <w:left w:w="90" w:type="dxa"/>
              <w:bottom w:w="90" w:type="dxa"/>
              <w:right w:w="90" w:type="dxa"/>
            </w:tcMar>
            <w:vAlign w:val="center"/>
          </w:tcPr>
          <w:p w14:paraId="711861DA">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5"/>
              </w:rPr>
              <w:t>0.935</w:t>
            </w:r>
          </w:p>
        </w:tc>
        <w:tc>
          <w:tcPr>
            <w:tcW w:w="973" w:type="pct"/>
            <w:tcMar>
              <w:top w:w="90" w:type="dxa"/>
              <w:left w:w="90" w:type="dxa"/>
              <w:bottom w:w="90" w:type="dxa"/>
              <w:right w:w="90" w:type="dxa"/>
            </w:tcMar>
            <w:vAlign w:val="center"/>
          </w:tcPr>
          <w:p w14:paraId="5C99119F">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5"/>
              </w:rPr>
              <w:t>1.000</w:t>
            </w:r>
          </w:p>
        </w:tc>
      </w:tr>
      <w:tr w14:paraId="7602997A">
        <w:tblPrEx>
          <w:tblBorders>
            <w:top w:val="single" w:color="000000" w:sz="12" w:space="0"/>
            <w:left w:val="none" w:color="000000" w:sz="0" w:space="0"/>
            <w:bottom w:val="single" w:color="000000" w:sz="12" w:space="0"/>
            <w:right w:val="none" w:color="000000" w:sz="0" w:space="0"/>
            <w:insideH w:val="none" w:color="000000" w:sz="0" w:space="0"/>
            <w:insideV w:val="none" w:color="000000" w:sz="0" w:space="0"/>
          </w:tblBorders>
          <w:tblCellMar>
            <w:top w:w="0" w:type="dxa"/>
            <w:left w:w="108" w:type="dxa"/>
            <w:bottom w:w="0" w:type="dxa"/>
            <w:right w:w="108" w:type="dxa"/>
          </w:tblCellMar>
        </w:tblPrEx>
        <w:trPr>
          <w:jc w:val="center"/>
        </w:trPr>
        <w:tc>
          <w:tcPr>
            <w:tcW w:w="822" w:type="pct"/>
            <w:tcMar>
              <w:top w:w="90" w:type="dxa"/>
              <w:left w:w="90" w:type="dxa"/>
              <w:bottom w:w="90" w:type="dxa"/>
              <w:right w:w="90" w:type="dxa"/>
            </w:tcMar>
            <w:vAlign w:val="center"/>
          </w:tcPr>
          <w:p w14:paraId="3CCF0F2E">
            <w:pPr>
              <w:spacing w:before="0" w:after="0"/>
              <w:jc w:val="left"/>
              <w:rPr>
                <w:rFonts w:hint="default" w:ascii="Times New Roman" w:hAnsi="Times New Roman" w:cs="Times New Roman"/>
                <w:color w:val="auto"/>
              </w:rPr>
            </w:pPr>
          </w:p>
        </w:tc>
        <w:tc>
          <w:tcPr>
            <w:tcW w:w="605" w:type="pct"/>
            <w:tcMar>
              <w:top w:w="90" w:type="dxa"/>
              <w:left w:w="90" w:type="dxa"/>
              <w:bottom w:w="90" w:type="dxa"/>
              <w:right w:w="90" w:type="dxa"/>
            </w:tcMar>
            <w:vAlign w:val="center"/>
          </w:tcPr>
          <w:p w14:paraId="2BA4044C">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5"/>
              </w:rPr>
              <w:t>3 months</w:t>
            </w:r>
          </w:p>
        </w:tc>
        <w:tc>
          <w:tcPr>
            <w:tcW w:w="1731" w:type="pct"/>
            <w:tcMar>
              <w:top w:w="90" w:type="dxa"/>
              <w:left w:w="90" w:type="dxa"/>
              <w:bottom w:w="90" w:type="dxa"/>
              <w:right w:w="90" w:type="dxa"/>
            </w:tcMar>
            <w:vAlign w:val="center"/>
          </w:tcPr>
          <w:p w14:paraId="02955711">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5"/>
              </w:rPr>
              <w:t>-0.03 (-0.35 to 0.29)</w:t>
            </w:r>
          </w:p>
        </w:tc>
        <w:tc>
          <w:tcPr>
            <w:tcW w:w="866" w:type="pct"/>
            <w:tcMar>
              <w:top w:w="90" w:type="dxa"/>
              <w:left w:w="90" w:type="dxa"/>
              <w:bottom w:w="90" w:type="dxa"/>
              <w:right w:w="90" w:type="dxa"/>
            </w:tcMar>
            <w:vAlign w:val="center"/>
          </w:tcPr>
          <w:p w14:paraId="2AA494DF">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5"/>
              </w:rPr>
              <w:t>0.862</w:t>
            </w:r>
          </w:p>
        </w:tc>
        <w:tc>
          <w:tcPr>
            <w:tcW w:w="973" w:type="pct"/>
            <w:tcMar>
              <w:top w:w="90" w:type="dxa"/>
              <w:left w:w="90" w:type="dxa"/>
              <w:bottom w:w="90" w:type="dxa"/>
              <w:right w:w="90" w:type="dxa"/>
            </w:tcMar>
            <w:vAlign w:val="center"/>
          </w:tcPr>
          <w:p w14:paraId="0EE9F260">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5"/>
              </w:rPr>
              <w:t>1.000</w:t>
            </w:r>
          </w:p>
        </w:tc>
      </w:tr>
      <w:tr w14:paraId="1A115391">
        <w:tblPrEx>
          <w:tblBorders>
            <w:top w:val="single" w:color="000000" w:sz="12" w:space="0"/>
            <w:left w:val="none" w:color="000000" w:sz="0" w:space="0"/>
            <w:bottom w:val="single" w:color="000000" w:sz="12" w:space="0"/>
            <w:right w:val="none" w:color="000000" w:sz="0" w:space="0"/>
            <w:insideH w:val="none" w:color="000000" w:sz="0" w:space="0"/>
            <w:insideV w:val="none" w:color="000000" w:sz="0" w:space="0"/>
          </w:tblBorders>
          <w:tblCellMar>
            <w:top w:w="0" w:type="dxa"/>
            <w:left w:w="108" w:type="dxa"/>
            <w:bottom w:w="0" w:type="dxa"/>
            <w:right w:w="108" w:type="dxa"/>
          </w:tblCellMar>
        </w:tblPrEx>
        <w:trPr>
          <w:jc w:val="center"/>
        </w:trPr>
        <w:tc>
          <w:tcPr>
            <w:tcW w:w="822" w:type="pct"/>
            <w:tcMar>
              <w:top w:w="90" w:type="dxa"/>
              <w:left w:w="90" w:type="dxa"/>
              <w:bottom w:w="90" w:type="dxa"/>
              <w:right w:w="90" w:type="dxa"/>
            </w:tcMar>
            <w:vAlign w:val="center"/>
          </w:tcPr>
          <w:p w14:paraId="75517CBE">
            <w:pPr>
              <w:spacing w:before="0" w:after="0"/>
              <w:jc w:val="left"/>
              <w:rPr>
                <w:rFonts w:hint="default" w:ascii="Times New Roman" w:hAnsi="Times New Roman" w:cs="Times New Roman"/>
                <w:color w:val="auto"/>
              </w:rPr>
            </w:pPr>
          </w:p>
        </w:tc>
        <w:tc>
          <w:tcPr>
            <w:tcW w:w="605" w:type="pct"/>
            <w:tcMar>
              <w:top w:w="90" w:type="dxa"/>
              <w:left w:w="90" w:type="dxa"/>
              <w:bottom w:w="90" w:type="dxa"/>
              <w:right w:w="90" w:type="dxa"/>
            </w:tcMar>
            <w:vAlign w:val="center"/>
          </w:tcPr>
          <w:p w14:paraId="6BFE7705">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5"/>
              </w:rPr>
              <w:t>6 months</w:t>
            </w:r>
          </w:p>
        </w:tc>
        <w:tc>
          <w:tcPr>
            <w:tcW w:w="1731" w:type="pct"/>
            <w:tcMar>
              <w:top w:w="90" w:type="dxa"/>
              <w:left w:w="90" w:type="dxa"/>
              <w:bottom w:w="90" w:type="dxa"/>
              <w:right w:w="90" w:type="dxa"/>
            </w:tcMar>
            <w:vAlign w:val="center"/>
          </w:tcPr>
          <w:p w14:paraId="195F00DF">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5"/>
              </w:rPr>
              <w:t>-0.15 (-0.47 to 0.17)</w:t>
            </w:r>
          </w:p>
        </w:tc>
        <w:tc>
          <w:tcPr>
            <w:tcW w:w="866" w:type="pct"/>
            <w:tcMar>
              <w:top w:w="90" w:type="dxa"/>
              <w:left w:w="90" w:type="dxa"/>
              <w:bottom w:w="90" w:type="dxa"/>
              <w:right w:w="90" w:type="dxa"/>
            </w:tcMar>
            <w:vAlign w:val="center"/>
          </w:tcPr>
          <w:p w14:paraId="494FCE70">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5"/>
              </w:rPr>
              <w:t>0.362</w:t>
            </w:r>
          </w:p>
        </w:tc>
        <w:tc>
          <w:tcPr>
            <w:tcW w:w="973" w:type="pct"/>
            <w:tcMar>
              <w:top w:w="90" w:type="dxa"/>
              <w:left w:w="90" w:type="dxa"/>
              <w:bottom w:w="90" w:type="dxa"/>
              <w:right w:w="90" w:type="dxa"/>
            </w:tcMar>
            <w:vAlign w:val="center"/>
          </w:tcPr>
          <w:p w14:paraId="167A9AFA">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5"/>
              </w:rPr>
              <w:t>1.000</w:t>
            </w:r>
          </w:p>
        </w:tc>
      </w:tr>
      <w:tr w14:paraId="6789A3B1">
        <w:tblPrEx>
          <w:tblBorders>
            <w:top w:val="single" w:color="000000" w:sz="12" w:space="0"/>
            <w:left w:val="none" w:color="000000" w:sz="0" w:space="0"/>
            <w:bottom w:val="single" w:color="000000" w:sz="12" w:space="0"/>
            <w:right w:val="none" w:color="000000" w:sz="0" w:space="0"/>
            <w:insideH w:val="none" w:color="000000" w:sz="0" w:space="0"/>
            <w:insideV w:val="none" w:color="000000" w:sz="0" w:space="0"/>
          </w:tblBorders>
          <w:tblCellMar>
            <w:top w:w="0" w:type="dxa"/>
            <w:left w:w="108" w:type="dxa"/>
            <w:bottom w:w="0" w:type="dxa"/>
            <w:right w:w="108" w:type="dxa"/>
          </w:tblCellMar>
        </w:tblPrEx>
        <w:trPr>
          <w:jc w:val="center"/>
        </w:trPr>
        <w:tc>
          <w:tcPr>
            <w:tcW w:w="822" w:type="pct"/>
            <w:tcMar>
              <w:top w:w="90" w:type="dxa"/>
              <w:left w:w="90" w:type="dxa"/>
              <w:bottom w:w="90" w:type="dxa"/>
              <w:right w:w="90" w:type="dxa"/>
            </w:tcMar>
            <w:vAlign w:val="center"/>
          </w:tcPr>
          <w:p w14:paraId="08AC9EB1">
            <w:pPr>
              <w:spacing w:before="0" w:after="0"/>
              <w:jc w:val="left"/>
              <w:rPr>
                <w:rFonts w:hint="default" w:ascii="Times New Roman" w:hAnsi="Times New Roman" w:cs="Times New Roman"/>
                <w:color w:val="auto"/>
              </w:rPr>
            </w:pPr>
          </w:p>
        </w:tc>
        <w:tc>
          <w:tcPr>
            <w:tcW w:w="605" w:type="pct"/>
            <w:tcMar>
              <w:top w:w="90" w:type="dxa"/>
              <w:left w:w="90" w:type="dxa"/>
              <w:bottom w:w="90" w:type="dxa"/>
              <w:right w:w="90" w:type="dxa"/>
            </w:tcMar>
            <w:vAlign w:val="center"/>
          </w:tcPr>
          <w:p w14:paraId="23B4309D">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5"/>
              </w:rPr>
              <w:t>12 months</w:t>
            </w:r>
          </w:p>
        </w:tc>
        <w:tc>
          <w:tcPr>
            <w:tcW w:w="1731" w:type="pct"/>
            <w:tcMar>
              <w:top w:w="90" w:type="dxa"/>
              <w:left w:w="90" w:type="dxa"/>
              <w:bottom w:w="90" w:type="dxa"/>
              <w:right w:w="90" w:type="dxa"/>
            </w:tcMar>
            <w:vAlign w:val="center"/>
          </w:tcPr>
          <w:p w14:paraId="163A6DBF">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5"/>
              </w:rPr>
              <w:t>0.03 (-0.29 to 0.35)</w:t>
            </w:r>
          </w:p>
        </w:tc>
        <w:tc>
          <w:tcPr>
            <w:tcW w:w="866" w:type="pct"/>
            <w:tcMar>
              <w:top w:w="90" w:type="dxa"/>
              <w:left w:w="90" w:type="dxa"/>
              <w:bottom w:w="90" w:type="dxa"/>
              <w:right w:w="90" w:type="dxa"/>
            </w:tcMar>
            <w:vAlign w:val="center"/>
          </w:tcPr>
          <w:p w14:paraId="4F01D438">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5"/>
              </w:rPr>
              <w:t>0.845</w:t>
            </w:r>
          </w:p>
        </w:tc>
        <w:tc>
          <w:tcPr>
            <w:tcW w:w="973" w:type="pct"/>
            <w:tcMar>
              <w:top w:w="90" w:type="dxa"/>
              <w:left w:w="90" w:type="dxa"/>
              <w:bottom w:w="90" w:type="dxa"/>
              <w:right w:w="90" w:type="dxa"/>
            </w:tcMar>
            <w:vAlign w:val="center"/>
          </w:tcPr>
          <w:p w14:paraId="0CC48E5B">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5"/>
              </w:rPr>
              <w:t>1.000</w:t>
            </w:r>
          </w:p>
        </w:tc>
      </w:tr>
      <w:tr w14:paraId="3486596B">
        <w:tblPrEx>
          <w:tblBorders>
            <w:top w:val="single" w:color="000000" w:sz="12" w:space="0"/>
            <w:left w:val="none" w:color="000000" w:sz="0" w:space="0"/>
            <w:bottom w:val="single" w:color="000000" w:sz="12" w:space="0"/>
            <w:right w:val="none" w:color="000000" w:sz="0" w:space="0"/>
            <w:insideH w:val="none" w:color="000000" w:sz="0" w:space="0"/>
            <w:insideV w:val="none" w:color="000000" w:sz="0" w:space="0"/>
          </w:tblBorders>
          <w:tblCellMar>
            <w:top w:w="0" w:type="dxa"/>
            <w:left w:w="108" w:type="dxa"/>
            <w:bottom w:w="0" w:type="dxa"/>
            <w:right w:w="108" w:type="dxa"/>
          </w:tblCellMar>
        </w:tblPrEx>
        <w:trPr>
          <w:jc w:val="center"/>
        </w:trPr>
        <w:tc>
          <w:tcPr>
            <w:tcW w:w="822" w:type="pct"/>
            <w:tcMar>
              <w:top w:w="90" w:type="dxa"/>
              <w:left w:w="90" w:type="dxa"/>
              <w:bottom w:w="90" w:type="dxa"/>
              <w:right w:w="90" w:type="dxa"/>
            </w:tcMar>
            <w:vAlign w:val="center"/>
          </w:tcPr>
          <w:p w14:paraId="71DAE51F">
            <w:pPr>
              <w:spacing w:before="0" w:after="0"/>
              <w:jc w:val="left"/>
              <w:rPr>
                <w:rFonts w:hint="default" w:ascii="Times New Roman" w:hAnsi="Times New Roman" w:cs="Times New Roman"/>
                <w:color w:val="auto"/>
              </w:rPr>
            </w:pPr>
            <w:r>
              <w:rPr>
                <w:rFonts w:hint="default" w:ascii="Times New Roman" w:hAnsi="Times New Roman" w:cs="Times New Roman"/>
                <w:b w:val="0"/>
                <w:color w:val="auto"/>
                <w:sz w:val="15"/>
              </w:rPr>
              <w:t>VAS leg pain</w:t>
            </w:r>
          </w:p>
        </w:tc>
        <w:tc>
          <w:tcPr>
            <w:tcW w:w="605" w:type="pct"/>
            <w:tcMar>
              <w:top w:w="90" w:type="dxa"/>
              <w:left w:w="90" w:type="dxa"/>
              <w:bottom w:w="90" w:type="dxa"/>
              <w:right w:w="90" w:type="dxa"/>
            </w:tcMar>
            <w:vAlign w:val="center"/>
          </w:tcPr>
          <w:p w14:paraId="37BD99E6">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5"/>
              </w:rPr>
              <w:t>Discharge</w:t>
            </w:r>
          </w:p>
        </w:tc>
        <w:tc>
          <w:tcPr>
            <w:tcW w:w="1731" w:type="pct"/>
            <w:tcMar>
              <w:top w:w="90" w:type="dxa"/>
              <w:left w:w="90" w:type="dxa"/>
              <w:bottom w:w="90" w:type="dxa"/>
              <w:right w:w="90" w:type="dxa"/>
            </w:tcMar>
            <w:vAlign w:val="center"/>
          </w:tcPr>
          <w:p w14:paraId="2709525C">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5"/>
              </w:rPr>
              <w:t>-0.43 (-0.81 to -0.04)</w:t>
            </w:r>
          </w:p>
        </w:tc>
        <w:tc>
          <w:tcPr>
            <w:tcW w:w="866" w:type="pct"/>
            <w:tcMar>
              <w:top w:w="90" w:type="dxa"/>
              <w:left w:w="90" w:type="dxa"/>
              <w:bottom w:w="90" w:type="dxa"/>
              <w:right w:w="90" w:type="dxa"/>
            </w:tcMar>
            <w:vAlign w:val="center"/>
          </w:tcPr>
          <w:p w14:paraId="39EEE43C">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5"/>
              </w:rPr>
              <w:t>0.030</w:t>
            </w:r>
          </w:p>
        </w:tc>
        <w:tc>
          <w:tcPr>
            <w:tcW w:w="973" w:type="pct"/>
            <w:tcMar>
              <w:top w:w="90" w:type="dxa"/>
              <w:left w:w="90" w:type="dxa"/>
              <w:bottom w:w="90" w:type="dxa"/>
              <w:right w:w="90" w:type="dxa"/>
            </w:tcMar>
            <w:vAlign w:val="center"/>
          </w:tcPr>
          <w:p w14:paraId="532752F5">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5"/>
              </w:rPr>
              <w:t>0.152</w:t>
            </w:r>
          </w:p>
        </w:tc>
      </w:tr>
      <w:tr w14:paraId="0D6401FE">
        <w:tblPrEx>
          <w:tblBorders>
            <w:top w:val="single" w:color="000000" w:sz="12" w:space="0"/>
            <w:left w:val="none" w:color="000000" w:sz="0" w:space="0"/>
            <w:bottom w:val="single" w:color="000000" w:sz="12" w:space="0"/>
            <w:right w:val="none" w:color="000000" w:sz="0" w:space="0"/>
            <w:insideH w:val="none" w:color="000000" w:sz="0" w:space="0"/>
            <w:insideV w:val="none" w:color="000000" w:sz="0" w:space="0"/>
          </w:tblBorders>
          <w:tblCellMar>
            <w:top w:w="0" w:type="dxa"/>
            <w:left w:w="108" w:type="dxa"/>
            <w:bottom w:w="0" w:type="dxa"/>
            <w:right w:w="108" w:type="dxa"/>
          </w:tblCellMar>
        </w:tblPrEx>
        <w:trPr>
          <w:jc w:val="center"/>
        </w:trPr>
        <w:tc>
          <w:tcPr>
            <w:tcW w:w="822" w:type="pct"/>
            <w:tcMar>
              <w:top w:w="90" w:type="dxa"/>
              <w:left w:w="90" w:type="dxa"/>
              <w:bottom w:w="90" w:type="dxa"/>
              <w:right w:w="90" w:type="dxa"/>
            </w:tcMar>
            <w:vAlign w:val="center"/>
          </w:tcPr>
          <w:p w14:paraId="77F91D6B">
            <w:pPr>
              <w:spacing w:before="0" w:after="0"/>
              <w:jc w:val="left"/>
              <w:rPr>
                <w:rFonts w:hint="default" w:ascii="Times New Roman" w:hAnsi="Times New Roman" w:cs="Times New Roman"/>
                <w:color w:val="auto"/>
              </w:rPr>
            </w:pPr>
          </w:p>
        </w:tc>
        <w:tc>
          <w:tcPr>
            <w:tcW w:w="605" w:type="pct"/>
            <w:tcMar>
              <w:top w:w="90" w:type="dxa"/>
              <w:left w:w="90" w:type="dxa"/>
              <w:bottom w:w="90" w:type="dxa"/>
              <w:right w:w="90" w:type="dxa"/>
            </w:tcMar>
            <w:vAlign w:val="center"/>
          </w:tcPr>
          <w:p w14:paraId="7187C6C9">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5"/>
              </w:rPr>
              <w:t>1 month</w:t>
            </w:r>
          </w:p>
        </w:tc>
        <w:tc>
          <w:tcPr>
            <w:tcW w:w="1731" w:type="pct"/>
            <w:tcMar>
              <w:top w:w="90" w:type="dxa"/>
              <w:left w:w="90" w:type="dxa"/>
              <w:bottom w:w="90" w:type="dxa"/>
              <w:right w:w="90" w:type="dxa"/>
            </w:tcMar>
            <w:vAlign w:val="center"/>
          </w:tcPr>
          <w:p w14:paraId="414741BF">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5"/>
              </w:rPr>
              <w:t>-0.00 (-0.39 to 0.38)</w:t>
            </w:r>
          </w:p>
        </w:tc>
        <w:tc>
          <w:tcPr>
            <w:tcW w:w="866" w:type="pct"/>
            <w:tcMar>
              <w:top w:w="90" w:type="dxa"/>
              <w:left w:w="90" w:type="dxa"/>
              <w:bottom w:w="90" w:type="dxa"/>
              <w:right w:w="90" w:type="dxa"/>
            </w:tcMar>
            <w:vAlign w:val="center"/>
          </w:tcPr>
          <w:p w14:paraId="109B058D">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5"/>
              </w:rPr>
              <w:t>0.995</w:t>
            </w:r>
          </w:p>
        </w:tc>
        <w:tc>
          <w:tcPr>
            <w:tcW w:w="973" w:type="pct"/>
            <w:tcMar>
              <w:top w:w="90" w:type="dxa"/>
              <w:left w:w="90" w:type="dxa"/>
              <w:bottom w:w="90" w:type="dxa"/>
              <w:right w:w="90" w:type="dxa"/>
            </w:tcMar>
            <w:vAlign w:val="center"/>
          </w:tcPr>
          <w:p w14:paraId="55849EB6">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5"/>
              </w:rPr>
              <w:t>1.000</w:t>
            </w:r>
          </w:p>
        </w:tc>
      </w:tr>
      <w:tr w14:paraId="17D162D5">
        <w:tblPrEx>
          <w:tblBorders>
            <w:top w:val="single" w:color="000000" w:sz="12" w:space="0"/>
            <w:left w:val="none" w:color="000000" w:sz="0" w:space="0"/>
            <w:bottom w:val="single" w:color="000000" w:sz="12" w:space="0"/>
            <w:right w:val="none" w:color="000000" w:sz="0" w:space="0"/>
            <w:insideH w:val="none" w:color="000000" w:sz="0" w:space="0"/>
            <w:insideV w:val="none" w:color="000000" w:sz="0" w:space="0"/>
          </w:tblBorders>
          <w:tblCellMar>
            <w:top w:w="0" w:type="dxa"/>
            <w:left w:w="108" w:type="dxa"/>
            <w:bottom w:w="0" w:type="dxa"/>
            <w:right w:w="108" w:type="dxa"/>
          </w:tblCellMar>
        </w:tblPrEx>
        <w:trPr>
          <w:jc w:val="center"/>
        </w:trPr>
        <w:tc>
          <w:tcPr>
            <w:tcW w:w="822" w:type="pct"/>
            <w:tcMar>
              <w:top w:w="90" w:type="dxa"/>
              <w:left w:w="90" w:type="dxa"/>
              <w:bottom w:w="90" w:type="dxa"/>
              <w:right w:w="90" w:type="dxa"/>
            </w:tcMar>
            <w:vAlign w:val="center"/>
          </w:tcPr>
          <w:p w14:paraId="3D2884B3">
            <w:pPr>
              <w:spacing w:before="0" w:after="0"/>
              <w:jc w:val="left"/>
              <w:rPr>
                <w:rFonts w:hint="default" w:ascii="Times New Roman" w:hAnsi="Times New Roman" w:cs="Times New Roman"/>
                <w:color w:val="auto"/>
              </w:rPr>
            </w:pPr>
          </w:p>
        </w:tc>
        <w:tc>
          <w:tcPr>
            <w:tcW w:w="605" w:type="pct"/>
            <w:tcMar>
              <w:top w:w="90" w:type="dxa"/>
              <w:left w:w="90" w:type="dxa"/>
              <w:bottom w:w="90" w:type="dxa"/>
              <w:right w:w="90" w:type="dxa"/>
            </w:tcMar>
            <w:vAlign w:val="center"/>
          </w:tcPr>
          <w:p w14:paraId="636A594A">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5"/>
              </w:rPr>
              <w:t>3 months</w:t>
            </w:r>
          </w:p>
        </w:tc>
        <w:tc>
          <w:tcPr>
            <w:tcW w:w="1731" w:type="pct"/>
            <w:tcMar>
              <w:top w:w="90" w:type="dxa"/>
              <w:left w:w="90" w:type="dxa"/>
              <w:bottom w:w="90" w:type="dxa"/>
              <w:right w:w="90" w:type="dxa"/>
            </w:tcMar>
            <w:vAlign w:val="center"/>
          </w:tcPr>
          <w:p w14:paraId="66D10927">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5"/>
              </w:rPr>
              <w:t>0.09 (-0.30 to 0.47)</w:t>
            </w:r>
          </w:p>
        </w:tc>
        <w:tc>
          <w:tcPr>
            <w:tcW w:w="866" w:type="pct"/>
            <w:tcMar>
              <w:top w:w="90" w:type="dxa"/>
              <w:left w:w="90" w:type="dxa"/>
              <w:bottom w:w="90" w:type="dxa"/>
              <w:right w:w="90" w:type="dxa"/>
            </w:tcMar>
            <w:vAlign w:val="center"/>
          </w:tcPr>
          <w:p w14:paraId="0760DA6E">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5"/>
              </w:rPr>
              <w:t>0.647</w:t>
            </w:r>
          </w:p>
        </w:tc>
        <w:tc>
          <w:tcPr>
            <w:tcW w:w="973" w:type="pct"/>
            <w:tcMar>
              <w:top w:w="90" w:type="dxa"/>
              <w:left w:w="90" w:type="dxa"/>
              <w:bottom w:w="90" w:type="dxa"/>
              <w:right w:w="90" w:type="dxa"/>
            </w:tcMar>
            <w:vAlign w:val="center"/>
          </w:tcPr>
          <w:p w14:paraId="0B528514">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5"/>
              </w:rPr>
              <w:t>1.000</w:t>
            </w:r>
          </w:p>
        </w:tc>
      </w:tr>
      <w:tr w14:paraId="4284A480">
        <w:tblPrEx>
          <w:tblBorders>
            <w:top w:val="single" w:color="000000" w:sz="12" w:space="0"/>
            <w:left w:val="none" w:color="000000" w:sz="0" w:space="0"/>
            <w:bottom w:val="single" w:color="000000" w:sz="12" w:space="0"/>
            <w:right w:val="none" w:color="000000" w:sz="0" w:space="0"/>
            <w:insideH w:val="none" w:color="000000" w:sz="0" w:space="0"/>
            <w:insideV w:val="none" w:color="000000" w:sz="0" w:space="0"/>
          </w:tblBorders>
          <w:tblCellMar>
            <w:top w:w="0" w:type="dxa"/>
            <w:left w:w="108" w:type="dxa"/>
            <w:bottom w:w="0" w:type="dxa"/>
            <w:right w:w="108" w:type="dxa"/>
          </w:tblCellMar>
        </w:tblPrEx>
        <w:trPr>
          <w:jc w:val="center"/>
        </w:trPr>
        <w:tc>
          <w:tcPr>
            <w:tcW w:w="822" w:type="pct"/>
            <w:tcMar>
              <w:top w:w="90" w:type="dxa"/>
              <w:left w:w="90" w:type="dxa"/>
              <w:bottom w:w="90" w:type="dxa"/>
              <w:right w:w="90" w:type="dxa"/>
            </w:tcMar>
            <w:vAlign w:val="center"/>
          </w:tcPr>
          <w:p w14:paraId="02BAB4BD">
            <w:pPr>
              <w:spacing w:before="0" w:after="0"/>
              <w:jc w:val="left"/>
              <w:rPr>
                <w:rFonts w:hint="default" w:ascii="Times New Roman" w:hAnsi="Times New Roman" w:cs="Times New Roman"/>
                <w:color w:val="auto"/>
              </w:rPr>
            </w:pPr>
          </w:p>
        </w:tc>
        <w:tc>
          <w:tcPr>
            <w:tcW w:w="605" w:type="pct"/>
            <w:tcMar>
              <w:top w:w="90" w:type="dxa"/>
              <w:left w:w="90" w:type="dxa"/>
              <w:bottom w:w="90" w:type="dxa"/>
              <w:right w:w="90" w:type="dxa"/>
            </w:tcMar>
            <w:vAlign w:val="center"/>
          </w:tcPr>
          <w:p w14:paraId="21138844">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5"/>
              </w:rPr>
              <w:t>6 months</w:t>
            </w:r>
          </w:p>
        </w:tc>
        <w:tc>
          <w:tcPr>
            <w:tcW w:w="1731" w:type="pct"/>
            <w:tcMar>
              <w:top w:w="90" w:type="dxa"/>
              <w:left w:w="90" w:type="dxa"/>
              <w:bottom w:w="90" w:type="dxa"/>
              <w:right w:w="90" w:type="dxa"/>
            </w:tcMar>
            <w:vAlign w:val="center"/>
          </w:tcPr>
          <w:p w14:paraId="772078F4">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5"/>
              </w:rPr>
              <w:t>-0.02 (-0.40 to 0.37)</w:t>
            </w:r>
          </w:p>
        </w:tc>
        <w:tc>
          <w:tcPr>
            <w:tcW w:w="866" w:type="pct"/>
            <w:tcMar>
              <w:top w:w="90" w:type="dxa"/>
              <w:left w:w="90" w:type="dxa"/>
              <w:bottom w:w="90" w:type="dxa"/>
              <w:right w:w="90" w:type="dxa"/>
            </w:tcMar>
            <w:vAlign w:val="center"/>
          </w:tcPr>
          <w:p w14:paraId="4461BE62">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5"/>
              </w:rPr>
              <w:t>0.933</w:t>
            </w:r>
          </w:p>
        </w:tc>
        <w:tc>
          <w:tcPr>
            <w:tcW w:w="973" w:type="pct"/>
            <w:tcMar>
              <w:top w:w="90" w:type="dxa"/>
              <w:left w:w="90" w:type="dxa"/>
              <w:bottom w:w="90" w:type="dxa"/>
              <w:right w:w="90" w:type="dxa"/>
            </w:tcMar>
            <w:vAlign w:val="center"/>
          </w:tcPr>
          <w:p w14:paraId="3C74FDA6">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5"/>
              </w:rPr>
              <w:t>1.000</w:t>
            </w:r>
          </w:p>
        </w:tc>
      </w:tr>
      <w:tr w14:paraId="0F031A24">
        <w:tblPrEx>
          <w:tblBorders>
            <w:top w:val="single" w:color="000000" w:sz="12" w:space="0"/>
            <w:left w:val="none" w:color="000000" w:sz="0" w:space="0"/>
            <w:bottom w:val="single" w:color="000000" w:sz="12" w:space="0"/>
            <w:right w:val="none" w:color="000000" w:sz="0" w:space="0"/>
            <w:insideH w:val="none" w:color="000000" w:sz="0" w:space="0"/>
            <w:insideV w:val="none" w:color="000000" w:sz="0" w:space="0"/>
          </w:tblBorders>
          <w:tblCellMar>
            <w:top w:w="0" w:type="dxa"/>
            <w:left w:w="108" w:type="dxa"/>
            <w:bottom w:w="0" w:type="dxa"/>
            <w:right w:w="108" w:type="dxa"/>
          </w:tblCellMar>
        </w:tblPrEx>
        <w:trPr>
          <w:jc w:val="center"/>
        </w:trPr>
        <w:tc>
          <w:tcPr>
            <w:tcW w:w="822" w:type="pct"/>
            <w:tcMar>
              <w:top w:w="90" w:type="dxa"/>
              <w:left w:w="90" w:type="dxa"/>
              <w:bottom w:w="90" w:type="dxa"/>
              <w:right w:w="90" w:type="dxa"/>
            </w:tcMar>
            <w:vAlign w:val="center"/>
          </w:tcPr>
          <w:p w14:paraId="57D5C33B">
            <w:pPr>
              <w:spacing w:before="0" w:after="0"/>
              <w:jc w:val="left"/>
              <w:rPr>
                <w:rFonts w:hint="default" w:ascii="Times New Roman" w:hAnsi="Times New Roman" w:cs="Times New Roman"/>
                <w:color w:val="auto"/>
              </w:rPr>
            </w:pPr>
          </w:p>
        </w:tc>
        <w:tc>
          <w:tcPr>
            <w:tcW w:w="605" w:type="pct"/>
            <w:tcMar>
              <w:top w:w="90" w:type="dxa"/>
              <w:left w:w="90" w:type="dxa"/>
              <w:bottom w:w="90" w:type="dxa"/>
              <w:right w:w="90" w:type="dxa"/>
            </w:tcMar>
            <w:vAlign w:val="center"/>
          </w:tcPr>
          <w:p w14:paraId="4403DC12">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5"/>
              </w:rPr>
              <w:t>12 months</w:t>
            </w:r>
          </w:p>
        </w:tc>
        <w:tc>
          <w:tcPr>
            <w:tcW w:w="1731" w:type="pct"/>
            <w:tcMar>
              <w:top w:w="90" w:type="dxa"/>
              <w:left w:w="90" w:type="dxa"/>
              <w:bottom w:w="90" w:type="dxa"/>
              <w:right w:w="90" w:type="dxa"/>
            </w:tcMar>
            <w:vAlign w:val="center"/>
          </w:tcPr>
          <w:p w14:paraId="6F31A1EC">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5"/>
              </w:rPr>
              <w:t>-0.12 (-0.51 to 0.26)</w:t>
            </w:r>
          </w:p>
        </w:tc>
        <w:tc>
          <w:tcPr>
            <w:tcW w:w="866" w:type="pct"/>
            <w:tcMar>
              <w:top w:w="90" w:type="dxa"/>
              <w:left w:w="90" w:type="dxa"/>
              <w:bottom w:w="90" w:type="dxa"/>
              <w:right w:w="90" w:type="dxa"/>
            </w:tcMar>
            <w:vAlign w:val="center"/>
          </w:tcPr>
          <w:p w14:paraId="445F7354">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5"/>
              </w:rPr>
              <w:t>0.531</w:t>
            </w:r>
          </w:p>
        </w:tc>
        <w:tc>
          <w:tcPr>
            <w:tcW w:w="973" w:type="pct"/>
            <w:tcMar>
              <w:top w:w="90" w:type="dxa"/>
              <w:left w:w="90" w:type="dxa"/>
              <w:bottom w:w="90" w:type="dxa"/>
              <w:right w:w="90" w:type="dxa"/>
            </w:tcMar>
            <w:vAlign w:val="center"/>
          </w:tcPr>
          <w:p w14:paraId="7F7751F9">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5"/>
              </w:rPr>
              <w:t>1.000</w:t>
            </w:r>
          </w:p>
        </w:tc>
      </w:tr>
      <w:tr w14:paraId="5245F83A">
        <w:tblPrEx>
          <w:tblBorders>
            <w:top w:val="single" w:color="000000" w:sz="12" w:space="0"/>
            <w:left w:val="none" w:color="000000" w:sz="0" w:space="0"/>
            <w:bottom w:val="single" w:color="000000" w:sz="12" w:space="0"/>
            <w:right w:val="none" w:color="000000" w:sz="0" w:space="0"/>
            <w:insideH w:val="none" w:color="000000" w:sz="0" w:space="0"/>
            <w:insideV w:val="none" w:color="000000" w:sz="0" w:space="0"/>
          </w:tblBorders>
          <w:tblCellMar>
            <w:top w:w="0" w:type="dxa"/>
            <w:left w:w="108" w:type="dxa"/>
            <w:bottom w:w="0" w:type="dxa"/>
            <w:right w:w="108" w:type="dxa"/>
          </w:tblCellMar>
        </w:tblPrEx>
        <w:trPr>
          <w:jc w:val="center"/>
        </w:trPr>
        <w:tc>
          <w:tcPr>
            <w:tcW w:w="822" w:type="pct"/>
            <w:tcMar>
              <w:top w:w="90" w:type="dxa"/>
              <w:left w:w="90" w:type="dxa"/>
              <w:bottom w:w="90" w:type="dxa"/>
              <w:right w:w="90" w:type="dxa"/>
            </w:tcMar>
            <w:vAlign w:val="center"/>
          </w:tcPr>
          <w:p w14:paraId="06F6B632">
            <w:pPr>
              <w:spacing w:before="0" w:after="0"/>
              <w:jc w:val="left"/>
              <w:rPr>
                <w:rFonts w:hint="default" w:ascii="Times New Roman" w:hAnsi="Times New Roman" w:cs="Times New Roman"/>
                <w:color w:val="auto"/>
              </w:rPr>
            </w:pPr>
            <w:r>
              <w:rPr>
                <w:rFonts w:hint="default" w:ascii="Times New Roman" w:hAnsi="Times New Roman" w:cs="Times New Roman"/>
                <w:b w:val="0"/>
                <w:color w:val="auto"/>
                <w:sz w:val="15"/>
              </w:rPr>
              <w:t>ODI</w:t>
            </w:r>
          </w:p>
        </w:tc>
        <w:tc>
          <w:tcPr>
            <w:tcW w:w="605" w:type="pct"/>
            <w:tcMar>
              <w:top w:w="90" w:type="dxa"/>
              <w:left w:w="90" w:type="dxa"/>
              <w:bottom w:w="90" w:type="dxa"/>
              <w:right w:w="90" w:type="dxa"/>
            </w:tcMar>
            <w:vAlign w:val="center"/>
          </w:tcPr>
          <w:p w14:paraId="2C46C45B">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5"/>
              </w:rPr>
              <w:t>Discharge</w:t>
            </w:r>
          </w:p>
        </w:tc>
        <w:tc>
          <w:tcPr>
            <w:tcW w:w="1731" w:type="pct"/>
            <w:tcMar>
              <w:top w:w="90" w:type="dxa"/>
              <w:left w:w="90" w:type="dxa"/>
              <w:bottom w:w="90" w:type="dxa"/>
              <w:right w:w="90" w:type="dxa"/>
            </w:tcMar>
            <w:vAlign w:val="center"/>
          </w:tcPr>
          <w:p w14:paraId="7A2EEB19">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5"/>
              </w:rPr>
              <w:t>1.10 (-1.16 to 3.35)</w:t>
            </w:r>
          </w:p>
        </w:tc>
        <w:tc>
          <w:tcPr>
            <w:tcW w:w="866" w:type="pct"/>
            <w:tcMar>
              <w:top w:w="90" w:type="dxa"/>
              <w:left w:w="90" w:type="dxa"/>
              <w:bottom w:w="90" w:type="dxa"/>
              <w:right w:w="90" w:type="dxa"/>
            </w:tcMar>
            <w:vAlign w:val="center"/>
          </w:tcPr>
          <w:p w14:paraId="06DC77F1">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5"/>
              </w:rPr>
              <w:t>0.339</w:t>
            </w:r>
          </w:p>
        </w:tc>
        <w:tc>
          <w:tcPr>
            <w:tcW w:w="973" w:type="pct"/>
            <w:tcMar>
              <w:top w:w="90" w:type="dxa"/>
              <w:left w:w="90" w:type="dxa"/>
              <w:bottom w:w="90" w:type="dxa"/>
              <w:right w:w="90" w:type="dxa"/>
            </w:tcMar>
            <w:vAlign w:val="center"/>
          </w:tcPr>
          <w:p w14:paraId="3E0EA522">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5"/>
              </w:rPr>
              <w:t>0.678</w:t>
            </w:r>
          </w:p>
        </w:tc>
      </w:tr>
      <w:tr w14:paraId="3F49DB03">
        <w:tblPrEx>
          <w:tblBorders>
            <w:top w:val="single" w:color="000000" w:sz="12" w:space="0"/>
            <w:left w:val="none" w:color="000000" w:sz="0" w:space="0"/>
            <w:bottom w:val="single" w:color="000000" w:sz="12" w:space="0"/>
            <w:right w:val="none" w:color="000000" w:sz="0" w:space="0"/>
            <w:insideH w:val="none" w:color="000000" w:sz="0" w:space="0"/>
            <w:insideV w:val="none" w:color="000000" w:sz="0" w:space="0"/>
          </w:tblBorders>
          <w:tblCellMar>
            <w:top w:w="0" w:type="dxa"/>
            <w:left w:w="108" w:type="dxa"/>
            <w:bottom w:w="0" w:type="dxa"/>
            <w:right w:w="108" w:type="dxa"/>
          </w:tblCellMar>
        </w:tblPrEx>
        <w:trPr>
          <w:jc w:val="center"/>
        </w:trPr>
        <w:tc>
          <w:tcPr>
            <w:tcW w:w="822" w:type="pct"/>
            <w:tcMar>
              <w:top w:w="90" w:type="dxa"/>
              <w:left w:w="90" w:type="dxa"/>
              <w:bottom w:w="90" w:type="dxa"/>
              <w:right w:w="90" w:type="dxa"/>
            </w:tcMar>
            <w:vAlign w:val="center"/>
          </w:tcPr>
          <w:p w14:paraId="0F07C446">
            <w:pPr>
              <w:spacing w:before="0" w:after="0"/>
              <w:jc w:val="left"/>
              <w:rPr>
                <w:rFonts w:hint="default" w:ascii="Times New Roman" w:hAnsi="Times New Roman" w:cs="Times New Roman"/>
                <w:color w:val="auto"/>
              </w:rPr>
            </w:pPr>
          </w:p>
        </w:tc>
        <w:tc>
          <w:tcPr>
            <w:tcW w:w="605" w:type="pct"/>
            <w:tcMar>
              <w:top w:w="90" w:type="dxa"/>
              <w:left w:w="90" w:type="dxa"/>
              <w:bottom w:w="90" w:type="dxa"/>
              <w:right w:w="90" w:type="dxa"/>
            </w:tcMar>
            <w:vAlign w:val="center"/>
          </w:tcPr>
          <w:p w14:paraId="6330E2CD">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5"/>
              </w:rPr>
              <w:t>1 month</w:t>
            </w:r>
          </w:p>
        </w:tc>
        <w:tc>
          <w:tcPr>
            <w:tcW w:w="1731" w:type="pct"/>
            <w:tcMar>
              <w:top w:w="90" w:type="dxa"/>
              <w:left w:w="90" w:type="dxa"/>
              <w:bottom w:w="90" w:type="dxa"/>
              <w:right w:w="90" w:type="dxa"/>
            </w:tcMar>
            <w:vAlign w:val="center"/>
          </w:tcPr>
          <w:p w14:paraId="014E1F41">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5"/>
              </w:rPr>
              <w:t>-0.57 (-2.83 to 1.69)</w:t>
            </w:r>
          </w:p>
        </w:tc>
        <w:tc>
          <w:tcPr>
            <w:tcW w:w="866" w:type="pct"/>
            <w:tcMar>
              <w:top w:w="90" w:type="dxa"/>
              <w:left w:w="90" w:type="dxa"/>
              <w:bottom w:w="90" w:type="dxa"/>
              <w:right w:w="90" w:type="dxa"/>
            </w:tcMar>
            <w:vAlign w:val="center"/>
          </w:tcPr>
          <w:p w14:paraId="1A3ACE88">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5"/>
              </w:rPr>
              <w:t>0.619</w:t>
            </w:r>
          </w:p>
        </w:tc>
        <w:tc>
          <w:tcPr>
            <w:tcW w:w="973" w:type="pct"/>
            <w:tcMar>
              <w:top w:w="90" w:type="dxa"/>
              <w:left w:w="90" w:type="dxa"/>
              <w:bottom w:w="90" w:type="dxa"/>
              <w:right w:w="90" w:type="dxa"/>
            </w:tcMar>
            <w:vAlign w:val="center"/>
          </w:tcPr>
          <w:p w14:paraId="1F65060A">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5"/>
              </w:rPr>
              <w:t>0.678</w:t>
            </w:r>
          </w:p>
        </w:tc>
      </w:tr>
      <w:tr w14:paraId="1796F12A">
        <w:tblPrEx>
          <w:tblBorders>
            <w:top w:val="single" w:color="000000" w:sz="12" w:space="0"/>
            <w:left w:val="none" w:color="000000" w:sz="0" w:space="0"/>
            <w:bottom w:val="single" w:color="000000" w:sz="12" w:space="0"/>
            <w:right w:val="none" w:color="000000" w:sz="0" w:space="0"/>
            <w:insideH w:val="none" w:color="000000" w:sz="0" w:space="0"/>
            <w:insideV w:val="none" w:color="000000" w:sz="0" w:space="0"/>
          </w:tblBorders>
          <w:tblCellMar>
            <w:top w:w="0" w:type="dxa"/>
            <w:left w:w="108" w:type="dxa"/>
            <w:bottom w:w="0" w:type="dxa"/>
            <w:right w:w="108" w:type="dxa"/>
          </w:tblCellMar>
        </w:tblPrEx>
        <w:trPr>
          <w:jc w:val="center"/>
        </w:trPr>
        <w:tc>
          <w:tcPr>
            <w:tcW w:w="822" w:type="pct"/>
            <w:tcMar>
              <w:top w:w="90" w:type="dxa"/>
              <w:left w:w="90" w:type="dxa"/>
              <w:bottom w:w="90" w:type="dxa"/>
              <w:right w:w="90" w:type="dxa"/>
            </w:tcMar>
            <w:vAlign w:val="center"/>
          </w:tcPr>
          <w:p w14:paraId="5B036D7E">
            <w:pPr>
              <w:spacing w:before="0" w:after="0"/>
              <w:jc w:val="left"/>
              <w:rPr>
                <w:rFonts w:hint="default" w:ascii="Times New Roman" w:hAnsi="Times New Roman" w:cs="Times New Roman"/>
                <w:color w:val="auto"/>
              </w:rPr>
            </w:pPr>
          </w:p>
        </w:tc>
        <w:tc>
          <w:tcPr>
            <w:tcW w:w="605" w:type="pct"/>
            <w:tcMar>
              <w:top w:w="90" w:type="dxa"/>
              <w:left w:w="90" w:type="dxa"/>
              <w:bottom w:w="90" w:type="dxa"/>
              <w:right w:w="90" w:type="dxa"/>
            </w:tcMar>
            <w:vAlign w:val="center"/>
          </w:tcPr>
          <w:p w14:paraId="6243A667">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5"/>
              </w:rPr>
              <w:t>3 months</w:t>
            </w:r>
          </w:p>
        </w:tc>
        <w:tc>
          <w:tcPr>
            <w:tcW w:w="1731" w:type="pct"/>
            <w:tcMar>
              <w:top w:w="90" w:type="dxa"/>
              <w:left w:w="90" w:type="dxa"/>
              <w:bottom w:w="90" w:type="dxa"/>
              <w:right w:w="90" w:type="dxa"/>
            </w:tcMar>
            <w:vAlign w:val="center"/>
          </w:tcPr>
          <w:p w14:paraId="681F9A85">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5"/>
              </w:rPr>
              <w:t>-1.66 (-3.92 to 0.60)</w:t>
            </w:r>
          </w:p>
        </w:tc>
        <w:tc>
          <w:tcPr>
            <w:tcW w:w="866" w:type="pct"/>
            <w:tcMar>
              <w:top w:w="90" w:type="dxa"/>
              <w:left w:w="90" w:type="dxa"/>
              <w:bottom w:w="90" w:type="dxa"/>
              <w:right w:w="90" w:type="dxa"/>
            </w:tcMar>
            <w:vAlign w:val="center"/>
          </w:tcPr>
          <w:p w14:paraId="6A4FD03B">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5"/>
              </w:rPr>
              <w:t>0.148</w:t>
            </w:r>
          </w:p>
        </w:tc>
        <w:tc>
          <w:tcPr>
            <w:tcW w:w="973" w:type="pct"/>
            <w:tcMar>
              <w:top w:w="90" w:type="dxa"/>
              <w:left w:w="90" w:type="dxa"/>
              <w:bottom w:w="90" w:type="dxa"/>
              <w:right w:w="90" w:type="dxa"/>
            </w:tcMar>
            <w:vAlign w:val="center"/>
          </w:tcPr>
          <w:p w14:paraId="6D01E117">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5"/>
              </w:rPr>
              <w:t>0.445</w:t>
            </w:r>
          </w:p>
        </w:tc>
      </w:tr>
      <w:tr w14:paraId="76BBFF8E">
        <w:tblPrEx>
          <w:tblBorders>
            <w:top w:val="single" w:color="000000" w:sz="12" w:space="0"/>
            <w:left w:val="none" w:color="000000" w:sz="0" w:space="0"/>
            <w:bottom w:val="single" w:color="000000" w:sz="12" w:space="0"/>
            <w:right w:val="none" w:color="000000" w:sz="0" w:space="0"/>
            <w:insideH w:val="none" w:color="000000" w:sz="0" w:space="0"/>
            <w:insideV w:val="none" w:color="000000" w:sz="0" w:space="0"/>
          </w:tblBorders>
          <w:tblCellMar>
            <w:top w:w="0" w:type="dxa"/>
            <w:left w:w="108" w:type="dxa"/>
            <w:bottom w:w="0" w:type="dxa"/>
            <w:right w:w="108" w:type="dxa"/>
          </w:tblCellMar>
        </w:tblPrEx>
        <w:trPr>
          <w:jc w:val="center"/>
        </w:trPr>
        <w:tc>
          <w:tcPr>
            <w:tcW w:w="822" w:type="pct"/>
            <w:tcMar>
              <w:top w:w="90" w:type="dxa"/>
              <w:left w:w="90" w:type="dxa"/>
              <w:bottom w:w="90" w:type="dxa"/>
              <w:right w:w="90" w:type="dxa"/>
            </w:tcMar>
            <w:vAlign w:val="center"/>
          </w:tcPr>
          <w:p w14:paraId="53F76FD2">
            <w:pPr>
              <w:spacing w:before="0" w:after="0"/>
              <w:jc w:val="left"/>
              <w:rPr>
                <w:rFonts w:hint="default" w:ascii="Times New Roman" w:hAnsi="Times New Roman" w:cs="Times New Roman"/>
                <w:color w:val="auto"/>
              </w:rPr>
            </w:pPr>
          </w:p>
        </w:tc>
        <w:tc>
          <w:tcPr>
            <w:tcW w:w="605" w:type="pct"/>
            <w:tcMar>
              <w:top w:w="90" w:type="dxa"/>
              <w:left w:w="90" w:type="dxa"/>
              <w:bottom w:w="90" w:type="dxa"/>
              <w:right w:w="90" w:type="dxa"/>
            </w:tcMar>
            <w:vAlign w:val="center"/>
          </w:tcPr>
          <w:p w14:paraId="078D34B6">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5"/>
              </w:rPr>
              <w:t>6 months</w:t>
            </w:r>
          </w:p>
        </w:tc>
        <w:tc>
          <w:tcPr>
            <w:tcW w:w="1731" w:type="pct"/>
            <w:tcMar>
              <w:top w:w="90" w:type="dxa"/>
              <w:left w:w="90" w:type="dxa"/>
              <w:bottom w:w="90" w:type="dxa"/>
              <w:right w:w="90" w:type="dxa"/>
            </w:tcMar>
            <w:vAlign w:val="center"/>
          </w:tcPr>
          <w:p w14:paraId="14AC5F5A">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5"/>
              </w:rPr>
              <w:t>-2.78 (-5.04 to -0.53)</w:t>
            </w:r>
          </w:p>
        </w:tc>
        <w:tc>
          <w:tcPr>
            <w:tcW w:w="866" w:type="pct"/>
            <w:tcMar>
              <w:top w:w="90" w:type="dxa"/>
              <w:left w:w="90" w:type="dxa"/>
              <w:bottom w:w="90" w:type="dxa"/>
              <w:right w:w="90" w:type="dxa"/>
            </w:tcMar>
            <w:vAlign w:val="center"/>
          </w:tcPr>
          <w:p w14:paraId="550E0ADB">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5"/>
              </w:rPr>
              <w:t>0.016</w:t>
            </w:r>
          </w:p>
        </w:tc>
        <w:tc>
          <w:tcPr>
            <w:tcW w:w="973" w:type="pct"/>
            <w:tcMar>
              <w:top w:w="90" w:type="dxa"/>
              <w:left w:w="90" w:type="dxa"/>
              <w:bottom w:w="90" w:type="dxa"/>
              <w:right w:w="90" w:type="dxa"/>
            </w:tcMar>
            <w:vAlign w:val="center"/>
          </w:tcPr>
          <w:p w14:paraId="4ABB3670">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5"/>
              </w:rPr>
              <w:t>0.079</w:t>
            </w:r>
          </w:p>
        </w:tc>
      </w:tr>
      <w:tr w14:paraId="2BEF59CD">
        <w:tblPrEx>
          <w:tblBorders>
            <w:top w:val="single" w:color="000000" w:sz="12" w:space="0"/>
            <w:left w:val="none" w:color="000000" w:sz="0" w:space="0"/>
            <w:bottom w:val="single" w:color="000000" w:sz="12" w:space="0"/>
            <w:right w:val="none" w:color="000000" w:sz="0" w:space="0"/>
            <w:insideH w:val="none" w:color="000000" w:sz="0" w:space="0"/>
            <w:insideV w:val="none" w:color="000000" w:sz="0" w:space="0"/>
          </w:tblBorders>
          <w:tblCellMar>
            <w:top w:w="0" w:type="dxa"/>
            <w:left w:w="108" w:type="dxa"/>
            <w:bottom w:w="0" w:type="dxa"/>
            <w:right w:w="108" w:type="dxa"/>
          </w:tblCellMar>
        </w:tblPrEx>
        <w:trPr>
          <w:jc w:val="center"/>
        </w:trPr>
        <w:tc>
          <w:tcPr>
            <w:tcW w:w="822" w:type="pct"/>
            <w:tcMar>
              <w:top w:w="90" w:type="dxa"/>
              <w:left w:w="90" w:type="dxa"/>
              <w:bottom w:w="90" w:type="dxa"/>
              <w:right w:w="90" w:type="dxa"/>
            </w:tcMar>
            <w:vAlign w:val="center"/>
          </w:tcPr>
          <w:p w14:paraId="2F8E230B">
            <w:pPr>
              <w:spacing w:before="0" w:after="0"/>
              <w:jc w:val="left"/>
              <w:rPr>
                <w:rFonts w:hint="default" w:ascii="Times New Roman" w:hAnsi="Times New Roman" w:cs="Times New Roman"/>
                <w:color w:val="auto"/>
              </w:rPr>
            </w:pPr>
          </w:p>
        </w:tc>
        <w:tc>
          <w:tcPr>
            <w:tcW w:w="605" w:type="pct"/>
            <w:tcMar>
              <w:top w:w="90" w:type="dxa"/>
              <w:left w:w="90" w:type="dxa"/>
              <w:bottom w:w="90" w:type="dxa"/>
              <w:right w:w="90" w:type="dxa"/>
            </w:tcMar>
            <w:vAlign w:val="center"/>
          </w:tcPr>
          <w:p w14:paraId="7CFA7758">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5"/>
              </w:rPr>
              <w:t>12 months</w:t>
            </w:r>
          </w:p>
        </w:tc>
        <w:tc>
          <w:tcPr>
            <w:tcW w:w="1731" w:type="pct"/>
            <w:tcMar>
              <w:top w:w="90" w:type="dxa"/>
              <w:left w:w="90" w:type="dxa"/>
              <w:bottom w:w="90" w:type="dxa"/>
              <w:right w:w="90" w:type="dxa"/>
            </w:tcMar>
            <w:vAlign w:val="center"/>
          </w:tcPr>
          <w:p w14:paraId="5861D5BF">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5"/>
              </w:rPr>
              <w:t>-2.69 (-4.95 to -0.44)</w:t>
            </w:r>
          </w:p>
        </w:tc>
        <w:tc>
          <w:tcPr>
            <w:tcW w:w="866" w:type="pct"/>
            <w:tcMar>
              <w:top w:w="90" w:type="dxa"/>
              <w:left w:w="90" w:type="dxa"/>
              <w:bottom w:w="90" w:type="dxa"/>
              <w:right w:w="90" w:type="dxa"/>
            </w:tcMar>
            <w:vAlign w:val="center"/>
          </w:tcPr>
          <w:p w14:paraId="57B5EF58">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5"/>
              </w:rPr>
              <w:t>0.020</w:t>
            </w:r>
          </w:p>
        </w:tc>
        <w:tc>
          <w:tcPr>
            <w:tcW w:w="973" w:type="pct"/>
            <w:tcMar>
              <w:top w:w="90" w:type="dxa"/>
              <w:left w:w="90" w:type="dxa"/>
              <w:bottom w:w="90" w:type="dxa"/>
              <w:right w:w="90" w:type="dxa"/>
            </w:tcMar>
            <w:vAlign w:val="center"/>
          </w:tcPr>
          <w:p w14:paraId="41C8E2CD">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5"/>
              </w:rPr>
              <w:t>0.079</w:t>
            </w:r>
          </w:p>
        </w:tc>
      </w:tr>
      <w:tr w14:paraId="3C6107E4">
        <w:tblPrEx>
          <w:tblBorders>
            <w:top w:val="single" w:color="000000" w:sz="12" w:space="0"/>
            <w:left w:val="none" w:color="000000" w:sz="0" w:space="0"/>
            <w:bottom w:val="single" w:color="000000" w:sz="12" w:space="0"/>
            <w:right w:val="none" w:color="000000" w:sz="0" w:space="0"/>
            <w:insideH w:val="none" w:color="000000" w:sz="0" w:space="0"/>
            <w:insideV w:val="none" w:color="000000" w:sz="0" w:space="0"/>
          </w:tblBorders>
          <w:tblCellMar>
            <w:top w:w="0" w:type="dxa"/>
            <w:left w:w="108" w:type="dxa"/>
            <w:bottom w:w="0" w:type="dxa"/>
            <w:right w:w="108" w:type="dxa"/>
          </w:tblCellMar>
        </w:tblPrEx>
        <w:trPr>
          <w:jc w:val="center"/>
        </w:trPr>
        <w:tc>
          <w:tcPr>
            <w:tcW w:w="822" w:type="pct"/>
            <w:tcMar>
              <w:top w:w="90" w:type="dxa"/>
              <w:left w:w="90" w:type="dxa"/>
              <w:bottom w:w="90" w:type="dxa"/>
              <w:right w:w="90" w:type="dxa"/>
            </w:tcMar>
            <w:vAlign w:val="center"/>
          </w:tcPr>
          <w:p w14:paraId="1CEE0226">
            <w:pPr>
              <w:spacing w:before="0" w:after="0"/>
              <w:jc w:val="left"/>
              <w:rPr>
                <w:rFonts w:hint="default" w:ascii="Times New Roman" w:hAnsi="Times New Roman" w:cs="Times New Roman"/>
                <w:color w:val="auto"/>
              </w:rPr>
            </w:pPr>
            <w:r>
              <w:rPr>
                <w:rFonts w:hint="default" w:ascii="Times New Roman" w:hAnsi="Times New Roman" w:cs="Times New Roman"/>
                <w:b w:val="0"/>
                <w:color w:val="auto"/>
                <w:sz w:val="15"/>
              </w:rPr>
              <w:t>EQ-5D-5L</w:t>
            </w:r>
          </w:p>
        </w:tc>
        <w:tc>
          <w:tcPr>
            <w:tcW w:w="605" w:type="pct"/>
            <w:tcMar>
              <w:top w:w="90" w:type="dxa"/>
              <w:left w:w="90" w:type="dxa"/>
              <w:bottom w:w="90" w:type="dxa"/>
              <w:right w:w="90" w:type="dxa"/>
            </w:tcMar>
            <w:vAlign w:val="center"/>
          </w:tcPr>
          <w:p w14:paraId="522FC945">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5"/>
              </w:rPr>
              <w:t>1 month</w:t>
            </w:r>
          </w:p>
        </w:tc>
        <w:tc>
          <w:tcPr>
            <w:tcW w:w="1731" w:type="pct"/>
            <w:tcMar>
              <w:top w:w="90" w:type="dxa"/>
              <w:left w:w="90" w:type="dxa"/>
              <w:bottom w:w="90" w:type="dxa"/>
              <w:right w:w="90" w:type="dxa"/>
            </w:tcMar>
            <w:vAlign w:val="center"/>
          </w:tcPr>
          <w:p w14:paraId="40CA6EDF">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5"/>
              </w:rPr>
              <w:t>0.01 (-0.02 to 0.04)</w:t>
            </w:r>
          </w:p>
        </w:tc>
        <w:tc>
          <w:tcPr>
            <w:tcW w:w="866" w:type="pct"/>
            <w:tcMar>
              <w:top w:w="90" w:type="dxa"/>
              <w:left w:w="90" w:type="dxa"/>
              <w:bottom w:w="90" w:type="dxa"/>
              <w:right w:w="90" w:type="dxa"/>
            </w:tcMar>
            <w:vAlign w:val="center"/>
          </w:tcPr>
          <w:p w14:paraId="6D395A2D">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5"/>
              </w:rPr>
              <w:t>0.461</w:t>
            </w:r>
          </w:p>
        </w:tc>
        <w:tc>
          <w:tcPr>
            <w:tcW w:w="973" w:type="pct"/>
            <w:tcMar>
              <w:top w:w="90" w:type="dxa"/>
              <w:left w:w="90" w:type="dxa"/>
              <w:bottom w:w="90" w:type="dxa"/>
              <w:right w:w="90" w:type="dxa"/>
            </w:tcMar>
            <w:vAlign w:val="center"/>
          </w:tcPr>
          <w:p w14:paraId="7DD76BC6">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5"/>
              </w:rPr>
              <w:t>0.566</w:t>
            </w:r>
          </w:p>
        </w:tc>
      </w:tr>
      <w:tr w14:paraId="35EE4285">
        <w:tblPrEx>
          <w:tblBorders>
            <w:top w:val="single" w:color="000000" w:sz="12" w:space="0"/>
            <w:left w:val="none" w:color="000000" w:sz="0" w:space="0"/>
            <w:bottom w:val="single" w:color="000000" w:sz="12" w:space="0"/>
            <w:right w:val="none" w:color="000000" w:sz="0" w:space="0"/>
            <w:insideH w:val="none" w:color="000000" w:sz="0" w:space="0"/>
            <w:insideV w:val="none" w:color="000000" w:sz="0" w:space="0"/>
          </w:tblBorders>
          <w:tblCellMar>
            <w:top w:w="0" w:type="dxa"/>
            <w:left w:w="108" w:type="dxa"/>
            <w:bottom w:w="0" w:type="dxa"/>
            <w:right w:w="108" w:type="dxa"/>
          </w:tblCellMar>
        </w:tblPrEx>
        <w:trPr>
          <w:jc w:val="center"/>
        </w:trPr>
        <w:tc>
          <w:tcPr>
            <w:tcW w:w="822" w:type="pct"/>
            <w:tcMar>
              <w:top w:w="90" w:type="dxa"/>
              <w:left w:w="90" w:type="dxa"/>
              <w:bottom w:w="90" w:type="dxa"/>
              <w:right w:w="90" w:type="dxa"/>
            </w:tcMar>
            <w:vAlign w:val="center"/>
          </w:tcPr>
          <w:p w14:paraId="42CD856B">
            <w:pPr>
              <w:spacing w:before="0" w:after="0"/>
              <w:jc w:val="left"/>
              <w:rPr>
                <w:rFonts w:hint="default" w:ascii="Times New Roman" w:hAnsi="Times New Roman" w:cs="Times New Roman"/>
                <w:color w:val="auto"/>
              </w:rPr>
            </w:pPr>
          </w:p>
        </w:tc>
        <w:tc>
          <w:tcPr>
            <w:tcW w:w="605" w:type="pct"/>
            <w:tcMar>
              <w:top w:w="90" w:type="dxa"/>
              <w:left w:w="90" w:type="dxa"/>
              <w:bottom w:w="90" w:type="dxa"/>
              <w:right w:w="90" w:type="dxa"/>
            </w:tcMar>
            <w:vAlign w:val="center"/>
          </w:tcPr>
          <w:p w14:paraId="50ED53C5">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5"/>
              </w:rPr>
              <w:t>3 months</w:t>
            </w:r>
          </w:p>
        </w:tc>
        <w:tc>
          <w:tcPr>
            <w:tcW w:w="1731" w:type="pct"/>
            <w:tcMar>
              <w:top w:w="90" w:type="dxa"/>
              <w:left w:w="90" w:type="dxa"/>
              <w:bottom w:w="90" w:type="dxa"/>
              <w:right w:w="90" w:type="dxa"/>
            </w:tcMar>
            <w:vAlign w:val="center"/>
          </w:tcPr>
          <w:p w14:paraId="73E29938">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5"/>
              </w:rPr>
              <w:t>-0.03 (-0.06 to 0.00)</w:t>
            </w:r>
          </w:p>
        </w:tc>
        <w:tc>
          <w:tcPr>
            <w:tcW w:w="866" w:type="pct"/>
            <w:tcMar>
              <w:top w:w="90" w:type="dxa"/>
              <w:left w:w="90" w:type="dxa"/>
              <w:bottom w:w="90" w:type="dxa"/>
              <w:right w:w="90" w:type="dxa"/>
            </w:tcMar>
            <w:vAlign w:val="center"/>
          </w:tcPr>
          <w:p w14:paraId="00698962">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5"/>
              </w:rPr>
              <w:t>0.071</w:t>
            </w:r>
          </w:p>
        </w:tc>
        <w:tc>
          <w:tcPr>
            <w:tcW w:w="973" w:type="pct"/>
            <w:tcMar>
              <w:top w:w="90" w:type="dxa"/>
              <w:left w:w="90" w:type="dxa"/>
              <w:bottom w:w="90" w:type="dxa"/>
              <w:right w:w="90" w:type="dxa"/>
            </w:tcMar>
            <w:vAlign w:val="center"/>
          </w:tcPr>
          <w:p w14:paraId="0AE54BEC">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5"/>
              </w:rPr>
              <w:t>0.284</w:t>
            </w:r>
          </w:p>
        </w:tc>
      </w:tr>
      <w:tr w14:paraId="79FF6725">
        <w:tblPrEx>
          <w:tblBorders>
            <w:top w:val="single" w:color="000000" w:sz="12" w:space="0"/>
            <w:left w:val="none" w:color="000000" w:sz="0" w:space="0"/>
            <w:bottom w:val="single" w:color="000000" w:sz="12" w:space="0"/>
            <w:right w:val="none" w:color="000000" w:sz="0" w:space="0"/>
            <w:insideH w:val="none" w:color="000000" w:sz="0" w:space="0"/>
            <w:insideV w:val="none" w:color="000000" w:sz="0" w:space="0"/>
          </w:tblBorders>
          <w:tblCellMar>
            <w:top w:w="0" w:type="dxa"/>
            <w:left w:w="108" w:type="dxa"/>
            <w:bottom w:w="0" w:type="dxa"/>
            <w:right w:w="108" w:type="dxa"/>
          </w:tblCellMar>
        </w:tblPrEx>
        <w:trPr>
          <w:jc w:val="center"/>
        </w:trPr>
        <w:tc>
          <w:tcPr>
            <w:tcW w:w="822" w:type="pct"/>
            <w:tcMar>
              <w:top w:w="90" w:type="dxa"/>
              <w:left w:w="90" w:type="dxa"/>
              <w:bottom w:w="90" w:type="dxa"/>
              <w:right w:w="90" w:type="dxa"/>
            </w:tcMar>
            <w:vAlign w:val="center"/>
          </w:tcPr>
          <w:p w14:paraId="182E3244">
            <w:pPr>
              <w:spacing w:before="0" w:after="0"/>
              <w:jc w:val="left"/>
              <w:rPr>
                <w:rFonts w:hint="default" w:ascii="Times New Roman" w:hAnsi="Times New Roman" w:cs="Times New Roman"/>
                <w:color w:val="auto"/>
              </w:rPr>
            </w:pPr>
          </w:p>
        </w:tc>
        <w:tc>
          <w:tcPr>
            <w:tcW w:w="605" w:type="pct"/>
            <w:tcMar>
              <w:top w:w="90" w:type="dxa"/>
              <w:left w:w="90" w:type="dxa"/>
              <w:bottom w:w="90" w:type="dxa"/>
              <w:right w:w="90" w:type="dxa"/>
            </w:tcMar>
            <w:vAlign w:val="center"/>
          </w:tcPr>
          <w:p w14:paraId="77D46260">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5"/>
              </w:rPr>
              <w:t>6 months</w:t>
            </w:r>
          </w:p>
        </w:tc>
        <w:tc>
          <w:tcPr>
            <w:tcW w:w="1731" w:type="pct"/>
            <w:tcMar>
              <w:top w:w="90" w:type="dxa"/>
              <w:left w:w="90" w:type="dxa"/>
              <w:bottom w:w="90" w:type="dxa"/>
              <w:right w:w="90" w:type="dxa"/>
            </w:tcMar>
            <w:vAlign w:val="center"/>
          </w:tcPr>
          <w:p w14:paraId="2042618C">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5"/>
              </w:rPr>
              <w:t>-0.02 (-0.05 to 0.01)</w:t>
            </w:r>
          </w:p>
        </w:tc>
        <w:tc>
          <w:tcPr>
            <w:tcW w:w="866" w:type="pct"/>
            <w:tcMar>
              <w:top w:w="90" w:type="dxa"/>
              <w:left w:w="90" w:type="dxa"/>
              <w:bottom w:w="90" w:type="dxa"/>
              <w:right w:w="90" w:type="dxa"/>
            </w:tcMar>
            <w:vAlign w:val="center"/>
          </w:tcPr>
          <w:p w14:paraId="4CA7277E">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5"/>
              </w:rPr>
              <w:t>0.114</w:t>
            </w:r>
          </w:p>
        </w:tc>
        <w:tc>
          <w:tcPr>
            <w:tcW w:w="973" w:type="pct"/>
            <w:tcMar>
              <w:top w:w="90" w:type="dxa"/>
              <w:left w:w="90" w:type="dxa"/>
              <w:bottom w:w="90" w:type="dxa"/>
              <w:right w:w="90" w:type="dxa"/>
            </w:tcMar>
            <w:vAlign w:val="center"/>
          </w:tcPr>
          <w:p w14:paraId="114520EB">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5"/>
              </w:rPr>
              <w:t>0.343</w:t>
            </w:r>
          </w:p>
        </w:tc>
      </w:tr>
      <w:tr w14:paraId="0B8F873F">
        <w:tblPrEx>
          <w:tblBorders>
            <w:top w:val="single" w:color="000000" w:sz="12" w:space="0"/>
            <w:left w:val="none" w:color="000000" w:sz="0" w:space="0"/>
            <w:bottom w:val="single" w:color="000000" w:sz="12" w:space="0"/>
            <w:right w:val="none" w:color="000000" w:sz="0" w:space="0"/>
            <w:insideH w:val="none" w:color="000000" w:sz="0" w:space="0"/>
            <w:insideV w:val="none" w:color="000000" w:sz="0" w:space="0"/>
          </w:tblBorders>
          <w:tblCellMar>
            <w:top w:w="0" w:type="dxa"/>
            <w:left w:w="108" w:type="dxa"/>
            <w:bottom w:w="0" w:type="dxa"/>
            <w:right w:w="108" w:type="dxa"/>
          </w:tblCellMar>
        </w:tblPrEx>
        <w:trPr>
          <w:jc w:val="center"/>
        </w:trPr>
        <w:tc>
          <w:tcPr>
            <w:tcW w:w="822" w:type="pct"/>
            <w:tcMar>
              <w:top w:w="90" w:type="dxa"/>
              <w:left w:w="90" w:type="dxa"/>
              <w:bottom w:w="90" w:type="dxa"/>
              <w:right w:w="90" w:type="dxa"/>
            </w:tcMar>
            <w:vAlign w:val="center"/>
          </w:tcPr>
          <w:p w14:paraId="25C8A02B">
            <w:pPr>
              <w:spacing w:before="0" w:after="0"/>
              <w:jc w:val="left"/>
              <w:rPr>
                <w:rFonts w:hint="default" w:ascii="Times New Roman" w:hAnsi="Times New Roman" w:cs="Times New Roman"/>
                <w:color w:val="auto"/>
              </w:rPr>
            </w:pPr>
          </w:p>
        </w:tc>
        <w:tc>
          <w:tcPr>
            <w:tcW w:w="605" w:type="pct"/>
            <w:tcMar>
              <w:top w:w="90" w:type="dxa"/>
              <w:left w:w="90" w:type="dxa"/>
              <w:bottom w:w="90" w:type="dxa"/>
              <w:right w:w="90" w:type="dxa"/>
            </w:tcMar>
            <w:vAlign w:val="center"/>
          </w:tcPr>
          <w:p w14:paraId="1E9D16B6">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5"/>
              </w:rPr>
              <w:t>12 months</w:t>
            </w:r>
          </w:p>
        </w:tc>
        <w:tc>
          <w:tcPr>
            <w:tcW w:w="1731" w:type="pct"/>
            <w:tcMar>
              <w:top w:w="90" w:type="dxa"/>
              <w:left w:w="90" w:type="dxa"/>
              <w:bottom w:w="90" w:type="dxa"/>
              <w:right w:w="90" w:type="dxa"/>
            </w:tcMar>
            <w:vAlign w:val="center"/>
          </w:tcPr>
          <w:p w14:paraId="707ACF0C">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5"/>
              </w:rPr>
              <w:t>-0.02 (-0.05 to 0.01)</w:t>
            </w:r>
          </w:p>
        </w:tc>
        <w:tc>
          <w:tcPr>
            <w:tcW w:w="866" w:type="pct"/>
            <w:tcMar>
              <w:top w:w="90" w:type="dxa"/>
              <w:left w:w="90" w:type="dxa"/>
              <w:bottom w:w="90" w:type="dxa"/>
              <w:right w:w="90" w:type="dxa"/>
            </w:tcMar>
            <w:vAlign w:val="center"/>
          </w:tcPr>
          <w:p w14:paraId="3E103E03">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5"/>
              </w:rPr>
              <w:t>0.283</w:t>
            </w:r>
          </w:p>
        </w:tc>
        <w:tc>
          <w:tcPr>
            <w:tcW w:w="973" w:type="pct"/>
            <w:tcMar>
              <w:top w:w="90" w:type="dxa"/>
              <w:left w:w="90" w:type="dxa"/>
              <w:bottom w:w="90" w:type="dxa"/>
              <w:right w:w="90" w:type="dxa"/>
            </w:tcMar>
            <w:vAlign w:val="center"/>
          </w:tcPr>
          <w:p w14:paraId="41E5DC7A">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5"/>
              </w:rPr>
              <w:t>0.566</w:t>
            </w:r>
          </w:p>
        </w:tc>
      </w:tr>
    </w:tbl>
    <w:p w14:paraId="5F2A4D9D">
      <w:pPr>
        <w:rPr>
          <w:rFonts w:hint="default" w:ascii="Times New Roman" w:hAnsi="Times New Roman" w:cs="Times New Roman"/>
          <w:i w:val="0"/>
          <w:iCs/>
          <w:color w:val="auto"/>
          <w:sz w:val="16"/>
          <w:szCs w:val="16"/>
        </w:rPr>
      </w:pPr>
      <w:r>
        <w:rPr>
          <w:rFonts w:hint="default" w:ascii="Times New Roman" w:hAnsi="Times New Roman" w:cs="Times New Roman"/>
          <w:i w:val="0"/>
          <w:iCs/>
          <w:color w:val="auto"/>
          <w:sz w:val="16"/>
          <w:szCs w:val="16"/>
        </w:rPr>
        <w:t>Differences are Nav-UBE-TLIF minus Fluoro-UBE-TLIF. Negative VAS/ODI differences and positive EQ-5D-5L differences favor navigation. Holm adjustment was applied within each PROM across postoperative timepoint contrasts; 12 months was the principal clinical interpretation.</w:t>
      </w:r>
    </w:p>
    <w:p w14:paraId="1537A6D5">
      <w:pPr>
        <w:rPr>
          <w:rFonts w:hint="default" w:ascii="Times New Roman" w:hAnsi="Times New Roman" w:cs="Times New Roman"/>
          <w:i w:val="0"/>
          <w:iCs/>
          <w:color w:val="auto"/>
          <w:sz w:val="16"/>
          <w:szCs w:val="16"/>
        </w:rPr>
      </w:pPr>
      <w:r>
        <w:rPr>
          <w:rFonts w:hint="default" w:ascii="Times New Roman" w:hAnsi="Times New Roman" w:cs="Times New Roman"/>
          <w:i w:val="0"/>
          <w:iCs/>
          <w:color w:val="auto"/>
          <w:sz w:val="16"/>
          <w:szCs w:val="16"/>
        </w:rPr>
        <w:br w:type="page"/>
      </w:r>
    </w:p>
    <w:p w14:paraId="4433F727">
      <w:pPr>
        <w:pStyle w:val="4"/>
        <w:keepNext/>
        <w:rPr>
          <w:rFonts w:hint="default" w:ascii="Times New Roman" w:hAnsi="Times New Roman" w:cs="Times New Roman"/>
          <w:color w:val="auto"/>
        </w:rPr>
      </w:pPr>
      <w:r>
        <w:rPr>
          <w:rFonts w:hint="default" w:ascii="Times New Roman" w:hAnsi="Times New Roman" w:cs="Times New Roman"/>
          <w:i w:val="0"/>
          <w:color w:val="auto"/>
        </w:rPr>
        <w:t>Supplementary Table 3. Published MCID Thresholds and Clinical Interpretation of Adjusted 12-Month Between-Group Differences</w:t>
      </w:r>
    </w:p>
    <w:tbl>
      <w:tblPr>
        <w:tblStyle w:val="32"/>
        <w:tblW w:w="4998" w:type="pct"/>
        <w:jc w:val="center"/>
        <w:tblBorders>
          <w:top w:val="single" w:color="000000" w:sz="12" w:space="0"/>
          <w:left w:val="none" w:color="000000" w:sz="0" w:space="0"/>
          <w:bottom w:val="single" w:color="000000" w:sz="12" w:space="0"/>
          <w:right w:val="none" w:color="000000" w:sz="0" w:space="0"/>
          <w:insideH w:val="none" w:color="000000" w:sz="0" w:space="0"/>
          <w:insideV w:val="none" w:color="000000" w:sz="0" w:space="0"/>
        </w:tblBorders>
        <w:tblLayout w:type="autofit"/>
        <w:tblCellMar>
          <w:top w:w="0" w:type="dxa"/>
          <w:left w:w="108" w:type="dxa"/>
          <w:bottom w:w="0" w:type="dxa"/>
          <w:right w:w="108" w:type="dxa"/>
        </w:tblCellMar>
      </w:tblPr>
      <w:tblGrid>
        <w:gridCol w:w="875"/>
        <w:gridCol w:w="875"/>
        <w:gridCol w:w="985"/>
        <w:gridCol w:w="786"/>
        <w:gridCol w:w="1373"/>
        <w:gridCol w:w="1373"/>
        <w:gridCol w:w="979"/>
        <w:gridCol w:w="1177"/>
        <w:gridCol w:w="1725"/>
      </w:tblGrid>
      <w:tr w14:paraId="0931983A">
        <w:tblPrEx>
          <w:tblBorders>
            <w:top w:val="single" w:color="000000" w:sz="12" w:space="0"/>
            <w:left w:val="none" w:color="000000" w:sz="0" w:space="0"/>
            <w:bottom w:val="single" w:color="000000" w:sz="12" w:space="0"/>
            <w:right w:val="none" w:color="000000" w:sz="0" w:space="0"/>
            <w:insideH w:val="none" w:color="000000" w:sz="0" w:space="0"/>
            <w:insideV w:val="none" w:color="000000" w:sz="0" w:space="0"/>
          </w:tblBorders>
          <w:tblCellMar>
            <w:top w:w="0" w:type="dxa"/>
            <w:left w:w="108" w:type="dxa"/>
            <w:bottom w:w="0" w:type="dxa"/>
            <w:right w:w="108" w:type="dxa"/>
          </w:tblCellMar>
        </w:tblPrEx>
        <w:trPr>
          <w:tblHeader/>
          <w:jc w:val="center"/>
        </w:trPr>
        <w:tc>
          <w:tcPr>
            <w:tcW w:w="431" w:type="pct"/>
            <w:tcBorders>
              <w:bottom w:val="single" w:color="000000" w:sz="8" w:space="0"/>
            </w:tcBorders>
            <w:tcMar>
              <w:top w:w="90" w:type="dxa"/>
              <w:left w:w="90" w:type="dxa"/>
              <w:bottom w:w="90" w:type="dxa"/>
              <w:right w:w="90" w:type="dxa"/>
            </w:tcMar>
            <w:vAlign w:val="center"/>
          </w:tcPr>
          <w:p w14:paraId="6767F76A">
            <w:pPr>
              <w:spacing w:before="0" w:after="0"/>
              <w:jc w:val="center"/>
              <w:rPr>
                <w:rFonts w:hint="default" w:ascii="Times New Roman" w:hAnsi="Times New Roman" w:cs="Times New Roman"/>
                <w:color w:val="auto"/>
              </w:rPr>
            </w:pPr>
            <w:r>
              <w:rPr>
                <w:rFonts w:hint="default" w:ascii="Times New Roman" w:hAnsi="Times New Roman" w:cs="Times New Roman"/>
                <w:b/>
                <w:color w:val="auto"/>
                <w:sz w:val="12"/>
              </w:rPr>
              <w:t>Outcome</w:t>
            </w:r>
          </w:p>
        </w:tc>
        <w:tc>
          <w:tcPr>
            <w:tcW w:w="431" w:type="pct"/>
            <w:tcBorders>
              <w:bottom w:val="single" w:color="000000" w:sz="8" w:space="0"/>
            </w:tcBorders>
            <w:tcMar>
              <w:top w:w="90" w:type="dxa"/>
              <w:left w:w="90" w:type="dxa"/>
              <w:bottom w:w="90" w:type="dxa"/>
              <w:right w:w="90" w:type="dxa"/>
            </w:tcMar>
            <w:vAlign w:val="center"/>
          </w:tcPr>
          <w:p w14:paraId="7DDACD42">
            <w:pPr>
              <w:spacing w:before="0" w:after="0"/>
              <w:jc w:val="center"/>
              <w:rPr>
                <w:rFonts w:hint="default" w:ascii="Times New Roman" w:hAnsi="Times New Roman" w:cs="Times New Roman"/>
                <w:color w:val="auto"/>
              </w:rPr>
            </w:pPr>
            <w:r>
              <w:rPr>
                <w:rFonts w:hint="default" w:ascii="Times New Roman" w:hAnsi="Times New Roman" w:cs="Times New Roman"/>
                <w:b/>
                <w:color w:val="auto"/>
                <w:sz w:val="12"/>
              </w:rPr>
              <w:t>Selected MCID threshold</w:t>
            </w:r>
          </w:p>
        </w:tc>
        <w:tc>
          <w:tcPr>
            <w:tcW w:w="485" w:type="pct"/>
            <w:tcBorders>
              <w:bottom w:val="single" w:color="000000" w:sz="8" w:space="0"/>
            </w:tcBorders>
            <w:tcMar>
              <w:top w:w="90" w:type="dxa"/>
              <w:left w:w="90" w:type="dxa"/>
              <w:bottom w:w="90" w:type="dxa"/>
              <w:right w:w="90" w:type="dxa"/>
            </w:tcMar>
            <w:vAlign w:val="center"/>
          </w:tcPr>
          <w:p w14:paraId="4F711C8D">
            <w:pPr>
              <w:spacing w:before="0" w:after="0"/>
              <w:jc w:val="center"/>
              <w:rPr>
                <w:rFonts w:hint="default" w:ascii="Times New Roman" w:hAnsi="Times New Roman" w:cs="Times New Roman"/>
                <w:color w:val="auto"/>
              </w:rPr>
            </w:pPr>
            <w:r>
              <w:rPr>
                <w:rFonts w:hint="default" w:ascii="Times New Roman" w:hAnsi="Times New Roman" w:cs="Times New Roman"/>
                <w:b/>
                <w:color w:val="auto"/>
                <w:sz w:val="12"/>
              </w:rPr>
              <w:t>Direction of clinically important improvement</w:t>
            </w:r>
          </w:p>
        </w:tc>
        <w:tc>
          <w:tcPr>
            <w:tcW w:w="387" w:type="pct"/>
            <w:tcBorders>
              <w:bottom w:val="single" w:color="000000" w:sz="8" w:space="0"/>
            </w:tcBorders>
            <w:tcMar>
              <w:top w:w="90" w:type="dxa"/>
              <w:left w:w="90" w:type="dxa"/>
              <w:bottom w:w="90" w:type="dxa"/>
              <w:right w:w="90" w:type="dxa"/>
            </w:tcMar>
            <w:vAlign w:val="center"/>
          </w:tcPr>
          <w:p w14:paraId="490611AC">
            <w:pPr>
              <w:spacing w:before="0" w:after="0"/>
              <w:jc w:val="center"/>
              <w:rPr>
                <w:rFonts w:hint="default" w:ascii="Times New Roman" w:hAnsi="Times New Roman" w:cs="Times New Roman"/>
                <w:color w:val="auto"/>
              </w:rPr>
            </w:pPr>
            <w:r>
              <w:rPr>
                <w:rFonts w:hint="default" w:ascii="Times New Roman" w:hAnsi="Times New Roman" w:cs="Times New Roman"/>
                <w:b/>
                <w:color w:val="auto"/>
                <w:sz w:val="12"/>
              </w:rPr>
              <w:t>Reference</w:t>
            </w:r>
          </w:p>
        </w:tc>
        <w:tc>
          <w:tcPr>
            <w:tcW w:w="676" w:type="pct"/>
            <w:tcBorders>
              <w:bottom w:val="single" w:color="000000" w:sz="8" w:space="0"/>
            </w:tcBorders>
            <w:tcMar>
              <w:top w:w="90" w:type="dxa"/>
              <w:left w:w="90" w:type="dxa"/>
              <w:bottom w:w="90" w:type="dxa"/>
              <w:right w:w="90" w:type="dxa"/>
            </w:tcMar>
            <w:vAlign w:val="center"/>
          </w:tcPr>
          <w:p w14:paraId="6804A244">
            <w:pPr>
              <w:spacing w:before="0" w:after="0"/>
              <w:jc w:val="center"/>
              <w:rPr>
                <w:rFonts w:hint="default" w:ascii="Times New Roman" w:hAnsi="Times New Roman" w:cs="Times New Roman"/>
                <w:color w:val="auto"/>
              </w:rPr>
            </w:pPr>
            <w:r>
              <w:rPr>
                <w:rFonts w:hint="default" w:ascii="Times New Roman" w:hAnsi="Times New Roman" w:cs="Times New Roman"/>
                <w:b/>
                <w:color w:val="auto"/>
                <w:sz w:val="12"/>
              </w:rPr>
              <w:t>MCID derivation method</w:t>
            </w:r>
          </w:p>
        </w:tc>
        <w:tc>
          <w:tcPr>
            <w:tcW w:w="676" w:type="pct"/>
            <w:tcBorders>
              <w:bottom w:val="single" w:color="000000" w:sz="8" w:space="0"/>
            </w:tcBorders>
            <w:tcMar>
              <w:top w:w="90" w:type="dxa"/>
              <w:left w:w="90" w:type="dxa"/>
              <w:bottom w:w="90" w:type="dxa"/>
              <w:right w:w="90" w:type="dxa"/>
            </w:tcMar>
            <w:vAlign w:val="center"/>
          </w:tcPr>
          <w:p w14:paraId="417E4085">
            <w:pPr>
              <w:spacing w:before="0" w:after="0"/>
              <w:jc w:val="center"/>
              <w:rPr>
                <w:rFonts w:hint="default" w:ascii="Times New Roman" w:hAnsi="Times New Roman" w:cs="Times New Roman"/>
                <w:color w:val="auto"/>
              </w:rPr>
            </w:pPr>
            <w:r>
              <w:rPr>
                <w:rFonts w:hint="default" w:ascii="Times New Roman" w:hAnsi="Times New Roman" w:cs="Times New Roman"/>
                <w:b/>
                <w:color w:val="auto"/>
                <w:sz w:val="12"/>
              </w:rPr>
              <w:t>Adjusted 12-month between-group difference</w:t>
            </w:r>
          </w:p>
        </w:tc>
        <w:tc>
          <w:tcPr>
            <w:tcW w:w="482" w:type="pct"/>
            <w:tcBorders>
              <w:bottom w:val="single" w:color="000000" w:sz="8" w:space="0"/>
            </w:tcBorders>
            <w:tcMar>
              <w:top w:w="90" w:type="dxa"/>
              <w:left w:w="90" w:type="dxa"/>
              <w:bottom w:w="90" w:type="dxa"/>
              <w:right w:w="90" w:type="dxa"/>
            </w:tcMar>
            <w:vAlign w:val="center"/>
          </w:tcPr>
          <w:p w14:paraId="76CC4986">
            <w:pPr>
              <w:spacing w:before="0" w:after="0"/>
              <w:jc w:val="center"/>
              <w:rPr>
                <w:rFonts w:hint="default" w:ascii="Times New Roman" w:hAnsi="Times New Roman" w:cs="Times New Roman"/>
                <w:color w:val="auto"/>
              </w:rPr>
            </w:pPr>
            <w:r>
              <w:rPr>
                <w:rFonts w:hint="default" w:ascii="Times New Roman" w:hAnsi="Times New Roman" w:cs="Times New Roman"/>
                <w:b/>
                <w:color w:val="auto"/>
                <w:sz w:val="12"/>
              </w:rPr>
              <w:t>95% CI</w:t>
            </w:r>
          </w:p>
        </w:tc>
        <w:tc>
          <w:tcPr>
            <w:tcW w:w="579" w:type="pct"/>
            <w:tcBorders>
              <w:bottom w:val="single" w:color="000000" w:sz="8" w:space="0"/>
            </w:tcBorders>
            <w:tcMar>
              <w:top w:w="90" w:type="dxa"/>
              <w:left w:w="90" w:type="dxa"/>
              <w:bottom w:w="90" w:type="dxa"/>
              <w:right w:w="90" w:type="dxa"/>
            </w:tcMar>
            <w:vAlign w:val="center"/>
          </w:tcPr>
          <w:p w14:paraId="62DEBFC5">
            <w:pPr>
              <w:spacing w:before="0" w:after="0"/>
              <w:jc w:val="center"/>
              <w:rPr>
                <w:rFonts w:hint="default" w:ascii="Times New Roman" w:hAnsi="Times New Roman" w:cs="Times New Roman"/>
                <w:color w:val="auto"/>
              </w:rPr>
            </w:pPr>
            <w:r>
              <w:rPr>
                <w:rFonts w:hint="default" w:ascii="Times New Roman" w:hAnsi="Times New Roman" w:cs="Times New Roman"/>
                <w:b/>
                <w:color w:val="auto"/>
                <w:sz w:val="12"/>
              </w:rPr>
              <w:t>Magnitude relative to MCID benchmark</w:t>
            </w:r>
          </w:p>
        </w:tc>
        <w:tc>
          <w:tcPr>
            <w:tcW w:w="849" w:type="pct"/>
            <w:tcBorders>
              <w:bottom w:val="single" w:color="000000" w:sz="8" w:space="0"/>
            </w:tcBorders>
            <w:tcMar>
              <w:top w:w="90" w:type="dxa"/>
              <w:left w:w="90" w:type="dxa"/>
              <w:bottom w:w="90" w:type="dxa"/>
              <w:right w:w="90" w:type="dxa"/>
            </w:tcMar>
            <w:vAlign w:val="center"/>
          </w:tcPr>
          <w:p w14:paraId="17998AA4">
            <w:pPr>
              <w:spacing w:before="0" w:after="0"/>
              <w:jc w:val="center"/>
              <w:rPr>
                <w:rFonts w:hint="default" w:ascii="Times New Roman" w:hAnsi="Times New Roman" w:cs="Times New Roman"/>
                <w:color w:val="auto"/>
              </w:rPr>
            </w:pPr>
            <w:r>
              <w:rPr>
                <w:rFonts w:hint="default" w:ascii="Times New Roman" w:hAnsi="Times New Roman" w:cs="Times New Roman"/>
                <w:b/>
                <w:color w:val="auto"/>
                <w:sz w:val="12"/>
              </w:rPr>
              <w:t>Clinical interpretation</w:t>
            </w:r>
          </w:p>
        </w:tc>
      </w:tr>
      <w:tr w14:paraId="1A998496">
        <w:tblPrEx>
          <w:tblBorders>
            <w:top w:val="single" w:color="000000" w:sz="12" w:space="0"/>
            <w:left w:val="none" w:color="000000" w:sz="0" w:space="0"/>
            <w:bottom w:val="single" w:color="000000" w:sz="12" w:space="0"/>
            <w:right w:val="none" w:color="000000" w:sz="0" w:space="0"/>
            <w:insideH w:val="none" w:color="000000" w:sz="0" w:space="0"/>
            <w:insideV w:val="none" w:color="000000" w:sz="0" w:space="0"/>
          </w:tblBorders>
          <w:tblCellMar>
            <w:top w:w="0" w:type="dxa"/>
            <w:left w:w="108" w:type="dxa"/>
            <w:bottom w:w="0" w:type="dxa"/>
            <w:right w:w="108" w:type="dxa"/>
          </w:tblCellMar>
        </w:tblPrEx>
        <w:trPr>
          <w:jc w:val="center"/>
        </w:trPr>
        <w:tc>
          <w:tcPr>
            <w:tcW w:w="431" w:type="pct"/>
            <w:tcMar>
              <w:top w:w="90" w:type="dxa"/>
              <w:left w:w="90" w:type="dxa"/>
              <w:bottom w:w="90" w:type="dxa"/>
              <w:right w:w="90" w:type="dxa"/>
            </w:tcMar>
            <w:vAlign w:val="center"/>
          </w:tcPr>
          <w:p w14:paraId="64C24A76">
            <w:pPr>
              <w:spacing w:before="0" w:after="0"/>
              <w:jc w:val="left"/>
              <w:rPr>
                <w:rFonts w:hint="default" w:ascii="Times New Roman" w:hAnsi="Times New Roman" w:cs="Times New Roman"/>
                <w:color w:val="auto"/>
              </w:rPr>
            </w:pPr>
            <w:r>
              <w:rPr>
                <w:rFonts w:hint="default" w:ascii="Times New Roman" w:hAnsi="Times New Roman" w:cs="Times New Roman"/>
                <w:b w:val="0"/>
                <w:color w:val="auto"/>
                <w:sz w:val="12"/>
              </w:rPr>
              <w:t>VAS back pain</w:t>
            </w:r>
          </w:p>
        </w:tc>
        <w:tc>
          <w:tcPr>
            <w:tcW w:w="431" w:type="pct"/>
            <w:tcMar>
              <w:top w:w="90" w:type="dxa"/>
              <w:left w:w="90" w:type="dxa"/>
              <w:bottom w:w="90" w:type="dxa"/>
              <w:right w:w="90" w:type="dxa"/>
            </w:tcMar>
            <w:vAlign w:val="center"/>
          </w:tcPr>
          <w:p w14:paraId="6111E2F3">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2"/>
              </w:rPr>
              <w:t>1.2 points</w:t>
            </w:r>
          </w:p>
        </w:tc>
        <w:tc>
          <w:tcPr>
            <w:tcW w:w="485" w:type="pct"/>
            <w:tcMar>
              <w:top w:w="90" w:type="dxa"/>
              <w:left w:w="90" w:type="dxa"/>
              <w:bottom w:w="90" w:type="dxa"/>
              <w:right w:w="90" w:type="dxa"/>
            </w:tcMar>
            <w:vAlign w:val="center"/>
          </w:tcPr>
          <w:p w14:paraId="68EE5D76">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2"/>
              </w:rPr>
              <w:t>Decrease</w:t>
            </w:r>
          </w:p>
        </w:tc>
        <w:tc>
          <w:tcPr>
            <w:tcW w:w="387" w:type="pct"/>
            <w:tcMar>
              <w:top w:w="90" w:type="dxa"/>
              <w:left w:w="90" w:type="dxa"/>
              <w:bottom w:w="90" w:type="dxa"/>
              <w:right w:w="90" w:type="dxa"/>
            </w:tcMar>
            <w:vAlign w:val="center"/>
          </w:tcPr>
          <w:p w14:paraId="7D089A89">
            <w:pPr>
              <w:spacing w:before="0" w:after="0"/>
              <w:jc w:val="left"/>
              <w:rPr>
                <w:rFonts w:hint="default" w:ascii="Times New Roman" w:hAnsi="Times New Roman" w:cs="Times New Roman"/>
                <w:color w:val="auto"/>
              </w:rPr>
            </w:pPr>
            <w:r>
              <w:rPr>
                <w:rFonts w:hint="default" w:ascii="Times New Roman" w:hAnsi="Times New Roman" w:cs="Times New Roman"/>
                <w:b w:val="0"/>
                <w:color w:val="auto"/>
                <w:sz w:val="12"/>
              </w:rPr>
              <w:t xml:space="preserve">Copay et al., 2008 </w:t>
            </w:r>
          </w:p>
        </w:tc>
        <w:tc>
          <w:tcPr>
            <w:tcW w:w="676" w:type="pct"/>
            <w:tcMar>
              <w:top w:w="90" w:type="dxa"/>
              <w:left w:w="90" w:type="dxa"/>
              <w:bottom w:w="90" w:type="dxa"/>
              <w:right w:w="90" w:type="dxa"/>
            </w:tcMar>
            <w:vAlign w:val="center"/>
          </w:tcPr>
          <w:p w14:paraId="12457BBA">
            <w:pPr>
              <w:spacing w:before="0" w:after="0"/>
              <w:jc w:val="left"/>
              <w:rPr>
                <w:rFonts w:hint="default" w:ascii="Times New Roman" w:hAnsi="Times New Roman" w:cs="Times New Roman"/>
                <w:color w:val="auto"/>
              </w:rPr>
            </w:pPr>
            <w:r>
              <w:rPr>
                <w:rFonts w:hint="default" w:ascii="Times New Roman" w:hAnsi="Times New Roman" w:cs="Times New Roman"/>
                <w:b w:val="0"/>
                <w:color w:val="auto"/>
                <w:sz w:val="12"/>
              </w:rPr>
              <w:t>Anchor- and distribution-based methods</w:t>
            </w:r>
          </w:p>
        </w:tc>
        <w:tc>
          <w:tcPr>
            <w:tcW w:w="676" w:type="pct"/>
            <w:tcMar>
              <w:top w:w="90" w:type="dxa"/>
              <w:left w:w="90" w:type="dxa"/>
              <w:bottom w:w="90" w:type="dxa"/>
              <w:right w:w="90" w:type="dxa"/>
            </w:tcMar>
            <w:vAlign w:val="center"/>
          </w:tcPr>
          <w:p w14:paraId="247149E5">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2"/>
              </w:rPr>
              <w:t>0.03</w:t>
            </w:r>
          </w:p>
        </w:tc>
        <w:tc>
          <w:tcPr>
            <w:tcW w:w="482" w:type="pct"/>
            <w:tcMar>
              <w:top w:w="90" w:type="dxa"/>
              <w:left w:w="90" w:type="dxa"/>
              <w:bottom w:w="90" w:type="dxa"/>
              <w:right w:w="90" w:type="dxa"/>
            </w:tcMar>
            <w:vAlign w:val="center"/>
          </w:tcPr>
          <w:p w14:paraId="79BF8335">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2"/>
              </w:rPr>
              <w:t>-0.29 to 0.35</w:t>
            </w:r>
          </w:p>
        </w:tc>
        <w:tc>
          <w:tcPr>
            <w:tcW w:w="579" w:type="pct"/>
            <w:tcMar>
              <w:top w:w="90" w:type="dxa"/>
              <w:left w:w="90" w:type="dxa"/>
              <w:bottom w:w="90" w:type="dxa"/>
              <w:right w:w="90" w:type="dxa"/>
            </w:tcMar>
            <w:vAlign w:val="center"/>
          </w:tcPr>
          <w:p w14:paraId="4726C30E">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2"/>
              </w:rPr>
              <w:t>Below the selected MCID benchmark</w:t>
            </w:r>
          </w:p>
        </w:tc>
        <w:tc>
          <w:tcPr>
            <w:tcW w:w="849" w:type="pct"/>
            <w:tcMar>
              <w:top w:w="90" w:type="dxa"/>
              <w:left w:w="90" w:type="dxa"/>
              <w:bottom w:w="90" w:type="dxa"/>
              <w:right w:w="90" w:type="dxa"/>
            </w:tcMar>
            <w:vAlign w:val="center"/>
          </w:tcPr>
          <w:p w14:paraId="054FBEA4">
            <w:pPr>
              <w:spacing w:before="0" w:after="0"/>
              <w:jc w:val="left"/>
              <w:rPr>
                <w:rFonts w:hint="default" w:ascii="Times New Roman" w:hAnsi="Times New Roman" w:cs="Times New Roman"/>
                <w:color w:val="auto"/>
              </w:rPr>
            </w:pPr>
            <w:r>
              <w:rPr>
                <w:rFonts w:hint="default" w:ascii="Times New Roman" w:hAnsi="Times New Roman" w:cs="Times New Roman"/>
                <w:b w:val="0"/>
                <w:color w:val="auto"/>
                <w:sz w:val="12"/>
              </w:rPr>
              <w:t>The adjusted between-group difference was smaller than the selected literature-derived MCID benchmark and did not indicate a clear clinically important advantage at 12 months.</w:t>
            </w:r>
          </w:p>
        </w:tc>
      </w:tr>
      <w:tr w14:paraId="1A716E1A">
        <w:tblPrEx>
          <w:tblBorders>
            <w:top w:val="single" w:color="000000" w:sz="12" w:space="0"/>
            <w:left w:val="none" w:color="000000" w:sz="0" w:space="0"/>
            <w:bottom w:val="single" w:color="000000" w:sz="12" w:space="0"/>
            <w:right w:val="none" w:color="000000" w:sz="0" w:space="0"/>
            <w:insideH w:val="none" w:color="000000" w:sz="0" w:space="0"/>
            <w:insideV w:val="none" w:color="000000" w:sz="0" w:space="0"/>
          </w:tblBorders>
          <w:tblCellMar>
            <w:top w:w="0" w:type="dxa"/>
            <w:left w:w="108" w:type="dxa"/>
            <w:bottom w:w="0" w:type="dxa"/>
            <w:right w:w="108" w:type="dxa"/>
          </w:tblCellMar>
        </w:tblPrEx>
        <w:trPr>
          <w:jc w:val="center"/>
        </w:trPr>
        <w:tc>
          <w:tcPr>
            <w:tcW w:w="431" w:type="pct"/>
            <w:tcMar>
              <w:top w:w="90" w:type="dxa"/>
              <w:left w:w="90" w:type="dxa"/>
              <w:bottom w:w="90" w:type="dxa"/>
              <w:right w:w="90" w:type="dxa"/>
            </w:tcMar>
            <w:vAlign w:val="center"/>
          </w:tcPr>
          <w:p w14:paraId="54405326">
            <w:pPr>
              <w:spacing w:before="0" w:after="0"/>
              <w:jc w:val="left"/>
              <w:rPr>
                <w:rFonts w:hint="default" w:ascii="Times New Roman" w:hAnsi="Times New Roman" w:cs="Times New Roman"/>
                <w:color w:val="auto"/>
              </w:rPr>
            </w:pPr>
            <w:r>
              <w:rPr>
                <w:rFonts w:hint="default" w:ascii="Times New Roman" w:hAnsi="Times New Roman" w:cs="Times New Roman"/>
                <w:b w:val="0"/>
                <w:color w:val="auto"/>
                <w:sz w:val="12"/>
              </w:rPr>
              <w:t>VAS leg pain</w:t>
            </w:r>
          </w:p>
        </w:tc>
        <w:tc>
          <w:tcPr>
            <w:tcW w:w="431" w:type="pct"/>
            <w:tcMar>
              <w:top w:w="90" w:type="dxa"/>
              <w:left w:w="90" w:type="dxa"/>
              <w:bottom w:w="90" w:type="dxa"/>
              <w:right w:w="90" w:type="dxa"/>
            </w:tcMar>
            <w:vAlign w:val="center"/>
          </w:tcPr>
          <w:p w14:paraId="20860696">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2"/>
              </w:rPr>
              <w:t>1.6 points</w:t>
            </w:r>
          </w:p>
        </w:tc>
        <w:tc>
          <w:tcPr>
            <w:tcW w:w="485" w:type="pct"/>
            <w:tcMar>
              <w:top w:w="90" w:type="dxa"/>
              <w:left w:w="90" w:type="dxa"/>
              <w:bottom w:w="90" w:type="dxa"/>
              <w:right w:w="90" w:type="dxa"/>
            </w:tcMar>
            <w:vAlign w:val="center"/>
          </w:tcPr>
          <w:p w14:paraId="15220AD8">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2"/>
              </w:rPr>
              <w:t>Decrease</w:t>
            </w:r>
          </w:p>
        </w:tc>
        <w:tc>
          <w:tcPr>
            <w:tcW w:w="387" w:type="pct"/>
            <w:tcMar>
              <w:top w:w="90" w:type="dxa"/>
              <w:left w:w="90" w:type="dxa"/>
              <w:bottom w:w="90" w:type="dxa"/>
              <w:right w:w="90" w:type="dxa"/>
            </w:tcMar>
            <w:vAlign w:val="center"/>
          </w:tcPr>
          <w:p w14:paraId="37F868D9">
            <w:pPr>
              <w:spacing w:before="0" w:after="0"/>
              <w:jc w:val="left"/>
              <w:rPr>
                <w:rFonts w:hint="default" w:ascii="Times New Roman" w:hAnsi="Times New Roman" w:cs="Times New Roman"/>
                <w:color w:val="auto"/>
              </w:rPr>
            </w:pPr>
            <w:r>
              <w:rPr>
                <w:rFonts w:hint="default" w:ascii="Times New Roman" w:hAnsi="Times New Roman" w:cs="Times New Roman"/>
                <w:b w:val="0"/>
                <w:color w:val="auto"/>
                <w:sz w:val="12"/>
              </w:rPr>
              <w:t xml:space="preserve">Copay et al., 2008 </w:t>
            </w:r>
          </w:p>
        </w:tc>
        <w:tc>
          <w:tcPr>
            <w:tcW w:w="676" w:type="pct"/>
            <w:tcMar>
              <w:top w:w="90" w:type="dxa"/>
              <w:left w:w="90" w:type="dxa"/>
              <w:bottom w:w="90" w:type="dxa"/>
              <w:right w:w="90" w:type="dxa"/>
            </w:tcMar>
            <w:vAlign w:val="center"/>
          </w:tcPr>
          <w:p w14:paraId="13416173">
            <w:pPr>
              <w:spacing w:before="0" w:after="0"/>
              <w:jc w:val="left"/>
              <w:rPr>
                <w:rFonts w:hint="default" w:ascii="Times New Roman" w:hAnsi="Times New Roman" w:cs="Times New Roman"/>
                <w:color w:val="auto"/>
              </w:rPr>
            </w:pPr>
            <w:r>
              <w:rPr>
                <w:rFonts w:hint="default" w:ascii="Times New Roman" w:hAnsi="Times New Roman" w:cs="Times New Roman"/>
                <w:b w:val="0"/>
                <w:color w:val="auto"/>
                <w:sz w:val="12"/>
              </w:rPr>
              <w:t>Anchor- and distribution-based methods</w:t>
            </w:r>
          </w:p>
        </w:tc>
        <w:tc>
          <w:tcPr>
            <w:tcW w:w="676" w:type="pct"/>
            <w:tcMar>
              <w:top w:w="90" w:type="dxa"/>
              <w:left w:w="90" w:type="dxa"/>
              <w:bottom w:w="90" w:type="dxa"/>
              <w:right w:w="90" w:type="dxa"/>
            </w:tcMar>
            <w:vAlign w:val="center"/>
          </w:tcPr>
          <w:p w14:paraId="7EF41351">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2"/>
              </w:rPr>
              <w:t>-0.12</w:t>
            </w:r>
          </w:p>
        </w:tc>
        <w:tc>
          <w:tcPr>
            <w:tcW w:w="482" w:type="pct"/>
            <w:tcMar>
              <w:top w:w="90" w:type="dxa"/>
              <w:left w:w="90" w:type="dxa"/>
              <w:bottom w:w="90" w:type="dxa"/>
              <w:right w:w="90" w:type="dxa"/>
            </w:tcMar>
            <w:vAlign w:val="center"/>
          </w:tcPr>
          <w:p w14:paraId="050F01EF">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2"/>
              </w:rPr>
              <w:t>-0.51 to 0.26</w:t>
            </w:r>
          </w:p>
        </w:tc>
        <w:tc>
          <w:tcPr>
            <w:tcW w:w="579" w:type="pct"/>
            <w:tcMar>
              <w:top w:w="90" w:type="dxa"/>
              <w:left w:w="90" w:type="dxa"/>
              <w:bottom w:w="90" w:type="dxa"/>
              <w:right w:w="90" w:type="dxa"/>
            </w:tcMar>
            <w:vAlign w:val="center"/>
          </w:tcPr>
          <w:p w14:paraId="7BA5012E">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2"/>
              </w:rPr>
              <w:t>Below the selected MCID benchmark</w:t>
            </w:r>
          </w:p>
        </w:tc>
        <w:tc>
          <w:tcPr>
            <w:tcW w:w="849" w:type="pct"/>
            <w:tcMar>
              <w:top w:w="90" w:type="dxa"/>
              <w:left w:w="90" w:type="dxa"/>
              <w:bottom w:w="90" w:type="dxa"/>
              <w:right w:w="90" w:type="dxa"/>
            </w:tcMar>
            <w:vAlign w:val="center"/>
          </w:tcPr>
          <w:p w14:paraId="7C853709">
            <w:pPr>
              <w:spacing w:before="0" w:after="0"/>
              <w:jc w:val="left"/>
              <w:rPr>
                <w:rFonts w:hint="default" w:ascii="Times New Roman" w:hAnsi="Times New Roman" w:cs="Times New Roman"/>
                <w:color w:val="auto"/>
              </w:rPr>
            </w:pPr>
            <w:r>
              <w:rPr>
                <w:rFonts w:hint="default" w:ascii="Times New Roman" w:hAnsi="Times New Roman" w:cs="Times New Roman"/>
                <w:b w:val="0"/>
                <w:color w:val="auto"/>
                <w:sz w:val="12"/>
              </w:rPr>
              <w:t>The adjusted between-group difference was smaller than the selected literature-derived MCID benchmark and did not indicate a clear clinically important advantage at 12 months.</w:t>
            </w:r>
          </w:p>
        </w:tc>
      </w:tr>
      <w:tr w14:paraId="6230F8F3">
        <w:tblPrEx>
          <w:tblBorders>
            <w:top w:val="single" w:color="000000" w:sz="12" w:space="0"/>
            <w:left w:val="none" w:color="000000" w:sz="0" w:space="0"/>
            <w:bottom w:val="single" w:color="000000" w:sz="12" w:space="0"/>
            <w:right w:val="none" w:color="000000" w:sz="0" w:space="0"/>
            <w:insideH w:val="none" w:color="000000" w:sz="0" w:space="0"/>
            <w:insideV w:val="none" w:color="000000" w:sz="0" w:space="0"/>
          </w:tblBorders>
          <w:tblCellMar>
            <w:top w:w="0" w:type="dxa"/>
            <w:left w:w="108" w:type="dxa"/>
            <w:bottom w:w="0" w:type="dxa"/>
            <w:right w:w="108" w:type="dxa"/>
          </w:tblCellMar>
        </w:tblPrEx>
        <w:trPr>
          <w:jc w:val="center"/>
        </w:trPr>
        <w:tc>
          <w:tcPr>
            <w:tcW w:w="431" w:type="pct"/>
            <w:tcMar>
              <w:top w:w="90" w:type="dxa"/>
              <w:left w:w="90" w:type="dxa"/>
              <w:bottom w:w="90" w:type="dxa"/>
              <w:right w:w="90" w:type="dxa"/>
            </w:tcMar>
            <w:vAlign w:val="center"/>
          </w:tcPr>
          <w:p w14:paraId="0775FDE2">
            <w:pPr>
              <w:spacing w:before="0" w:after="0"/>
              <w:jc w:val="left"/>
              <w:rPr>
                <w:rFonts w:hint="default" w:ascii="Times New Roman" w:hAnsi="Times New Roman" w:cs="Times New Roman"/>
                <w:color w:val="auto"/>
              </w:rPr>
            </w:pPr>
            <w:r>
              <w:rPr>
                <w:rFonts w:hint="default" w:ascii="Times New Roman" w:hAnsi="Times New Roman" w:cs="Times New Roman"/>
                <w:b w:val="0"/>
                <w:color w:val="auto"/>
                <w:sz w:val="12"/>
              </w:rPr>
              <w:t>ODI</w:t>
            </w:r>
            <w:bookmarkStart w:id="0" w:name="_GoBack"/>
            <w:bookmarkEnd w:id="0"/>
          </w:p>
        </w:tc>
        <w:tc>
          <w:tcPr>
            <w:tcW w:w="431" w:type="pct"/>
            <w:tcMar>
              <w:top w:w="90" w:type="dxa"/>
              <w:left w:w="90" w:type="dxa"/>
              <w:bottom w:w="90" w:type="dxa"/>
              <w:right w:w="90" w:type="dxa"/>
            </w:tcMar>
            <w:vAlign w:val="center"/>
          </w:tcPr>
          <w:p w14:paraId="6BD1648F">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2"/>
              </w:rPr>
              <w:t>12.8 points</w:t>
            </w:r>
          </w:p>
        </w:tc>
        <w:tc>
          <w:tcPr>
            <w:tcW w:w="485" w:type="pct"/>
            <w:tcMar>
              <w:top w:w="90" w:type="dxa"/>
              <w:left w:w="90" w:type="dxa"/>
              <w:bottom w:w="90" w:type="dxa"/>
              <w:right w:w="90" w:type="dxa"/>
            </w:tcMar>
            <w:vAlign w:val="center"/>
          </w:tcPr>
          <w:p w14:paraId="0D00E6A1">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2"/>
              </w:rPr>
              <w:t>Decrease</w:t>
            </w:r>
          </w:p>
        </w:tc>
        <w:tc>
          <w:tcPr>
            <w:tcW w:w="387" w:type="pct"/>
            <w:tcMar>
              <w:top w:w="90" w:type="dxa"/>
              <w:left w:w="90" w:type="dxa"/>
              <w:bottom w:w="90" w:type="dxa"/>
              <w:right w:w="90" w:type="dxa"/>
            </w:tcMar>
            <w:vAlign w:val="center"/>
          </w:tcPr>
          <w:p w14:paraId="4982C4EA">
            <w:pPr>
              <w:spacing w:before="0" w:after="0"/>
              <w:jc w:val="left"/>
              <w:rPr>
                <w:rFonts w:hint="default" w:ascii="Times New Roman" w:hAnsi="Times New Roman" w:cs="Times New Roman"/>
                <w:color w:val="auto"/>
              </w:rPr>
            </w:pPr>
            <w:r>
              <w:rPr>
                <w:rFonts w:hint="default" w:ascii="Times New Roman" w:hAnsi="Times New Roman" w:cs="Times New Roman"/>
                <w:b w:val="0"/>
                <w:color w:val="auto"/>
                <w:sz w:val="12"/>
              </w:rPr>
              <w:t xml:space="preserve">Copay et al., 2008 </w:t>
            </w:r>
          </w:p>
        </w:tc>
        <w:tc>
          <w:tcPr>
            <w:tcW w:w="676" w:type="pct"/>
            <w:tcMar>
              <w:top w:w="90" w:type="dxa"/>
              <w:left w:w="90" w:type="dxa"/>
              <w:bottom w:w="90" w:type="dxa"/>
              <w:right w:w="90" w:type="dxa"/>
            </w:tcMar>
            <w:vAlign w:val="center"/>
          </w:tcPr>
          <w:p w14:paraId="2F5981A9">
            <w:pPr>
              <w:spacing w:before="0" w:after="0"/>
              <w:jc w:val="left"/>
              <w:rPr>
                <w:rFonts w:hint="default" w:ascii="Times New Roman" w:hAnsi="Times New Roman" w:cs="Times New Roman"/>
                <w:color w:val="auto"/>
              </w:rPr>
            </w:pPr>
            <w:r>
              <w:rPr>
                <w:rFonts w:hint="default" w:ascii="Times New Roman" w:hAnsi="Times New Roman" w:cs="Times New Roman"/>
                <w:b w:val="0"/>
                <w:color w:val="auto"/>
                <w:sz w:val="12"/>
              </w:rPr>
              <w:t>Anchor- and distribution-based methods</w:t>
            </w:r>
          </w:p>
        </w:tc>
        <w:tc>
          <w:tcPr>
            <w:tcW w:w="676" w:type="pct"/>
            <w:tcMar>
              <w:top w:w="90" w:type="dxa"/>
              <w:left w:w="90" w:type="dxa"/>
              <w:bottom w:w="90" w:type="dxa"/>
              <w:right w:w="90" w:type="dxa"/>
            </w:tcMar>
            <w:vAlign w:val="center"/>
          </w:tcPr>
          <w:p w14:paraId="25E0DCEA">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2"/>
              </w:rPr>
              <w:t>-2.69</w:t>
            </w:r>
          </w:p>
        </w:tc>
        <w:tc>
          <w:tcPr>
            <w:tcW w:w="482" w:type="pct"/>
            <w:tcMar>
              <w:top w:w="90" w:type="dxa"/>
              <w:left w:w="90" w:type="dxa"/>
              <w:bottom w:w="90" w:type="dxa"/>
              <w:right w:w="90" w:type="dxa"/>
            </w:tcMar>
            <w:vAlign w:val="center"/>
          </w:tcPr>
          <w:p w14:paraId="2EAECA8A">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2"/>
              </w:rPr>
              <w:t>-4.95 to -0.44</w:t>
            </w:r>
          </w:p>
        </w:tc>
        <w:tc>
          <w:tcPr>
            <w:tcW w:w="579" w:type="pct"/>
            <w:tcMar>
              <w:top w:w="90" w:type="dxa"/>
              <w:left w:w="90" w:type="dxa"/>
              <w:bottom w:w="90" w:type="dxa"/>
              <w:right w:w="90" w:type="dxa"/>
            </w:tcMar>
            <w:vAlign w:val="center"/>
          </w:tcPr>
          <w:p w14:paraId="18325D80">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2"/>
              </w:rPr>
              <w:t>Below the selected MCID benchmark</w:t>
            </w:r>
          </w:p>
        </w:tc>
        <w:tc>
          <w:tcPr>
            <w:tcW w:w="849" w:type="pct"/>
            <w:tcMar>
              <w:top w:w="90" w:type="dxa"/>
              <w:left w:w="90" w:type="dxa"/>
              <w:bottom w:w="90" w:type="dxa"/>
              <w:right w:w="90" w:type="dxa"/>
            </w:tcMar>
            <w:vAlign w:val="center"/>
          </w:tcPr>
          <w:p w14:paraId="05C01EC6">
            <w:pPr>
              <w:spacing w:before="0" w:after="0"/>
              <w:jc w:val="left"/>
              <w:rPr>
                <w:rFonts w:hint="default" w:ascii="Times New Roman" w:hAnsi="Times New Roman" w:cs="Times New Roman"/>
                <w:color w:val="auto"/>
              </w:rPr>
            </w:pPr>
            <w:r>
              <w:rPr>
                <w:rFonts w:hint="default" w:ascii="Times New Roman" w:hAnsi="Times New Roman" w:cs="Times New Roman"/>
                <w:b w:val="0"/>
                <w:color w:val="auto"/>
                <w:sz w:val="12"/>
              </w:rPr>
              <w:t>The adjusted between-group difference was smaller than the selected literature-derived MCID benchmark and did not indicate a clear clinically important advantage at 12 months.</w:t>
            </w:r>
          </w:p>
        </w:tc>
      </w:tr>
      <w:tr w14:paraId="45657CAB">
        <w:tblPrEx>
          <w:tblBorders>
            <w:top w:val="single" w:color="000000" w:sz="12" w:space="0"/>
            <w:left w:val="none" w:color="000000" w:sz="0" w:space="0"/>
            <w:bottom w:val="single" w:color="000000" w:sz="12" w:space="0"/>
            <w:right w:val="none" w:color="000000" w:sz="0" w:space="0"/>
            <w:insideH w:val="none" w:color="000000" w:sz="0" w:space="0"/>
            <w:insideV w:val="none" w:color="000000" w:sz="0" w:space="0"/>
          </w:tblBorders>
          <w:tblCellMar>
            <w:top w:w="0" w:type="dxa"/>
            <w:left w:w="108" w:type="dxa"/>
            <w:bottom w:w="0" w:type="dxa"/>
            <w:right w:w="108" w:type="dxa"/>
          </w:tblCellMar>
        </w:tblPrEx>
        <w:trPr>
          <w:jc w:val="center"/>
        </w:trPr>
        <w:tc>
          <w:tcPr>
            <w:tcW w:w="431" w:type="pct"/>
            <w:tcMar>
              <w:top w:w="90" w:type="dxa"/>
              <w:left w:w="90" w:type="dxa"/>
              <w:bottom w:w="90" w:type="dxa"/>
              <w:right w:w="90" w:type="dxa"/>
            </w:tcMar>
            <w:vAlign w:val="center"/>
          </w:tcPr>
          <w:p w14:paraId="78D74928">
            <w:pPr>
              <w:spacing w:before="0" w:after="0"/>
              <w:jc w:val="left"/>
              <w:rPr>
                <w:rFonts w:hint="default" w:ascii="Times New Roman" w:hAnsi="Times New Roman" w:cs="Times New Roman"/>
                <w:color w:val="auto"/>
              </w:rPr>
            </w:pPr>
            <w:r>
              <w:rPr>
                <w:rFonts w:hint="default" w:ascii="Times New Roman" w:hAnsi="Times New Roman" w:cs="Times New Roman"/>
                <w:b w:val="0"/>
                <w:color w:val="auto"/>
                <w:sz w:val="12"/>
              </w:rPr>
              <w:t>EQ-5D-5L</w:t>
            </w:r>
          </w:p>
        </w:tc>
        <w:tc>
          <w:tcPr>
            <w:tcW w:w="431" w:type="pct"/>
            <w:tcMar>
              <w:top w:w="90" w:type="dxa"/>
              <w:left w:w="90" w:type="dxa"/>
              <w:bottom w:w="90" w:type="dxa"/>
              <w:right w:w="90" w:type="dxa"/>
            </w:tcMar>
            <w:vAlign w:val="center"/>
          </w:tcPr>
          <w:p w14:paraId="1E498412">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2"/>
              </w:rPr>
              <w:t>0.22 index units</w:t>
            </w:r>
          </w:p>
        </w:tc>
        <w:tc>
          <w:tcPr>
            <w:tcW w:w="485" w:type="pct"/>
            <w:tcMar>
              <w:top w:w="90" w:type="dxa"/>
              <w:left w:w="90" w:type="dxa"/>
              <w:bottom w:w="90" w:type="dxa"/>
              <w:right w:w="90" w:type="dxa"/>
            </w:tcMar>
            <w:vAlign w:val="center"/>
          </w:tcPr>
          <w:p w14:paraId="2291D44A">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2"/>
              </w:rPr>
              <w:t>Increase</w:t>
            </w:r>
          </w:p>
        </w:tc>
        <w:tc>
          <w:tcPr>
            <w:tcW w:w="387" w:type="pct"/>
            <w:tcMar>
              <w:top w:w="90" w:type="dxa"/>
              <w:left w:w="90" w:type="dxa"/>
              <w:bottom w:w="90" w:type="dxa"/>
              <w:right w:w="90" w:type="dxa"/>
            </w:tcMar>
            <w:vAlign w:val="center"/>
          </w:tcPr>
          <w:p w14:paraId="5688767E">
            <w:pPr>
              <w:spacing w:before="0" w:after="0"/>
              <w:jc w:val="left"/>
              <w:rPr>
                <w:rFonts w:hint="default" w:ascii="Times New Roman" w:hAnsi="Times New Roman" w:cs="Times New Roman"/>
                <w:color w:val="auto"/>
              </w:rPr>
            </w:pPr>
            <w:r>
              <w:rPr>
                <w:rFonts w:hint="default" w:ascii="Times New Roman" w:hAnsi="Times New Roman" w:cs="Times New Roman"/>
                <w:b w:val="0"/>
                <w:color w:val="auto"/>
                <w:sz w:val="12"/>
              </w:rPr>
              <w:t xml:space="preserve">Yakdan et al., 2025 </w:t>
            </w:r>
          </w:p>
        </w:tc>
        <w:tc>
          <w:tcPr>
            <w:tcW w:w="676" w:type="pct"/>
            <w:tcMar>
              <w:top w:w="90" w:type="dxa"/>
              <w:left w:w="90" w:type="dxa"/>
              <w:bottom w:w="90" w:type="dxa"/>
              <w:right w:w="90" w:type="dxa"/>
            </w:tcMar>
            <w:vAlign w:val="center"/>
          </w:tcPr>
          <w:p w14:paraId="6264CE7E">
            <w:pPr>
              <w:spacing w:before="0" w:after="0"/>
              <w:jc w:val="left"/>
              <w:rPr>
                <w:rFonts w:hint="default" w:ascii="Times New Roman" w:hAnsi="Times New Roman" w:cs="Times New Roman"/>
                <w:color w:val="auto"/>
              </w:rPr>
            </w:pPr>
            <w:r>
              <w:rPr>
                <w:rFonts w:hint="default" w:ascii="Times New Roman" w:hAnsi="Times New Roman" w:cs="Times New Roman"/>
                <w:b w:val="0"/>
                <w:color w:val="auto"/>
                <w:sz w:val="12"/>
              </w:rPr>
              <w:t>Anchor-based ROC analysis using ODI improvement</w:t>
            </w:r>
          </w:p>
        </w:tc>
        <w:tc>
          <w:tcPr>
            <w:tcW w:w="676" w:type="pct"/>
            <w:tcMar>
              <w:top w:w="90" w:type="dxa"/>
              <w:left w:w="90" w:type="dxa"/>
              <w:bottom w:w="90" w:type="dxa"/>
              <w:right w:w="90" w:type="dxa"/>
            </w:tcMar>
            <w:vAlign w:val="center"/>
          </w:tcPr>
          <w:p w14:paraId="6CE46AC2">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2"/>
              </w:rPr>
              <w:t>-0.02</w:t>
            </w:r>
          </w:p>
        </w:tc>
        <w:tc>
          <w:tcPr>
            <w:tcW w:w="482" w:type="pct"/>
            <w:tcMar>
              <w:top w:w="90" w:type="dxa"/>
              <w:left w:w="90" w:type="dxa"/>
              <w:bottom w:w="90" w:type="dxa"/>
              <w:right w:w="90" w:type="dxa"/>
            </w:tcMar>
            <w:vAlign w:val="center"/>
          </w:tcPr>
          <w:p w14:paraId="58490C84">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2"/>
              </w:rPr>
              <w:t>-0.05 to 0.01</w:t>
            </w:r>
          </w:p>
        </w:tc>
        <w:tc>
          <w:tcPr>
            <w:tcW w:w="579" w:type="pct"/>
            <w:tcMar>
              <w:top w:w="90" w:type="dxa"/>
              <w:left w:w="90" w:type="dxa"/>
              <w:bottom w:w="90" w:type="dxa"/>
              <w:right w:w="90" w:type="dxa"/>
            </w:tcMar>
            <w:vAlign w:val="center"/>
          </w:tcPr>
          <w:p w14:paraId="02491C4B">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2"/>
              </w:rPr>
              <w:t>Below the selected MCID benchmark</w:t>
            </w:r>
          </w:p>
        </w:tc>
        <w:tc>
          <w:tcPr>
            <w:tcW w:w="849" w:type="pct"/>
            <w:tcMar>
              <w:top w:w="90" w:type="dxa"/>
              <w:left w:w="90" w:type="dxa"/>
              <w:bottom w:w="90" w:type="dxa"/>
              <w:right w:w="90" w:type="dxa"/>
            </w:tcMar>
            <w:vAlign w:val="center"/>
          </w:tcPr>
          <w:p w14:paraId="1147D276">
            <w:pPr>
              <w:spacing w:before="0" w:after="0"/>
              <w:jc w:val="left"/>
              <w:rPr>
                <w:rFonts w:hint="default" w:ascii="Times New Roman" w:hAnsi="Times New Roman" w:cs="Times New Roman"/>
                <w:color w:val="auto"/>
              </w:rPr>
            </w:pPr>
            <w:r>
              <w:rPr>
                <w:rFonts w:hint="default" w:ascii="Times New Roman" w:hAnsi="Times New Roman" w:cs="Times New Roman"/>
                <w:b w:val="0"/>
                <w:color w:val="auto"/>
                <w:sz w:val="12"/>
              </w:rPr>
              <w:t>The adjusted between-group difference was smaller than the selected literature-derived MCID benchmark and did not indicate a clear clinically important advantage at 12 months.</w:t>
            </w:r>
          </w:p>
        </w:tc>
      </w:tr>
    </w:tbl>
    <w:p w14:paraId="5C9A43E6">
      <w:pPr>
        <w:rPr>
          <w:rFonts w:hint="default" w:ascii="Times New Roman" w:hAnsi="Times New Roman" w:cs="Times New Roman"/>
          <w:i w:val="0"/>
          <w:iCs/>
          <w:color w:val="auto"/>
          <w:sz w:val="16"/>
          <w:szCs w:val="16"/>
        </w:rPr>
      </w:pPr>
      <w:r>
        <w:rPr>
          <w:rFonts w:hint="default" w:ascii="Times New Roman" w:hAnsi="Times New Roman" w:cs="Times New Roman"/>
          <w:i w:val="0"/>
          <w:iCs/>
          <w:color w:val="auto"/>
          <w:sz w:val="16"/>
          <w:szCs w:val="16"/>
        </w:rPr>
        <w:t>Copay AG, Glassman SD, Subach BR, et al. Minimum clinically important difference in lumbar spine surgery patients: a choice of methods using the Oswestry Disability Index, Medical Outcomes Study questionnaire Short Form 36, and pain scales. Spine J. 2008;8:968–974. DOI: 10.1016/j.spinee.2007.11.006; PMID: 18201937. This lumbar surgery cohort used anchor- and distribution-based approaches and directly supports the selected VAS back, VAS leg, and ODI thresholds, although thresholds remain sensitive to case mix, baseline severity, follow-up, and method.</w:t>
      </w:r>
    </w:p>
    <w:p w14:paraId="7445EC06">
      <w:pPr>
        <w:rPr>
          <w:rFonts w:hint="default" w:ascii="Times New Roman" w:hAnsi="Times New Roman" w:cs="Times New Roman"/>
          <w:i w:val="0"/>
          <w:iCs/>
          <w:color w:val="auto"/>
          <w:sz w:val="16"/>
          <w:szCs w:val="16"/>
        </w:rPr>
      </w:pPr>
      <w:r>
        <w:rPr>
          <w:rFonts w:hint="default" w:ascii="Times New Roman" w:hAnsi="Times New Roman" w:cs="Times New Roman"/>
          <w:i w:val="0"/>
          <w:iCs/>
          <w:color w:val="auto"/>
          <w:sz w:val="16"/>
          <w:szCs w:val="16"/>
        </w:rPr>
        <w:t>Yakdan S, Joseph K, Ruiz-Cardozo MA, et al. Clinically significant improvement in health-related quality of life (EQ-5D-5L) after endoscopic spine surgery. Eur Spine J. 2025;34:5789–5798. DOI: 10.1007/s00586-025-09306-w; PMID: 40853454. The study included adults undergoing full-endoscopic surgery for lumbar degenerative disease and derived a 0.22 EQ-5D-5L threshold using an ODI-based anchor and receiver-operating-characteristic analysis. This EQ-5D-5L-specific threshold is relevant to endoscopic lumbar surgery but was not validated specifically for UBE-TLIF; it was therefore used as an external interpretive benchmark rather than a formal margin.</w:t>
      </w:r>
    </w:p>
    <w:p w14:paraId="0836E2C4">
      <w:pPr>
        <w:rPr>
          <w:rFonts w:hint="default" w:ascii="Times New Roman" w:hAnsi="Times New Roman" w:cs="Times New Roman"/>
          <w:i w:val="0"/>
          <w:iCs/>
          <w:color w:val="auto"/>
          <w:sz w:val="16"/>
          <w:szCs w:val="16"/>
        </w:rPr>
      </w:pPr>
      <w:r>
        <w:rPr>
          <w:rFonts w:hint="default" w:ascii="Times New Roman" w:hAnsi="Times New Roman" w:cs="Times New Roman"/>
          <w:i w:val="0"/>
          <w:iCs/>
          <w:color w:val="auto"/>
          <w:sz w:val="16"/>
          <w:szCs w:val="16"/>
        </w:rPr>
        <w:br w:type="page"/>
      </w:r>
    </w:p>
    <w:p w14:paraId="15758D7D">
      <w:pPr>
        <w:pStyle w:val="4"/>
        <w:keepNext/>
        <w:rPr>
          <w:rFonts w:hint="default" w:ascii="Times New Roman" w:hAnsi="Times New Roman" w:cs="Times New Roman"/>
          <w:color w:val="auto"/>
        </w:rPr>
      </w:pPr>
      <w:r>
        <w:rPr>
          <w:rFonts w:hint="default" w:ascii="Times New Roman" w:hAnsi="Times New Roman" w:cs="Times New Roman"/>
          <w:i w:val="0"/>
          <w:color w:val="auto"/>
        </w:rPr>
        <w:t>Supplementary Table 4. Achievement of Literature-Derived MCID Thresholds at 12 Months</w:t>
      </w:r>
    </w:p>
    <w:tbl>
      <w:tblPr>
        <w:tblStyle w:val="32"/>
        <w:tblW w:w="4997" w:type="pct"/>
        <w:jc w:val="center"/>
        <w:tblBorders>
          <w:top w:val="single" w:color="000000" w:sz="12" w:space="0"/>
          <w:left w:val="none" w:color="000000" w:sz="0" w:space="0"/>
          <w:bottom w:val="single" w:color="000000" w:sz="12" w:space="0"/>
          <w:right w:val="none" w:color="000000" w:sz="0" w:space="0"/>
          <w:insideH w:val="none" w:color="000000" w:sz="0" w:space="0"/>
          <w:insideV w:val="none" w:color="000000" w:sz="0" w:space="0"/>
        </w:tblBorders>
        <w:tblLayout w:type="autofit"/>
        <w:tblCellMar>
          <w:top w:w="0" w:type="dxa"/>
          <w:left w:w="108" w:type="dxa"/>
          <w:bottom w:w="0" w:type="dxa"/>
          <w:right w:w="108" w:type="dxa"/>
        </w:tblCellMar>
      </w:tblPr>
      <w:tblGrid>
        <w:gridCol w:w="1027"/>
        <w:gridCol w:w="804"/>
        <w:gridCol w:w="1162"/>
        <w:gridCol w:w="1520"/>
        <w:gridCol w:w="1520"/>
        <w:gridCol w:w="1520"/>
        <w:gridCol w:w="1520"/>
        <w:gridCol w:w="1073"/>
      </w:tblGrid>
      <w:tr w14:paraId="328B666E">
        <w:tblPrEx>
          <w:tblBorders>
            <w:top w:val="single" w:color="000000" w:sz="12" w:space="0"/>
            <w:left w:val="none" w:color="000000" w:sz="0" w:space="0"/>
            <w:bottom w:val="single" w:color="000000" w:sz="12" w:space="0"/>
            <w:right w:val="none" w:color="000000" w:sz="0" w:space="0"/>
            <w:insideH w:val="none" w:color="000000" w:sz="0" w:space="0"/>
            <w:insideV w:val="none" w:color="000000" w:sz="0" w:space="0"/>
          </w:tblBorders>
          <w:tblCellMar>
            <w:top w:w="0" w:type="dxa"/>
            <w:left w:w="108" w:type="dxa"/>
            <w:bottom w:w="0" w:type="dxa"/>
            <w:right w:w="108" w:type="dxa"/>
          </w:tblCellMar>
        </w:tblPrEx>
        <w:trPr>
          <w:tblHeader/>
          <w:jc w:val="center"/>
        </w:trPr>
        <w:tc>
          <w:tcPr>
            <w:tcW w:w="506" w:type="pct"/>
            <w:tcBorders>
              <w:bottom w:val="single" w:color="000000" w:sz="8" w:space="0"/>
            </w:tcBorders>
            <w:tcMar>
              <w:top w:w="90" w:type="dxa"/>
              <w:left w:w="90" w:type="dxa"/>
              <w:bottom w:w="90" w:type="dxa"/>
              <w:right w:w="90" w:type="dxa"/>
            </w:tcMar>
            <w:vAlign w:val="center"/>
          </w:tcPr>
          <w:p w14:paraId="0D62E839">
            <w:pPr>
              <w:spacing w:before="0" w:after="0"/>
              <w:jc w:val="center"/>
              <w:rPr>
                <w:rFonts w:hint="default" w:ascii="Times New Roman" w:hAnsi="Times New Roman" w:cs="Times New Roman"/>
                <w:color w:val="auto"/>
              </w:rPr>
            </w:pPr>
            <w:r>
              <w:rPr>
                <w:rFonts w:hint="default" w:ascii="Times New Roman" w:hAnsi="Times New Roman" w:cs="Times New Roman"/>
                <w:b/>
                <w:color w:val="auto"/>
                <w:sz w:val="13"/>
              </w:rPr>
              <w:t>Outcome</w:t>
            </w:r>
          </w:p>
        </w:tc>
        <w:tc>
          <w:tcPr>
            <w:tcW w:w="396" w:type="pct"/>
            <w:tcBorders>
              <w:bottom w:val="single" w:color="000000" w:sz="8" w:space="0"/>
            </w:tcBorders>
            <w:tcMar>
              <w:top w:w="90" w:type="dxa"/>
              <w:left w:w="90" w:type="dxa"/>
              <w:bottom w:w="90" w:type="dxa"/>
              <w:right w:w="90" w:type="dxa"/>
            </w:tcMar>
            <w:vAlign w:val="center"/>
          </w:tcPr>
          <w:p w14:paraId="5A1FF4DA">
            <w:pPr>
              <w:spacing w:before="0" w:after="0"/>
              <w:jc w:val="center"/>
              <w:rPr>
                <w:rFonts w:hint="default" w:ascii="Times New Roman" w:hAnsi="Times New Roman" w:cs="Times New Roman"/>
                <w:color w:val="auto"/>
              </w:rPr>
            </w:pPr>
            <w:r>
              <w:rPr>
                <w:rFonts w:hint="default" w:ascii="Times New Roman" w:hAnsi="Times New Roman" w:cs="Times New Roman"/>
                <w:b/>
                <w:color w:val="auto"/>
                <w:sz w:val="13"/>
              </w:rPr>
              <w:t>MCID threshold</w:t>
            </w:r>
          </w:p>
        </w:tc>
        <w:tc>
          <w:tcPr>
            <w:tcW w:w="572" w:type="pct"/>
            <w:tcBorders>
              <w:bottom w:val="single" w:color="000000" w:sz="8" w:space="0"/>
            </w:tcBorders>
            <w:tcMar>
              <w:top w:w="90" w:type="dxa"/>
              <w:left w:w="90" w:type="dxa"/>
              <w:bottom w:w="90" w:type="dxa"/>
              <w:right w:w="90" w:type="dxa"/>
            </w:tcMar>
            <w:vAlign w:val="center"/>
          </w:tcPr>
          <w:p w14:paraId="076176DD">
            <w:pPr>
              <w:spacing w:before="0" w:after="0"/>
              <w:jc w:val="center"/>
              <w:rPr>
                <w:rFonts w:hint="default" w:ascii="Times New Roman" w:hAnsi="Times New Roman" w:cs="Times New Roman"/>
                <w:color w:val="auto"/>
              </w:rPr>
            </w:pPr>
            <w:r>
              <w:rPr>
                <w:rFonts w:hint="default" w:ascii="Times New Roman" w:hAnsi="Times New Roman" w:cs="Times New Roman"/>
                <w:b/>
                <w:color w:val="auto"/>
                <w:sz w:val="13"/>
              </w:rPr>
              <w:t>Reference</w:t>
            </w:r>
          </w:p>
        </w:tc>
        <w:tc>
          <w:tcPr>
            <w:tcW w:w="748" w:type="pct"/>
            <w:tcBorders>
              <w:bottom w:val="single" w:color="000000" w:sz="8" w:space="0"/>
            </w:tcBorders>
            <w:tcMar>
              <w:top w:w="90" w:type="dxa"/>
              <w:left w:w="90" w:type="dxa"/>
              <w:bottom w:w="90" w:type="dxa"/>
              <w:right w:w="90" w:type="dxa"/>
            </w:tcMar>
            <w:vAlign w:val="center"/>
          </w:tcPr>
          <w:p w14:paraId="6B177AE4">
            <w:pPr>
              <w:spacing w:before="0" w:after="0"/>
              <w:jc w:val="center"/>
              <w:rPr>
                <w:rFonts w:hint="default" w:ascii="Times New Roman" w:hAnsi="Times New Roman" w:cs="Times New Roman"/>
                <w:color w:val="auto"/>
              </w:rPr>
            </w:pPr>
            <w:r>
              <w:rPr>
                <w:rFonts w:hint="default" w:ascii="Times New Roman" w:hAnsi="Times New Roman" w:cs="Times New Roman"/>
                <w:b/>
                <w:color w:val="auto"/>
                <w:sz w:val="13"/>
              </w:rPr>
              <w:t>Fluoro-UBE-TLIF responders n/N (%)</w:t>
            </w:r>
          </w:p>
        </w:tc>
        <w:tc>
          <w:tcPr>
            <w:tcW w:w="748" w:type="pct"/>
            <w:tcBorders>
              <w:bottom w:val="single" w:color="000000" w:sz="8" w:space="0"/>
            </w:tcBorders>
            <w:tcMar>
              <w:top w:w="90" w:type="dxa"/>
              <w:left w:w="90" w:type="dxa"/>
              <w:bottom w:w="90" w:type="dxa"/>
              <w:right w:w="90" w:type="dxa"/>
            </w:tcMar>
            <w:vAlign w:val="center"/>
          </w:tcPr>
          <w:p w14:paraId="5538280C">
            <w:pPr>
              <w:spacing w:before="0" w:after="0"/>
              <w:jc w:val="center"/>
              <w:rPr>
                <w:rFonts w:hint="default" w:ascii="Times New Roman" w:hAnsi="Times New Roman" w:cs="Times New Roman"/>
                <w:color w:val="auto"/>
              </w:rPr>
            </w:pPr>
            <w:r>
              <w:rPr>
                <w:rFonts w:hint="default" w:ascii="Times New Roman" w:hAnsi="Times New Roman" w:cs="Times New Roman"/>
                <w:b/>
                <w:color w:val="auto"/>
                <w:sz w:val="13"/>
              </w:rPr>
              <w:t>Nav-UBE-TLIF responders n/N (%)</w:t>
            </w:r>
          </w:p>
        </w:tc>
        <w:tc>
          <w:tcPr>
            <w:tcW w:w="748" w:type="pct"/>
            <w:tcBorders>
              <w:bottom w:val="single" w:color="000000" w:sz="8" w:space="0"/>
            </w:tcBorders>
            <w:tcMar>
              <w:top w:w="90" w:type="dxa"/>
              <w:left w:w="90" w:type="dxa"/>
              <w:bottom w:w="90" w:type="dxa"/>
              <w:right w:w="90" w:type="dxa"/>
            </w:tcMar>
            <w:vAlign w:val="center"/>
          </w:tcPr>
          <w:p w14:paraId="10097092">
            <w:pPr>
              <w:spacing w:before="0" w:after="0"/>
              <w:jc w:val="center"/>
              <w:rPr>
                <w:rFonts w:hint="default" w:ascii="Times New Roman" w:hAnsi="Times New Roman" w:cs="Times New Roman"/>
                <w:color w:val="auto"/>
              </w:rPr>
            </w:pPr>
            <w:r>
              <w:rPr>
                <w:rFonts w:hint="default" w:ascii="Times New Roman" w:hAnsi="Times New Roman" w:cs="Times New Roman"/>
                <w:b/>
                <w:color w:val="auto"/>
                <w:sz w:val="13"/>
              </w:rPr>
              <w:t>Risk difference (95% CI)</w:t>
            </w:r>
          </w:p>
        </w:tc>
        <w:tc>
          <w:tcPr>
            <w:tcW w:w="748" w:type="pct"/>
            <w:tcBorders>
              <w:bottom w:val="single" w:color="000000" w:sz="8" w:space="0"/>
            </w:tcBorders>
            <w:tcMar>
              <w:top w:w="90" w:type="dxa"/>
              <w:left w:w="90" w:type="dxa"/>
              <w:bottom w:w="90" w:type="dxa"/>
              <w:right w:w="90" w:type="dxa"/>
            </w:tcMar>
            <w:vAlign w:val="center"/>
          </w:tcPr>
          <w:p w14:paraId="32E1F001">
            <w:pPr>
              <w:spacing w:before="0" w:after="0"/>
              <w:jc w:val="center"/>
              <w:rPr>
                <w:rFonts w:hint="default" w:ascii="Times New Roman" w:hAnsi="Times New Roman" w:cs="Times New Roman"/>
                <w:color w:val="auto"/>
              </w:rPr>
            </w:pPr>
            <w:r>
              <w:rPr>
                <w:rFonts w:hint="default" w:ascii="Times New Roman" w:hAnsi="Times New Roman" w:cs="Times New Roman"/>
                <w:b/>
                <w:color w:val="auto"/>
                <w:sz w:val="13"/>
              </w:rPr>
              <w:t>Risk ratio (95% CI)</w:t>
            </w:r>
          </w:p>
        </w:tc>
        <w:tc>
          <w:tcPr>
            <w:tcW w:w="528" w:type="pct"/>
            <w:tcBorders>
              <w:bottom w:val="single" w:color="000000" w:sz="8" w:space="0"/>
            </w:tcBorders>
            <w:tcMar>
              <w:top w:w="90" w:type="dxa"/>
              <w:left w:w="90" w:type="dxa"/>
              <w:bottom w:w="90" w:type="dxa"/>
              <w:right w:w="90" w:type="dxa"/>
            </w:tcMar>
            <w:vAlign w:val="center"/>
          </w:tcPr>
          <w:p w14:paraId="3C10FAFB">
            <w:pPr>
              <w:spacing w:before="0" w:after="0"/>
              <w:jc w:val="center"/>
              <w:rPr>
                <w:rFonts w:hint="default" w:ascii="Times New Roman" w:hAnsi="Times New Roman" w:cs="Times New Roman"/>
                <w:color w:val="auto"/>
              </w:rPr>
            </w:pPr>
            <w:r>
              <w:rPr>
                <w:rFonts w:hint="default" w:ascii="Times New Roman" w:hAnsi="Times New Roman" w:cs="Times New Roman"/>
                <w:b/>
                <w:color w:val="auto"/>
                <w:sz w:val="13"/>
              </w:rPr>
              <w:t>Fisher exact p-value</w:t>
            </w:r>
          </w:p>
        </w:tc>
      </w:tr>
      <w:tr w14:paraId="43212E4C">
        <w:tblPrEx>
          <w:tblBorders>
            <w:top w:val="single" w:color="000000" w:sz="12" w:space="0"/>
            <w:left w:val="none" w:color="000000" w:sz="0" w:space="0"/>
            <w:bottom w:val="single" w:color="000000" w:sz="12" w:space="0"/>
            <w:right w:val="none" w:color="000000" w:sz="0" w:space="0"/>
            <w:insideH w:val="none" w:color="000000" w:sz="0" w:space="0"/>
            <w:insideV w:val="none" w:color="000000" w:sz="0" w:space="0"/>
          </w:tblBorders>
          <w:tblCellMar>
            <w:top w:w="0" w:type="dxa"/>
            <w:left w:w="108" w:type="dxa"/>
            <w:bottom w:w="0" w:type="dxa"/>
            <w:right w:w="108" w:type="dxa"/>
          </w:tblCellMar>
        </w:tblPrEx>
        <w:trPr>
          <w:jc w:val="center"/>
        </w:trPr>
        <w:tc>
          <w:tcPr>
            <w:tcW w:w="506" w:type="pct"/>
            <w:tcMar>
              <w:top w:w="90" w:type="dxa"/>
              <w:left w:w="90" w:type="dxa"/>
              <w:bottom w:w="90" w:type="dxa"/>
              <w:right w:w="90" w:type="dxa"/>
            </w:tcMar>
            <w:vAlign w:val="center"/>
          </w:tcPr>
          <w:p w14:paraId="6D3014EA">
            <w:pPr>
              <w:spacing w:before="0" w:after="0"/>
              <w:jc w:val="left"/>
              <w:rPr>
                <w:rFonts w:hint="default" w:ascii="Times New Roman" w:hAnsi="Times New Roman" w:cs="Times New Roman"/>
                <w:color w:val="auto"/>
              </w:rPr>
            </w:pPr>
            <w:r>
              <w:rPr>
                <w:rFonts w:hint="default" w:ascii="Times New Roman" w:hAnsi="Times New Roman" w:cs="Times New Roman"/>
                <w:b w:val="0"/>
                <w:color w:val="auto"/>
                <w:sz w:val="13"/>
              </w:rPr>
              <w:t>VAS back</w:t>
            </w:r>
          </w:p>
        </w:tc>
        <w:tc>
          <w:tcPr>
            <w:tcW w:w="396" w:type="pct"/>
            <w:tcMar>
              <w:top w:w="90" w:type="dxa"/>
              <w:left w:w="90" w:type="dxa"/>
              <w:bottom w:w="90" w:type="dxa"/>
              <w:right w:w="90" w:type="dxa"/>
            </w:tcMar>
            <w:vAlign w:val="center"/>
          </w:tcPr>
          <w:p w14:paraId="7F98D6E7">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3"/>
              </w:rPr>
              <w:t>1.2</w:t>
            </w:r>
          </w:p>
        </w:tc>
        <w:tc>
          <w:tcPr>
            <w:tcW w:w="572" w:type="pct"/>
            <w:tcMar>
              <w:top w:w="90" w:type="dxa"/>
              <w:left w:w="90" w:type="dxa"/>
              <w:bottom w:w="90" w:type="dxa"/>
              <w:right w:w="90" w:type="dxa"/>
            </w:tcMar>
            <w:vAlign w:val="center"/>
          </w:tcPr>
          <w:p w14:paraId="04087677">
            <w:pPr>
              <w:spacing w:before="0" w:after="0"/>
              <w:jc w:val="left"/>
              <w:rPr>
                <w:rFonts w:hint="default" w:ascii="Times New Roman" w:hAnsi="Times New Roman" w:cs="Times New Roman"/>
                <w:color w:val="auto"/>
              </w:rPr>
            </w:pPr>
            <w:r>
              <w:rPr>
                <w:rFonts w:hint="default" w:ascii="Times New Roman" w:hAnsi="Times New Roman" w:cs="Times New Roman"/>
                <w:b w:val="0"/>
                <w:color w:val="auto"/>
                <w:sz w:val="13"/>
              </w:rPr>
              <w:t xml:space="preserve">Copay et al., 2008 </w:t>
            </w:r>
          </w:p>
        </w:tc>
        <w:tc>
          <w:tcPr>
            <w:tcW w:w="748" w:type="pct"/>
            <w:tcMar>
              <w:top w:w="90" w:type="dxa"/>
              <w:left w:w="90" w:type="dxa"/>
              <w:bottom w:w="90" w:type="dxa"/>
              <w:right w:w="90" w:type="dxa"/>
            </w:tcMar>
            <w:vAlign w:val="center"/>
          </w:tcPr>
          <w:p w14:paraId="2CAEE8D6">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3"/>
              </w:rPr>
              <w:t>66/66 (100.0%)</w:t>
            </w:r>
          </w:p>
        </w:tc>
        <w:tc>
          <w:tcPr>
            <w:tcW w:w="748" w:type="pct"/>
            <w:tcMar>
              <w:top w:w="90" w:type="dxa"/>
              <w:left w:w="90" w:type="dxa"/>
              <w:bottom w:w="90" w:type="dxa"/>
              <w:right w:w="90" w:type="dxa"/>
            </w:tcMar>
            <w:vAlign w:val="center"/>
          </w:tcPr>
          <w:p w14:paraId="0719BE5D">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3"/>
              </w:rPr>
              <w:t>33/33 (100.0%)</w:t>
            </w:r>
          </w:p>
        </w:tc>
        <w:tc>
          <w:tcPr>
            <w:tcW w:w="748" w:type="pct"/>
            <w:tcMar>
              <w:top w:w="90" w:type="dxa"/>
              <w:left w:w="90" w:type="dxa"/>
              <w:bottom w:w="90" w:type="dxa"/>
              <w:right w:w="90" w:type="dxa"/>
            </w:tcMar>
            <w:vAlign w:val="center"/>
          </w:tcPr>
          <w:p w14:paraId="6C4C2E37">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3"/>
              </w:rPr>
              <w:t>0.0 (-10.4 to 5.5)</w:t>
            </w:r>
          </w:p>
        </w:tc>
        <w:tc>
          <w:tcPr>
            <w:tcW w:w="748" w:type="pct"/>
            <w:tcMar>
              <w:top w:w="90" w:type="dxa"/>
              <w:left w:w="90" w:type="dxa"/>
              <w:bottom w:w="90" w:type="dxa"/>
              <w:right w:w="90" w:type="dxa"/>
            </w:tcMar>
            <w:vAlign w:val="center"/>
          </w:tcPr>
          <w:p w14:paraId="29C4809F">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3"/>
              </w:rPr>
              <w:t>1.00 (0.95 to 1.04)</w:t>
            </w:r>
          </w:p>
        </w:tc>
        <w:tc>
          <w:tcPr>
            <w:tcW w:w="528" w:type="pct"/>
            <w:tcMar>
              <w:top w:w="90" w:type="dxa"/>
              <w:left w:w="90" w:type="dxa"/>
              <w:bottom w:w="90" w:type="dxa"/>
              <w:right w:w="90" w:type="dxa"/>
            </w:tcMar>
            <w:vAlign w:val="center"/>
          </w:tcPr>
          <w:p w14:paraId="34AC484E">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3"/>
              </w:rPr>
              <w:t>1.000</w:t>
            </w:r>
          </w:p>
        </w:tc>
      </w:tr>
      <w:tr w14:paraId="3079F1D5">
        <w:tblPrEx>
          <w:tblBorders>
            <w:top w:val="single" w:color="000000" w:sz="12" w:space="0"/>
            <w:left w:val="none" w:color="000000" w:sz="0" w:space="0"/>
            <w:bottom w:val="single" w:color="000000" w:sz="12" w:space="0"/>
            <w:right w:val="none" w:color="000000" w:sz="0" w:space="0"/>
            <w:insideH w:val="none" w:color="000000" w:sz="0" w:space="0"/>
            <w:insideV w:val="none" w:color="000000" w:sz="0" w:space="0"/>
          </w:tblBorders>
          <w:tblCellMar>
            <w:top w:w="0" w:type="dxa"/>
            <w:left w:w="108" w:type="dxa"/>
            <w:bottom w:w="0" w:type="dxa"/>
            <w:right w:w="108" w:type="dxa"/>
          </w:tblCellMar>
        </w:tblPrEx>
        <w:trPr>
          <w:jc w:val="center"/>
        </w:trPr>
        <w:tc>
          <w:tcPr>
            <w:tcW w:w="506" w:type="pct"/>
            <w:tcMar>
              <w:top w:w="90" w:type="dxa"/>
              <w:left w:w="90" w:type="dxa"/>
              <w:bottom w:w="90" w:type="dxa"/>
              <w:right w:w="90" w:type="dxa"/>
            </w:tcMar>
            <w:vAlign w:val="center"/>
          </w:tcPr>
          <w:p w14:paraId="0C33BE8B">
            <w:pPr>
              <w:spacing w:before="0" w:after="0"/>
              <w:jc w:val="left"/>
              <w:rPr>
                <w:rFonts w:hint="default" w:ascii="Times New Roman" w:hAnsi="Times New Roman" w:cs="Times New Roman"/>
                <w:color w:val="auto"/>
              </w:rPr>
            </w:pPr>
            <w:r>
              <w:rPr>
                <w:rFonts w:hint="default" w:ascii="Times New Roman" w:hAnsi="Times New Roman" w:cs="Times New Roman"/>
                <w:b w:val="0"/>
                <w:color w:val="auto"/>
                <w:sz w:val="13"/>
              </w:rPr>
              <w:t>VAS leg</w:t>
            </w:r>
          </w:p>
        </w:tc>
        <w:tc>
          <w:tcPr>
            <w:tcW w:w="396" w:type="pct"/>
            <w:tcMar>
              <w:top w:w="90" w:type="dxa"/>
              <w:left w:w="90" w:type="dxa"/>
              <w:bottom w:w="90" w:type="dxa"/>
              <w:right w:w="90" w:type="dxa"/>
            </w:tcMar>
            <w:vAlign w:val="center"/>
          </w:tcPr>
          <w:p w14:paraId="4AC87389">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3"/>
              </w:rPr>
              <w:t>1.6</w:t>
            </w:r>
          </w:p>
        </w:tc>
        <w:tc>
          <w:tcPr>
            <w:tcW w:w="572" w:type="pct"/>
            <w:tcMar>
              <w:top w:w="90" w:type="dxa"/>
              <w:left w:w="90" w:type="dxa"/>
              <w:bottom w:w="90" w:type="dxa"/>
              <w:right w:w="90" w:type="dxa"/>
            </w:tcMar>
            <w:vAlign w:val="center"/>
          </w:tcPr>
          <w:p w14:paraId="7644496B">
            <w:pPr>
              <w:spacing w:before="0" w:after="0"/>
              <w:jc w:val="left"/>
              <w:rPr>
                <w:rFonts w:hint="default" w:ascii="Times New Roman" w:hAnsi="Times New Roman" w:cs="Times New Roman"/>
                <w:color w:val="auto"/>
              </w:rPr>
            </w:pPr>
            <w:r>
              <w:rPr>
                <w:rFonts w:hint="default" w:ascii="Times New Roman" w:hAnsi="Times New Roman" w:cs="Times New Roman"/>
                <w:b w:val="0"/>
                <w:color w:val="auto"/>
                <w:sz w:val="13"/>
              </w:rPr>
              <w:t xml:space="preserve">Copay et al., 2008 </w:t>
            </w:r>
          </w:p>
        </w:tc>
        <w:tc>
          <w:tcPr>
            <w:tcW w:w="748" w:type="pct"/>
            <w:tcMar>
              <w:top w:w="90" w:type="dxa"/>
              <w:left w:w="90" w:type="dxa"/>
              <w:bottom w:w="90" w:type="dxa"/>
              <w:right w:w="90" w:type="dxa"/>
            </w:tcMar>
            <w:vAlign w:val="center"/>
          </w:tcPr>
          <w:p w14:paraId="6BB329F7">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3"/>
              </w:rPr>
              <w:t>65/66 (98.5%)</w:t>
            </w:r>
          </w:p>
        </w:tc>
        <w:tc>
          <w:tcPr>
            <w:tcW w:w="748" w:type="pct"/>
            <w:tcMar>
              <w:top w:w="90" w:type="dxa"/>
              <w:left w:w="90" w:type="dxa"/>
              <w:bottom w:w="90" w:type="dxa"/>
              <w:right w:w="90" w:type="dxa"/>
            </w:tcMar>
            <w:vAlign w:val="center"/>
          </w:tcPr>
          <w:p w14:paraId="333CE33B">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3"/>
              </w:rPr>
              <w:t>33/33 (100.0%)</w:t>
            </w:r>
          </w:p>
        </w:tc>
        <w:tc>
          <w:tcPr>
            <w:tcW w:w="748" w:type="pct"/>
            <w:tcMar>
              <w:top w:w="90" w:type="dxa"/>
              <w:left w:w="90" w:type="dxa"/>
              <w:bottom w:w="90" w:type="dxa"/>
              <w:right w:w="90" w:type="dxa"/>
            </w:tcMar>
            <w:vAlign w:val="center"/>
          </w:tcPr>
          <w:p w14:paraId="373000C6">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3"/>
              </w:rPr>
              <w:t>1.5 (-10.2 to 8.1)</w:t>
            </w:r>
          </w:p>
        </w:tc>
        <w:tc>
          <w:tcPr>
            <w:tcW w:w="748" w:type="pct"/>
            <w:tcMar>
              <w:top w:w="90" w:type="dxa"/>
              <w:left w:w="90" w:type="dxa"/>
              <w:bottom w:w="90" w:type="dxa"/>
              <w:right w:w="90" w:type="dxa"/>
            </w:tcMar>
            <w:vAlign w:val="center"/>
          </w:tcPr>
          <w:p w14:paraId="0D87511D">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3"/>
              </w:rPr>
              <w:t>1.02 (0.95 to 1.06)</w:t>
            </w:r>
          </w:p>
        </w:tc>
        <w:tc>
          <w:tcPr>
            <w:tcW w:w="528" w:type="pct"/>
            <w:tcMar>
              <w:top w:w="90" w:type="dxa"/>
              <w:left w:w="90" w:type="dxa"/>
              <w:bottom w:w="90" w:type="dxa"/>
              <w:right w:w="90" w:type="dxa"/>
            </w:tcMar>
            <w:vAlign w:val="center"/>
          </w:tcPr>
          <w:p w14:paraId="5742E8A6">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3"/>
              </w:rPr>
              <w:t>1.000</w:t>
            </w:r>
          </w:p>
        </w:tc>
      </w:tr>
      <w:tr w14:paraId="37108567">
        <w:tblPrEx>
          <w:tblBorders>
            <w:top w:val="single" w:color="000000" w:sz="12" w:space="0"/>
            <w:left w:val="none" w:color="000000" w:sz="0" w:space="0"/>
            <w:bottom w:val="single" w:color="000000" w:sz="12" w:space="0"/>
            <w:right w:val="none" w:color="000000" w:sz="0" w:space="0"/>
            <w:insideH w:val="none" w:color="000000" w:sz="0" w:space="0"/>
            <w:insideV w:val="none" w:color="000000" w:sz="0" w:space="0"/>
          </w:tblBorders>
          <w:tblCellMar>
            <w:top w:w="0" w:type="dxa"/>
            <w:left w:w="108" w:type="dxa"/>
            <w:bottom w:w="0" w:type="dxa"/>
            <w:right w:w="108" w:type="dxa"/>
          </w:tblCellMar>
        </w:tblPrEx>
        <w:trPr>
          <w:jc w:val="center"/>
        </w:trPr>
        <w:tc>
          <w:tcPr>
            <w:tcW w:w="506" w:type="pct"/>
            <w:tcMar>
              <w:top w:w="90" w:type="dxa"/>
              <w:left w:w="90" w:type="dxa"/>
              <w:bottom w:w="90" w:type="dxa"/>
              <w:right w:w="90" w:type="dxa"/>
            </w:tcMar>
            <w:vAlign w:val="center"/>
          </w:tcPr>
          <w:p w14:paraId="00E852BC">
            <w:pPr>
              <w:spacing w:before="0" w:after="0"/>
              <w:jc w:val="left"/>
              <w:rPr>
                <w:rFonts w:hint="default" w:ascii="Times New Roman" w:hAnsi="Times New Roman" w:cs="Times New Roman"/>
                <w:color w:val="auto"/>
              </w:rPr>
            </w:pPr>
            <w:r>
              <w:rPr>
                <w:rFonts w:hint="default" w:ascii="Times New Roman" w:hAnsi="Times New Roman" w:cs="Times New Roman"/>
                <w:b w:val="0"/>
                <w:color w:val="auto"/>
                <w:sz w:val="13"/>
              </w:rPr>
              <w:t>ODI</w:t>
            </w:r>
          </w:p>
        </w:tc>
        <w:tc>
          <w:tcPr>
            <w:tcW w:w="396" w:type="pct"/>
            <w:tcMar>
              <w:top w:w="90" w:type="dxa"/>
              <w:left w:w="90" w:type="dxa"/>
              <w:bottom w:w="90" w:type="dxa"/>
              <w:right w:w="90" w:type="dxa"/>
            </w:tcMar>
            <w:vAlign w:val="center"/>
          </w:tcPr>
          <w:p w14:paraId="03ED0624">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3"/>
              </w:rPr>
              <w:t>12.8</w:t>
            </w:r>
          </w:p>
        </w:tc>
        <w:tc>
          <w:tcPr>
            <w:tcW w:w="572" w:type="pct"/>
            <w:tcMar>
              <w:top w:w="90" w:type="dxa"/>
              <w:left w:w="90" w:type="dxa"/>
              <w:bottom w:w="90" w:type="dxa"/>
              <w:right w:w="90" w:type="dxa"/>
            </w:tcMar>
            <w:vAlign w:val="center"/>
          </w:tcPr>
          <w:p w14:paraId="7532AA53">
            <w:pPr>
              <w:spacing w:before="0" w:after="0"/>
              <w:jc w:val="left"/>
              <w:rPr>
                <w:rFonts w:hint="default" w:ascii="Times New Roman" w:hAnsi="Times New Roman" w:cs="Times New Roman"/>
                <w:color w:val="auto"/>
              </w:rPr>
            </w:pPr>
            <w:r>
              <w:rPr>
                <w:rFonts w:hint="default" w:ascii="Times New Roman" w:hAnsi="Times New Roman" w:cs="Times New Roman"/>
                <w:b w:val="0"/>
                <w:color w:val="auto"/>
                <w:sz w:val="13"/>
              </w:rPr>
              <w:t xml:space="preserve">Copay et al., 2008 </w:t>
            </w:r>
          </w:p>
        </w:tc>
        <w:tc>
          <w:tcPr>
            <w:tcW w:w="748" w:type="pct"/>
            <w:tcMar>
              <w:top w:w="90" w:type="dxa"/>
              <w:left w:w="90" w:type="dxa"/>
              <w:bottom w:w="90" w:type="dxa"/>
              <w:right w:w="90" w:type="dxa"/>
            </w:tcMar>
            <w:vAlign w:val="center"/>
          </w:tcPr>
          <w:p w14:paraId="0FB7789E">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3"/>
              </w:rPr>
              <w:t>65/66 (98.5%)</w:t>
            </w:r>
          </w:p>
        </w:tc>
        <w:tc>
          <w:tcPr>
            <w:tcW w:w="748" w:type="pct"/>
            <w:tcMar>
              <w:top w:w="90" w:type="dxa"/>
              <w:left w:w="90" w:type="dxa"/>
              <w:bottom w:w="90" w:type="dxa"/>
              <w:right w:w="90" w:type="dxa"/>
            </w:tcMar>
            <w:vAlign w:val="center"/>
          </w:tcPr>
          <w:p w14:paraId="74FEF334">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3"/>
              </w:rPr>
              <w:t>33/33 (100.0%)</w:t>
            </w:r>
          </w:p>
        </w:tc>
        <w:tc>
          <w:tcPr>
            <w:tcW w:w="748" w:type="pct"/>
            <w:tcMar>
              <w:top w:w="90" w:type="dxa"/>
              <w:left w:w="90" w:type="dxa"/>
              <w:bottom w:w="90" w:type="dxa"/>
              <w:right w:w="90" w:type="dxa"/>
            </w:tcMar>
            <w:vAlign w:val="center"/>
          </w:tcPr>
          <w:p w14:paraId="21AF0F9D">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3"/>
              </w:rPr>
              <w:t>1.5 (-10.2 to 8.1)</w:t>
            </w:r>
          </w:p>
        </w:tc>
        <w:tc>
          <w:tcPr>
            <w:tcW w:w="748" w:type="pct"/>
            <w:tcMar>
              <w:top w:w="90" w:type="dxa"/>
              <w:left w:w="90" w:type="dxa"/>
              <w:bottom w:w="90" w:type="dxa"/>
              <w:right w:w="90" w:type="dxa"/>
            </w:tcMar>
            <w:vAlign w:val="center"/>
          </w:tcPr>
          <w:p w14:paraId="3EB4AA8A">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3"/>
              </w:rPr>
              <w:t>1.02 (0.95 to 1.06)</w:t>
            </w:r>
          </w:p>
        </w:tc>
        <w:tc>
          <w:tcPr>
            <w:tcW w:w="528" w:type="pct"/>
            <w:tcMar>
              <w:top w:w="90" w:type="dxa"/>
              <w:left w:w="90" w:type="dxa"/>
              <w:bottom w:w="90" w:type="dxa"/>
              <w:right w:w="90" w:type="dxa"/>
            </w:tcMar>
            <w:vAlign w:val="center"/>
          </w:tcPr>
          <w:p w14:paraId="29888806">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3"/>
              </w:rPr>
              <w:t>1.000</w:t>
            </w:r>
          </w:p>
        </w:tc>
      </w:tr>
      <w:tr w14:paraId="057672FB">
        <w:tblPrEx>
          <w:tblBorders>
            <w:top w:val="single" w:color="000000" w:sz="12" w:space="0"/>
            <w:left w:val="none" w:color="000000" w:sz="0" w:space="0"/>
            <w:bottom w:val="single" w:color="000000" w:sz="12" w:space="0"/>
            <w:right w:val="none" w:color="000000" w:sz="0" w:space="0"/>
            <w:insideH w:val="none" w:color="000000" w:sz="0" w:space="0"/>
            <w:insideV w:val="none" w:color="000000" w:sz="0" w:space="0"/>
          </w:tblBorders>
          <w:tblCellMar>
            <w:top w:w="0" w:type="dxa"/>
            <w:left w:w="108" w:type="dxa"/>
            <w:bottom w:w="0" w:type="dxa"/>
            <w:right w:w="108" w:type="dxa"/>
          </w:tblCellMar>
        </w:tblPrEx>
        <w:trPr>
          <w:jc w:val="center"/>
        </w:trPr>
        <w:tc>
          <w:tcPr>
            <w:tcW w:w="506" w:type="pct"/>
            <w:tcMar>
              <w:top w:w="90" w:type="dxa"/>
              <w:left w:w="90" w:type="dxa"/>
              <w:bottom w:w="90" w:type="dxa"/>
              <w:right w:w="90" w:type="dxa"/>
            </w:tcMar>
            <w:vAlign w:val="center"/>
          </w:tcPr>
          <w:p w14:paraId="60A869B1">
            <w:pPr>
              <w:spacing w:before="0" w:after="0"/>
              <w:jc w:val="left"/>
              <w:rPr>
                <w:rFonts w:hint="default" w:ascii="Times New Roman" w:hAnsi="Times New Roman" w:cs="Times New Roman"/>
                <w:color w:val="auto"/>
              </w:rPr>
            </w:pPr>
            <w:r>
              <w:rPr>
                <w:rFonts w:hint="default" w:ascii="Times New Roman" w:hAnsi="Times New Roman" w:cs="Times New Roman"/>
                <w:b w:val="0"/>
                <w:color w:val="auto"/>
                <w:sz w:val="13"/>
              </w:rPr>
              <w:t>EQ-5D-5L</w:t>
            </w:r>
          </w:p>
        </w:tc>
        <w:tc>
          <w:tcPr>
            <w:tcW w:w="396" w:type="pct"/>
            <w:tcMar>
              <w:top w:w="90" w:type="dxa"/>
              <w:left w:w="90" w:type="dxa"/>
              <w:bottom w:w="90" w:type="dxa"/>
              <w:right w:w="90" w:type="dxa"/>
            </w:tcMar>
            <w:vAlign w:val="center"/>
          </w:tcPr>
          <w:p w14:paraId="58276080">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3"/>
              </w:rPr>
              <w:t>0.22</w:t>
            </w:r>
          </w:p>
        </w:tc>
        <w:tc>
          <w:tcPr>
            <w:tcW w:w="572" w:type="pct"/>
            <w:tcMar>
              <w:top w:w="90" w:type="dxa"/>
              <w:left w:w="90" w:type="dxa"/>
              <w:bottom w:w="90" w:type="dxa"/>
              <w:right w:w="90" w:type="dxa"/>
            </w:tcMar>
            <w:vAlign w:val="center"/>
          </w:tcPr>
          <w:p w14:paraId="50F34A72">
            <w:pPr>
              <w:spacing w:before="0" w:after="0"/>
              <w:jc w:val="left"/>
              <w:rPr>
                <w:rFonts w:hint="default" w:ascii="Times New Roman" w:hAnsi="Times New Roman" w:cs="Times New Roman"/>
                <w:color w:val="auto"/>
              </w:rPr>
            </w:pPr>
            <w:r>
              <w:rPr>
                <w:rFonts w:hint="default" w:ascii="Times New Roman" w:hAnsi="Times New Roman" w:cs="Times New Roman"/>
                <w:b w:val="0"/>
                <w:color w:val="auto"/>
                <w:sz w:val="13"/>
              </w:rPr>
              <w:t>Yakdan et al., 2025</w:t>
            </w:r>
          </w:p>
        </w:tc>
        <w:tc>
          <w:tcPr>
            <w:tcW w:w="748" w:type="pct"/>
            <w:tcMar>
              <w:top w:w="90" w:type="dxa"/>
              <w:left w:w="90" w:type="dxa"/>
              <w:bottom w:w="90" w:type="dxa"/>
              <w:right w:w="90" w:type="dxa"/>
            </w:tcMar>
            <w:vAlign w:val="center"/>
          </w:tcPr>
          <w:p w14:paraId="68000350">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3"/>
              </w:rPr>
              <w:t>58/66 (87.9%)</w:t>
            </w:r>
          </w:p>
        </w:tc>
        <w:tc>
          <w:tcPr>
            <w:tcW w:w="748" w:type="pct"/>
            <w:tcMar>
              <w:top w:w="90" w:type="dxa"/>
              <w:left w:w="90" w:type="dxa"/>
              <w:bottom w:w="90" w:type="dxa"/>
              <w:right w:w="90" w:type="dxa"/>
            </w:tcMar>
            <w:vAlign w:val="center"/>
          </w:tcPr>
          <w:p w14:paraId="5622883F">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3"/>
              </w:rPr>
              <w:t>29/33 (87.9%)</w:t>
            </w:r>
          </w:p>
        </w:tc>
        <w:tc>
          <w:tcPr>
            <w:tcW w:w="748" w:type="pct"/>
            <w:tcMar>
              <w:top w:w="90" w:type="dxa"/>
              <w:left w:w="90" w:type="dxa"/>
              <w:bottom w:w="90" w:type="dxa"/>
              <w:right w:w="90" w:type="dxa"/>
            </w:tcMar>
            <w:vAlign w:val="center"/>
          </w:tcPr>
          <w:p w14:paraId="6CD44093">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3"/>
              </w:rPr>
              <w:t>0.0 (-21.1 to 17.3)</w:t>
            </w:r>
          </w:p>
        </w:tc>
        <w:tc>
          <w:tcPr>
            <w:tcW w:w="748" w:type="pct"/>
            <w:tcMar>
              <w:top w:w="90" w:type="dxa"/>
              <w:left w:w="90" w:type="dxa"/>
              <w:bottom w:w="90" w:type="dxa"/>
              <w:right w:w="90" w:type="dxa"/>
            </w:tcMar>
            <w:vAlign w:val="center"/>
          </w:tcPr>
          <w:p w14:paraId="270EA375">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3"/>
              </w:rPr>
              <w:t>1.00 (0.86 to 1.17)</w:t>
            </w:r>
          </w:p>
        </w:tc>
        <w:tc>
          <w:tcPr>
            <w:tcW w:w="528" w:type="pct"/>
            <w:tcMar>
              <w:top w:w="90" w:type="dxa"/>
              <w:left w:w="90" w:type="dxa"/>
              <w:bottom w:w="90" w:type="dxa"/>
              <w:right w:w="90" w:type="dxa"/>
            </w:tcMar>
            <w:vAlign w:val="center"/>
          </w:tcPr>
          <w:p w14:paraId="0D773B47">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3"/>
              </w:rPr>
              <w:t>1.000</w:t>
            </w:r>
          </w:p>
        </w:tc>
      </w:tr>
    </w:tbl>
    <w:p w14:paraId="412D9DE6">
      <w:pPr>
        <w:rPr>
          <w:rFonts w:hint="default" w:ascii="Times New Roman" w:hAnsi="Times New Roman" w:cs="Times New Roman"/>
          <w:i w:val="0"/>
          <w:iCs/>
          <w:color w:val="auto"/>
          <w:sz w:val="16"/>
          <w:szCs w:val="16"/>
        </w:rPr>
      </w:pPr>
      <w:r>
        <w:rPr>
          <w:rFonts w:hint="default" w:ascii="Times New Roman" w:hAnsi="Times New Roman" w:cs="Times New Roman"/>
          <w:i w:val="0"/>
          <w:iCs/>
          <w:color w:val="auto"/>
          <w:sz w:val="16"/>
          <w:szCs w:val="16"/>
        </w:rPr>
        <w:t>Notes:</w:t>
      </w:r>
      <w:r>
        <w:rPr>
          <w:rFonts w:hint="eastAsia" w:ascii="Times New Roman" w:hAnsi="Times New Roman" w:eastAsia="宋体" w:cs="Times New Roman"/>
          <w:i w:val="0"/>
          <w:iCs/>
          <w:color w:val="auto"/>
          <w:sz w:val="16"/>
          <w:szCs w:val="16"/>
          <w:lang w:val="en-US" w:eastAsia="zh-CN"/>
        </w:rPr>
        <w:t xml:space="preserve"> </w:t>
      </w:r>
      <w:r>
        <w:rPr>
          <w:rFonts w:hint="default" w:ascii="Times New Roman" w:hAnsi="Times New Roman" w:cs="Times New Roman"/>
          <w:i w:val="0"/>
          <w:iCs/>
          <w:color w:val="auto"/>
          <w:sz w:val="16"/>
          <w:szCs w:val="16"/>
        </w:rPr>
        <w:t>Improvement was baseline minus 12-month score for VAS and ODI and 12-month minus baseline for EQ-5D-5L. Risk differences are Nav minus Fluoro; risk ratios are Nav/Fluoro. Adjusted logistic models were not emphasized because near-universal response for pain and disability outcomes resulted in complete or near-complete separation and limited stable multivariable estimation.</w:t>
      </w:r>
    </w:p>
    <w:p w14:paraId="556B65AA">
      <w:pPr>
        <w:rPr>
          <w:rFonts w:hint="default" w:ascii="Times New Roman" w:hAnsi="Times New Roman" w:cs="Times New Roman"/>
          <w:i/>
          <w:color w:val="auto"/>
        </w:rPr>
      </w:pPr>
      <w:r>
        <w:rPr>
          <w:rFonts w:hint="default" w:ascii="Times New Roman" w:hAnsi="Times New Roman" w:cs="Times New Roman"/>
          <w:i/>
          <w:color w:val="auto"/>
        </w:rPr>
        <w:br w:type="page"/>
      </w:r>
    </w:p>
    <w:p w14:paraId="322C845D">
      <w:pPr>
        <w:pStyle w:val="4"/>
        <w:keepNext/>
        <w:rPr>
          <w:rFonts w:hint="default" w:ascii="Times New Roman" w:hAnsi="Times New Roman" w:cs="Times New Roman"/>
          <w:color w:val="auto"/>
        </w:rPr>
      </w:pPr>
      <w:r>
        <w:rPr>
          <w:rFonts w:hint="default" w:ascii="Times New Roman" w:hAnsi="Times New Roman" w:cs="Times New Roman"/>
          <w:i w:val="0"/>
          <w:color w:val="auto"/>
        </w:rPr>
        <w:t>Supplementary Table 5. Generalized estimating equation analysis of per-screw radiographic outcomes</w:t>
      </w:r>
    </w:p>
    <w:tbl>
      <w:tblPr>
        <w:tblStyle w:val="32"/>
        <w:tblW w:w="4998" w:type="pct"/>
        <w:jc w:val="center"/>
        <w:tblBorders>
          <w:top w:val="single" w:color="000000" w:sz="12" w:space="0"/>
          <w:left w:val="none" w:color="000000" w:sz="0" w:space="0"/>
          <w:bottom w:val="single" w:color="000000" w:sz="12" w:space="0"/>
          <w:right w:val="none" w:color="000000" w:sz="0" w:space="0"/>
          <w:insideH w:val="none" w:color="000000" w:sz="0" w:space="0"/>
          <w:insideV w:val="none" w:color="000000" w:sz="0" w:space="0"/>
        </w:tblBorders>
        <w:tblLayout w:type="autofit"/>
        <w:tblCellMar>
          <w:top w:w="0" w:type="dxa"/>
          <w:left w:w="108" w:type="dxa"/>
          <w:bottom w:w="0" w:type="dxa"/>
          <w:right w:w="108" w:type="dxa"/>
        </w:tblCellMar>
      </w:tblPr>
      <w:tblGrid>
        <w:gridCol w:w="2307"/>
        <w:gridCol w:w="1844"/>
        <w:gridCol w:w="1844"/>
        <w:gridCol w:w="2769"/>
        <w:gridCol w:w="1384"/>
      </w:tblGrid>
      <w:tr w14:paraId="1A536BEB">
        <w:tblPrEx>
          <w:tblBorders>
            <w:top w:val="single" w:color="000000" w:sz="12" w:space="0"/>
            <w:left w:val="none" w:color="000000" w:sz="0" w:space="0"/>
            <w:bottom w:val="single" w:color="000000" w:sz="12" w:space="0"/>
            <w:right w:val="none" w:color="000000" w:sz="0" w:space="0"/>
            <w:insideH w:val="none" w:color="000000" w:sz="0" w:space="0"/>
            <w:insideV w:val="none" w:color="000000" w:sz="0" w:space="0"/>
          </w:tblBorders>
          <w:tblCellMar>
            <w:top w:w="0" w:type="dxa"/>
            <w:left w:w="108" w:type="dxa"/>
            <w:bottom w:w="0" w:type="dxa"/>
            <w:right w:w="108" w:type="dxa"/>
          </w:tblCellMar>
        </w:tblPrEx>
        <w:trPr>
          <w:tblHeader/>
          <w:jc w:val="center"/>
        </w:trPr>
        <w:tc>
          <w:tcPr>
            <w:tcW w:w="1136" w:type="pct"/>
            <w:tcBorders>
              <w:bottom w:val="single" w:color="000000" w:sz="8" w:space="0"/>
            </w:tcBorders>
            <w:tcMar>
              <w:top w:w="90" w:type="dxa"/>
              <w:left w:w="90" w:type="dxa"/>
              <w:bottom w:w="90" w:type="dxa"/>
              <w:right w:w="90" w:type="dxa"/>
            </w:tcMar>
            <w:vAlign w:val="center"/>
          </w:tcPr>
          <w:p w14:paraId="3ACBF73A">
            <w:pPr>
              <w:spacing w:before="0" w:after="0"/>
              <w:jc w:val="center"/>
              <w:rPr>
                <w:rFonts w:hint="default" w:ascii="Times New Roman" w:hAnsi="Times New Roman" w:cs="Times New Roman"/>
                <w:color w:val="auto"/>
              </w:rPr>
            </w:pPr>
            <w:r>
              <w:rPr>
                <w:rFonts w:hint="default" w:ascii="Times New Roman" w:hAnsi="Times New Roman" w:cs="Times New Roman"/>
                <w:b/>
                <w:color w:val="auto"/>
                <w:sz w:val="16"/>
              </w:rPr>
              <w:t>Outcome</w:t>
            </w:r>
          </w:p>
        </w:tc>
        <w:tc>
          <w:tcPr>
            <w:tcW w:w="908" w:type="pct"/>
            <w:tcBorders>
              <w:bottom w:val="single" w:color="000000" w:sz="8" w:space="0"/>
            </w:tcBorders>
            <w:tcMar>
              <w:top w:w="90" w:type="dxa"/>
              <w:left w:w="90" w:type="dxa"/>
              <w:bottom w:w="90" w:type="dxa"/>
              <w:right w:w="90" w:type="dxa"/>
            </w:tcMar>
            <w:vAlign w:val="center"/>
          </w:tcPr>
          <w:p w14:paraId="6F4F906E">
            <w:pPr>
              <w:spacing w:before="0" w:after="0"/>
              <w:jc w:val="center"/>
              <w:rPr>
                <w:rFonts w:hint="default" w:ascii="Times New Roman" w:hAnsi="Times New Roman" w:cs="Times New Roman"/>
                <w:color w:val="auto"/>
              </w:rPr>
            </w:pPr>
            <w:r>
              <w:rPr>
                <w:rFonts w:hint="default" w:ascii="Times New Roman" w:hAnsi="Times New Roman" w:cs="Times New Roman"/>
                <w:b/>
                <w:color w:val="auto"/>
                <w:sz w:val="16"/>
              </w:rPr>
              <w:t>Fluoro-UBE-TLIF</w:t>
            </w:r>
          </w:p>
        </w:tc>
        <w:tc>
          <w:tcPr>
            <w:tcW w:w="908" w:type="pct"/>
            <w:tcBorders>
              <w:bottom w:val="single" w:color="000000" w:sz="8" w:space="0"/>
            </w:tcBorders>
            <w:tcMar>
              <w:top w:w="90" w:type="dxa"/>
              <w:left w:w="90" w:type="dxa"/>
              <w:bottom w:w="90" w:type="dxa"/>
              <w:right w:w="90" w:type="dxa"/>
            </w:tcMar>
            <w:vAlign w:val="center"/>
          </w:tcPr>
          <w:p w14:paraId="61ED4BDB">
            <w:pPr>
              <w:spacing w:before="0" w:after="0"/>
              <w:jc w:val="center"/>
              <w:rPr>
                <w:rFonts w:hint="default" w:ascii="Times New Roman" w:hAnsi="Times New Roman" w:cs="Times New Roman"/>
                <w:color w:val="auto"/>
              </w:rPr>
            </w:pPr>
            <w:r>
              <w:rPr>
                <w:rFonts w:hint="default" w:ascii="Times New Roman" w:hAnsi="Times New Roman" w:cs="Times New Roman"/>
                <w:b/>
                <w:color w:val="auto"/>
                <w:sz w:val="16"/>
              </w:rPr>
              <w:t>Nav-UBE-TLIF</w:t>
            </w:r>
          </w:p>
        </w:tc>
        <w:tc>
          <w:tcPr>
            <w:tcW w:w="1363" w:type="pct"/>
            <w:tcBorders>
              <w:bottom w:val="single" w:color="000000" w:sz="8" w:space="0"/>
            </w:tcBorders>
            <w:tcMar>
              <w:top w:w="90" w:type="dxa"/>
              <w:left w:w="90" w:type="dxa"/>
              <w:bottom w:w="90" w:type="dxa"/>
              <w:right w:w="90" w:type="dxa"/>
            </w:tcMar>
            <w:vAlign w:val="center"/>
          </w:tcPr>
          <w:p w14:paraId="21CDFCFB">
            <w:pPr>
              <w:spacing w:before="0" w:after="0"/>
              <w:jc w:val="center"/>
              <w:rPr>
                <w:rFonts w:hint="default" w:ascii="Times New Roman" w:hAnsi="Times New Roman" w:cs="Times New Roman"/>
                <w:color w:val="auto"/>
              </w:rPr>
            </w:pPr>
            <w:r>
              <w:rPr>
                <w:rFonts w:hint="default" w:ascii="Times New Roman" w:hAnsi="Times New Roman" w:cs="Times New Roman"/>
                <w:b/>
                <w:color w:val="auto"/>
                <w:sz w:val="16"/>
              </w:rPr>
              <w:t>Odds ratio (95% CI)</w:t>
            </w:r>
          </w:p>
        </w:tc>
        <w:tc>
          <w:tcPr>
            <w:tcW w:w="681" w:type="pct"/>
            <w:tcBorders>
              <w:bottom w:val="single" w:color="000000" w:sz="8" w:space="0"/>
            </w:tcBorders>
            <w:tcMar>
              <w:top w:w="90" w:type="dxa"/>
              <w:left w:w="90" w:type="dxa"/>
              <w:bottom w:w="90" w:type="dxa"/>
              <w:right w:w="90" w:type="dxa"/>
            </w:tcMar>
            <w:vAlign w:val="center"/>
          </w:tcPr>
          <w:p w14:paraId="59879F66">
            <w:pPr>
              <w:spacing w:before="0" w:after="0"/>
              <w:jc w:val="center"/>
              <w:rPr>
                <w:rFonts w:hint="default" w:ascii="Times New Roman" w:hAnsi="Times New Roman" w:cs="Times New Roman"/>
                <w:color w:val="auto"/>
              </w:rPr>
            </w:pPr>
            <w:r>
              <w:rPr>
                <w:rFonts w:hint="default" w:ascii="Times New Roman" w:hAnsi="Times New Roman" w:cs="Times New Roman"/>
                <w:b/>
                <w:color w:val="auto"/>
                <w:sz w:val="16"/>
              </w:rPr>
              <w:t>p-value</w:t>
            </w:r>
          </w:p>
        </w:tc>
      </w:tr>
      <w:tr w14:paraId="611E3FE4">
        <w:tblPrEx>
          <w:tblBorders>
            <w:top w:val="single" w:color="000000" w:sz="12" w:space="0"/>
            <w:left w:val="none" w:color="000000" w:sz="0" w:space="0"/>
            <w:bottom w:val="single" w:color="000000" w:sz="12" w:space="0"/>
            <w:right w:val="none" w:color="000000" w:sz="0" w:space="0"/>
            <w:insideH w:val="none" w:color="000000" w:sz="0" w:space="0"/>
            <w:insideV w:val="none" w:color="000000" w:sz="0" w:space="0"/>
          </w:tblBorders>
          <w:tblCellMar>
            <w:top w:w="0" w:type="dxa"/>
            <w:left w:w="108" w:type="dxa"/>
            <w:bottom w:w="0" w:type="dxa"/>
            <w:right w:w="108" w:type="dxa"/>
          </w:tblCellMar>
        </w:tblPrEx>
        <w:trPr>
          <w:jc w:val="center"/>
        </w:trPr>
        <w:tc>
          <w:tcPr>
            <w:tcW w:w="1136" w:type="pct"/>
            <w:tcMar>
              <w:top w:w="90" w:type="dxa"/>
              <w:left w:w="90" w:type="dxa"/>
              <w:bottom w:w="90" w:type="dxa"/>
              <w:right w:w="90" w:type="dxa"/>
            </w:tcMar>
            <w:vAlign w:val="center"/>
          </w:tcPr>
          <w:p w14:paraId="031DAF9B">
            <w:pPr>
              <w:spacing w:before="0" w:after="0"/>
              <w:jc w:val="left"/>
              <w:rPr>
                <w:rFonts w:hint="default" w:ascii="Times New Roman" w:hAnsi="Times New Roman" w:cs="Times New Roman"/>
                <w:color w:val="auto"/>
              </w:rPr>
            </w:pPr>
            <w:r>
              <w:rPr>
                <w:rFonts w:hint="default" w:ascii="Times New Roman" w:hAnsi="Times New Roman" w:cs="Times New Roman"/>
                <w:b w:val="0"/>
                <w:color w:val="auto"/>
                <w:sz w:val="16"/>
              </w:rPr>
              <w:t>Mobbs-Raley grade 0</w:t>
            </w:r>
          </w:p>
        </w:tc>
        <w:tc>
          <w:tcPr>
            <w:tcW w:w="908" w:type="pct"/>
            <w:tcMar>
              <w:top w:w="90" w:type="dxa"/>
              <w:left w:w="90" w:type="dxa"/>
              <w:bottom w:w="90" w:type="dxa"/>
              <w:right w:w="90" w:type="dxa"/>
            </w:tcMar>
            <w:vAlign w:val="center"/>
          </w:tcPr>
          <w:p w14:paraId="6114F281">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6"/>
              </w:rPr>
              <w:t>237/264 (89.8%)</w:t>
            </w:r>
          </w:p>
        </w:tc>
        <w:tc>
          <w:tcPr>
            <w:tcW w:w="908" w:type="pct"/>
            <w:tcMar>
              <w:top w:w="90" w:type="dxa"/>
              <w:left w:w="90" w:type="dxa"/>
              <w:bottom w:w="90" w:type="dxa"/>
              <w:right w:w="90" w:type="dxa"/>
            </w:tcMar>
            <w:vAlign w:val="center"/>
          </w:tcPr>
          <w:p w14:paraId="2E3CF522">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6"/>
              </w:rPr>
              <w:t>122/132 (92.4%)</w:t>
            </w:r>
          </w:p>
        </w:tc>
        <w:tc>
          <w:tcPr>
            <w:tcW w:w="1363" w:type="pct"/>
            <w:tcMar>
              <w:top w:w="90" w:type="dxa"/>
              <w:left w:w="90" w:type="dxa"/>
              <w:bottom w:w="90" w:type="dxa"/>
              <w:right w:w="90" w:type="dxa"/>
            </w:tcMar>
            <w:vAlign w:val="center"/>
          </w:tcPr>
          <w:p w14:paraId="346A4E2C">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6"/>
              </w:rPr>
              <w:t>1.39 (0.68 to 2.83)</w:t>
            </w:r>
          </w:p>
        </w:tc>
        <w:tc>
          <w:tcPr>
            <w:tcW w:w="681" w:type="pct"/>
            <w:tcMar>
              <w:top w:w="90" w:type="dxa"/>
              <w:left w:w="90" w:type="dxa"/>
              <w:bottom w:w="90" w:type="dxa"/>
              <w:right w:w="90" w:type="dxa"/>
            </w:tcMar>
            <w:vAlign w:val="center"/>
          </w:tcPr>
          <w:p w14:paraId="0F556B97">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6"/>
              </w:rPr>
              <w:t>0.365</w:t>
            </w:r>
          </w:p>
        </w:tc>
      </w:tr>
      <w:tr w14:paraId="4402A526">
        <w:tblPrEx>
          <w:tblBorders>
            <w:top w:val="single" w:color="000000" w:sz="12" w:space="0"/>
            <w:left w:val="none" w:color="000000" w:sz="0" w:space="0"/>
            <w:bottom w:val="single" w:color="000000" w:sz="12" w:space="0"/>
            <w:right w:val="none" w:color="000000" w:sz="0" w:space="0"/>
            <w:insideH w:val="none" w:color="000000" w:sz="0" w:space="0"/>
            <w:insideV w:val="none" w:color="000000" w:sz="0" w:space="0"/>
          </w:tblBorders>
          <w:tblCellMar>
            <w:top w:w="0" w:type="dxa"/>
            <w:left w:w="108" w:type="dxa"/>
            <w:bottom w:w="0" w:type="dxa"/>
            <w:right w:w="108" w:type="dxa"/>
          </w:tblCellMar>
        </w:tblPrEx>
        <w:trPr>
          <w:jc w:val="center"/>
        </w:trPr>
        <w:tc>
          <w:tcPr>
            <w:tcW w:w="1136" w:type="pct"/>
            <w:tcMar>
              <w:top w:w="90" w:type="dxa"/>
              <w:left w:w="90" w:type="dxa"/>
              <w:bottom w:w="90" w:type="dxa"/>
              <w:right w:w="90" w:type="dxa"/>
            </w:tcMar>
            <w:vAlign w:val="center"/>
          </w:tcPr>
          <w:p w14:paraId="2BC6F731">
            <w:pPr>
              <w:spacing w:before="0" w:after="0"/>
              <w:jc w:val="left"/>
              <w:rPr>
                <w:rFonts w:hint="default" w:ascii="Times New Roman" w:hAnsi="Times New Roman" w:cs="Times New Roman"/>
                <w:color w:val="auto"/>
              </w:rPr>
            </w:pPr>
            <w:r>
              <w:rPr>
                <w:rFonts w:hint="default" w:ascii="Times New Roman" w:hAnsi="Times New Roman" w:cs="Times New Roman"/>
                <w:b w:val="0"/>
                <w:color w:val="auto"/>
                <w:sz w:val="16"/>
              </w:rPr>
              <w:t>Badu grade 0</w:t>
            </w:r>
          </w:p>
        </w:tc>
        <w:tc>
          <w:tcPr>
            <w:tcW w:w="908" w:type="pct"/>
            <w:tcMar>
              <w:top w:w="90" w:type="dxa"/>
              <w:left w:w="90" w:type="dxa"/>
              <w:bottom w:w="90" w:type="dxa"/>
              <w:right w:w="90" w:type="dxa"/>
            </w:tcMar>
            <w:vAlign w:val="center"/>
          </w:tcPr>
          <w:p w14:paraId="2B749577">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6"/>
              </w:rPr>
              <w:t>252/264 (95.5%)</w:t>
            </w:r>
          </w:p>
        </w:tc>
        <w:tc>
          <w:tcPr>
            <w:tcW w:w="908" w:type="pct"/>
            <w:tcMar>
              <w:top w:w="90" w:type="dxa"/>
              <w:left w:w="90" w:type="dxa"/>
              <w:bottom w:w="90" w:type="dxa"/>
              <w:right w:w="90" w:type="dxa"/>
            </w:tcMar>
            <w:vAlign w:val="center"/>
          </w:tcPr>
          <w:p w14:paraId="07A368C7">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6"/>
              </w:rPr>
              <w:t>130/132 (98.5%)</w:t>
            </w:r>
          </w:p>
        </w:tc>
        <w:tc>
          <w:tcPr>
            <w:tcW w:w="1363" w:type="pct"/>
            <w:tcMar>
              <w:top w:w="90" w:type="dxa"/>
              <w:left w:w="90" w:type="dxa"/>
              <w:bottom w:w="90" w:type="dxa"/>
              <w:right w:w="90" w:type="dxa"/>
            </w:tcMar>
            <w:vAlign w:val="center"/>
          </w:tcPr>
          <w:p w14:paraId="4B444876">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6"/>
              </w:rPr>
              <w:t>3.10 (0.71 to 13.40)</w:t>
            </w:r>
          </w:p>
        </w:tc>
        <w:tc>
          <w:tcPr>
            <w:tcW w:w="681" w:type="pct"/>
            <w:tcMar>
              <w:top w:w="90" w:type="dxa"/>
              <w:left w:w="90" w:type="dxa"/>
              <w:bottom w:w="90" w:type="dxa"/>
              <w:right w:w="90" w:type="dxa"/>
            </w:tcMar>
            <w:vAlign w:val="center"/>
          </w:tcPr>
          <w:p w14:paraId="22FF450B">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6"/>
              </w:rPr>
              <w:t>0.131</w:t>
            </w:r>
          </w:p>
        </w:tc>
      </w:tr>
    </w:tbl>
    <w:p w14:paraId="4A486FCD">
      <w:pPr>
        <w:rPr>
          <w:rFonts w:hint="default" w:ascii="Times New Roman" w:hAnsi="Times New Roman" w:cs="Times New Roman"/>
          <w:i/>
          <w:color w:val="auto"/>
        </w:rPr>
      </w:pPr>
      <w:r>
        <w:rPr>
          <w:rFonts w:hint="default" w:ascii="Times New Roman" w:hAnsi="Times New Roman" w:cs="Times New Roman"/>
          <w:i w:val="0"/>
          <w:iCs/>
          <w:color w:val="auto"/>
          <w:sz w:val="16"/>
          <w:szCs w:val="16"/>
        </w:rPr>
        <w:t>Notes: Outcomes were analyzed at the screw level. Odds ratios are expressed for Nav-UBE-TLIF versus Fluoro-UBE-TLIF and were estimated using generalized estimating equations with an exchangeable correlation structure to account for clustering of screws within patients.</w:t>
      </w:r>
      <w:r>
        <w:rPr>
          <w:rFonts w:hint="default" w:ascii="Times New Roman" w:hAnsi="Times New Roman" w:cs="Times New Roman"/>
          <w:i/>
          <w:color w:val="auto"/>
        </w:rPr>
        <w:br w:type="page"/>
      </w:r>
    </w:p>
    <w:p w14:paraId="25D3F608">
      <w:pPr>
        <w:pStyle w:val="4"/>
        <w:keepNext/>
        <w:rPr>
          <w:rFonts w:hint="default" w:ascii="Times New Roman" w:hAnsi="Times New Roman" w:cs="Times New Roman"/>
          <w:color w:val="auto"/>
        </w:rPr>
      </w:pPr>
      <w:r>
        <w:rPr>
          <w:rFonts w:hint="default" w:ascii="Times New Roman" w:hAnsi="Times New Roman" w:cs="Times New Roman"/>
          <w:i w:val="0"/>
          <w:color w:val="auto"/>
        </w:rPr>
        <w:t>Supplementary Table 6. Interobserver reliability analysis for radiographic assessments</w:t>
      </w:r>
    </w:p>
    <w:tbl>
      <w:tblPr>
        <w:tblStyle w:val="32"/>
        <w:tblW w:w="4998" w:type="pct"/>
        <w:jc w:val="center"/>
        <w:tblBorders>
          <w:top w:val="single" w:color="000000" w:sz="12" w:space="0"/>
          <w:left w:val="none" w:color="000000" w:sz="0" w:space="0"/>
          <w:bottom w:val="single" w:color="000000" w:sz="12" w:space="0"/>
          <w:right w:val="none" w:color="000000" w:sz="0" w:space="0"/>
          <w:insideH w:val="none" w:color="000000" w:sz="0" w:space="0"/>
          <w:insideV w:val="none" w:color="000000" w:sz="0" w:space="0"/>
        </w:tblBorders>
        <w:tblLayout w:type="autofit"/>
        <w:tblCellMar>
          <w:top w:w="0" w:type="dxa"/>
          <w:left w:w="108" w:type="dxa"/>
          <w:bottom w:w="0" w:type="dxa"/>
          <w:right w:w="108" w:type="dxa"/>
        </w:tblCellMar>
      </w:tblPr>
      <w:tblGrid>
        <w:gridCol w:w="2768"/>
        <w:gridCol w:w="1844"/>
        <w:gridCol w:w="2768"/>
        <w:gridCol w:w="2768"/>
      </w:tblGrid>
      <w:tr w14:paraId="6ABB2010">
        <w:tblPrEx>
          <w:tblBorders>
            <w:top w:val="single" w:color="000000" w:sz="12" w:space="0"/>
            <w:left w:val="none" w:color="000000" w:sz="0" w:space="0"/>
            <w:bottom w:val="single" w:color="000000" w:sz="12" w:space="0"/>
            <w:right w:val="none" w:color="000000" w:sz="0" w:space="0"/>
            <w:insideH w:val="none" w:color="000000" w:sz="0" w:space="0"/>
            <w:insideV w:val="none" w:color="000000" w:sz="0" w:space="0"/>
          </w:tblBorders>
          <w:tblCellMar>
            <w:top w:w="0" w:type="dxa"/>
            <w:left w:w="108" w:type="dxa"/>
            <w:bottom w:w="0" w:type="dxa"/>
            <w:right w:w="108" w:type="dxa"/>
          </w:tblCellMar>
        </w:tblPrEx>
        <w:trPr>
          <w:tblHeader/>
          <w:jc w:val="center"/>
        </w:trPr>
        <w:tc>
          <w:tcPr>
            <w:tcW w:w="1363" w:type="pct"/>
            <w:tcBorders>
              <w:bottom w:val="single" w:color="000000" w:sz="8" w:space="0"/>
            </w:tcBorders>
            <w:tcMar>
              <w:top w:w="90" w:type="dxa"/>
              <w:left w:w="90" w:type="dxa"/>
              <w:bottom w:w="90" w:type="dxa"/>
              <w:right w:w="90" w:type="dxa"/>
            </w:tcMar>
            <w:vAlign w:val="center"/>
          </w:tcPr>
          <w:p w14:paraId="505318C1">
            <w:pPr>
              <w:spacing w:before="0" w:after="0"/>
              <w:jc w:val="center"/>
              <w:rPr>
                <w:rFonts w:hint="default" w:ascii="Times New Roman" w:hAnsi="Times New Roman" w:cs="Times New Roman"/>
                <w:color w:val="auto"/>
              </w:rPr>
            </w:pPr>
            <w:r>
              <w:rPr>
                <w:rFonts w:hint="default" w:ascii="Times New Roman" w:hAnsi="Times New Roman" w:cs="Times New Roman"/>
                <w:b/>
                <w:color w:val="auto"/>
                <w:sz w:val="15"/>
              </w:rPr>
              <w:t>Radiographic measurement</w:t>
            </w:r>
          </w:p>
        </w:tc>
        <w:tc>
          <w:tcPr>
            <w:tcW w:w="908" w:type="pct"/>
            <w:tcBorders>
              <w:bottom w:val="single" w:color="000000" w:sz="8" w:space="0"/>
            </w:tcBorders>
            <w:tcMar>
              <w:top w:w="90" w:type="dxa"/>
              <w:left w:w="90" w:type="dxa"/>
              <w:bottom w:w="90" w:type="dxa"/>
              <w:right w:w="90" w:type="dxa"/>
            </w:tcMar>
            <w:vAlign w:val="center"/>
          </w:tcPr>
          <w:p w14:paraId="0E849015">
            <w:pPr>
              <w:spacing w:before="0" w:after="0"/>
              <w:jc w:val="center"/>
              <w:rPr>
                <w:rFonts w:hint="default" w:ascii="Times New Roman" w:hAnsi="Times New Roman" w:cs="Times New Roman"/>
                <w:color w:val="auto"/>
              </w:rPr>
            </w:pPr>
            <w:r>
              <w:rPr>
                <w:rFonts w:hint="default" w:ascii="Times New Roman" w:hAnsi="Times New Roman" w:cs="Times New Roman"/>
                <w:b/>
                <w:color w:val="auto"/>
                <w:sz w:val="15"/>
              </w:rPr>
              <w:t>Reliability statistic</w:t>
            </w:r>
          </w:p>
        </w:tc>
        <w:tc>
          <w:tcPr>
            <w:tcW w:w="1363" w:type="pct"/>
            <w:tcBorders>
              <w:bottom w:val="single" w:color="000000" w:sz="8" w:space="0"/>
            </w:tcBorders>
            <w:tcMar>
              <w:top w:w="90" w:type="dxa"/>
              <w:left w:w="90" w:type="dxa"/>
              <w:bottom w:w="90" w:type="dxa"/>
              <w:right w:w="90" w:type="dxa"/>
            </w:tcMar>
            <w:vAlign w:val="center"/>
          </w:tcPr>
          <w:p w14:paraId="2D70D336">
            <w:pPr>
              <w:spacing w:before="0" w:after="0"/>
              <w:jc w:val="center"/>
              <w:rPr>
                <w:rFonts w:hint="default" w:ascii="Times New Roman" w:hAnsi="Times New Roman" w:cs="Times New Roman"/>
                <w:color w:val="auto"/>
              </w:rPr>
            </w:pPr>
            <w:r>
              <w:rPr>
                <w:rFonts w:hint="default" w:ascii="Times New Roman" w:hAnsi="Times New Roman" w:cs="Times New Roman"/>
                <w:b/>
                <w:color w:val="auto"/>
                <w:sz w:val="15"/>
              </w:rPr>
              <w:t>Estimate (95% CI)</w:t>
            </w:r>
          </w:p>
        </w:tc>
        <w:tc>
          <w:tcPr>
            <w:tcW w:w="1363" w:type="pct"/>
            <w:tcBorders>
              <w:bottom w:val="single" w:color="000000" w:sz="8" w:space="0"/>
            </w:tcBorders>
            <w:tcMar>
              <w:top w:w="90" w:type="dxa"/>
              <w:left w:w="90" w:type="dxa"/>
              <w:bottom w:w="90" w:type="dxa"/>
              <w:right w:w="90" w:type="dxa"/>
            </w:tcMar>
            <w:vAlign w:val="center"/>
          </w:tcPr>
          <w:p w14:paraId="25373C15">
            <w:pPr>
              <w:spacing w:before="0" w:after="0"/>
              <w:jc w:val="center"/>
              <w:rPr>
                <w:rFonts w:hint="default" w:ascii="Times New Roman" w:hAnsi="Times New Roman" w:cs="Times New Roman"/>
                <w:color w:val="auto"/>
              </w:rPr>
            </w:pPr>
            <w:r>
              <w:rPr>
                <w:rFonts w:hint="default" w:ascii="Times New Roman" w:hAnsi="Times New Roman" w:cs="Times New Roman"/>
                <w:b/>
                <w:color w:val="auto"/>
                <w:sz w:val="15"/>
              </w:rPr>
              <w:t>Interpretation</w:t>
            </w:r>
          </w:p>
        </w:tc>
      </w:tr>
      <w:tr w14:paraId="5F8775EE">
        <w:tblPrEx>
          <w:tblBorders>
            <w:top w:val="single" w:color="000000" w:sz="12" w:space="0"/>
            <w:left w:val="none" w:color="000000" w:sz="0" w:space="0"/>
            <w:bottom w:val="single" w:color="000000" w:sz="12" w:space="0"/>
            <w:right w:val="none" w:color="000000" w:sz="0" w:space="0"/>
            <w:insideH w:val="none" w:color="000000" w:sz="0" w:space="0"/>
            <w:insideV w:val="none" w:color="000000" w:sz="0" w:space="0"/>
          </w:tblBorders>
          <w:tblCellMar>
            <w:top w:w="0" w:type="dxa"/>
            <w:left w:w="108" w:type="dxa"/>
            <w:bottom w:w="0" w:type="dxa"/>
            <w:right w:w="108" w:type="dxa"/>
          </w:tblCellMar>
        </w:tblPrEx>
        <w:trPr>
          <w:jc w:val="center"/>
        </w:trPr>
        <w:tc>
          <w:tcPr>
            <w:tcW w:w="1363" w:type="pct"/>
            <w:tcMar>
              <w:top w:w="90" w:type="dxa"/>
              <w:left w:w="90" w:type="dxa"/>
              <w:bottom w:w="90" w:type="dxa"/>
              <w:right w:w="90" w:type="dxa"/>
            </w:tcMar>
            <w:vAlign w:val="center"/>
          </w:tcPr>
          <w:p w14:paraId="7F04BB56">
            <w:pPr>
              <w:spacing w:before="0" w:after="0"/>
              <w:jc w:val="left"/>
              <w:rPr>
                <w:rFonts w:hint="default" w:ascii="Times New Roman" w:hAnsi="Times New Roman" w:cs="Times New Roman"/>
                <w:color w:val="auto"/>
              </w:rPr>
            </w:pPr>
            <w:r>
              <w:rPr>
                <w:rFonts w:hint="default" w:ascii="Times New Roman" w:hAnsi="Times New Roman" w:cs="Times New Roman"/>
                <w:b w:val="0"/>
                <w:color w:val="auto"/>
                <w:sz w:val="15"/>
              </w:rPr>
              <w:t>Slip percentage</w:t>
            </w:r>
          </w:p>
        </w:tc>
        <w:tc>
          <w:tcPr>
            <w:tcW w:w="908" w:type="pct"/>
            <w:tcMar>
              <w:top w:w="90" w:type="dxa"/>
              <w:left w:w="90" w:type="dxa"/>
              <w:bottom w:w="90" w:type="dxa"/>
              <w:right w:w="90" w:type="dxa"/>
            </w:tcMar>
            <w:vAlign w:val="center"/>
          </w:tcPr>
          <w:p w14:paraId="0FD0D40F">
            <w:pPr>
              <w:spacing w:before="0" w:after="0"/>
              <w:jc w:val="left"/>
              <w:rPr>
                <w:rFonts w:hint="default" w:ascii="Times New Roman" w:hAnsi="Times New Roman" w:cs="Times New Roman"/>
                <w:color w:val="auto"/>
              </w:rPr>
            </w:pPr>
            <w:r>
              <w:rPr>
                <w:rFonts w:hint="default" w:ascii="Times New Roman" w:hAnsi="Times New Roman" w:cs="Times New Roman"/>
                <w:b w:val="0"/>
                <w:color w:val="auto"/>
                <w:sz w:val="15"/>
              </w:rPr>
              <w:t>ICC</w:t>
            </w:r>
          </w:p>
        </w:tc>
        <w:tc>
          <w:tcPr>
            <w:tcW w:w="1363" w:type="pct"/>
            <w:tcMar>
              <w:top w:w="90" w:type="dxa"/>
              <w:left w:w="90" w:type="dxa"/>
              <w:bottom w:w="90" w:type="dxa"/>
              <w:right w:w="90" w:type="dxa"/>
            </w:tcMar>
            <w:vAlign w:val="center"/>
          </w:tcPr>
          <w:p w14:paraId="26C04044">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5"/>
              </w:rPr>
              <w:t>0.91 (0.86 to 0.95)</w:t>
            </w:r>
          </w:p>
        </w:tc>
        <w:tc>
          <w:tcPr>
            <w:tcW w:w="1363" w:type="pct"/>
            <w:tcMar>
              <w:top w:w="90" w:type="dxa"/>
              <w:left w:w="90" w:type="dxa"/>
              <w:bottom w:w="90" w:type="dxa"/>
              <w:right w:w="90" w:type="dxa"/>
            </w:tcMar>
            <w:vAlign w:val="center"/>
          </w:tcPr>
          <w:p w14:paraId="62F74644">
            <w:pPr>
              <w:spacing w:before="0" w:after="0"/>
              <w:jc w:val="left"/>
              <w:rPr>
                <w:rFonts w:hint="default" w:ascii="Times New Roman" w:hAnsi="Times New Roman" w:cs="Times New Roman"/>
                <w:color w:val="auto"/>
              </w:rPr>
            </w:pPr>
            <w:r>
              <w:rPr>
                <w:rFonts w:hint="default" w:ascii="Times New Roman" w:hAnsi="Times New Roman" w:cs="Times New Roman"/>
                <w:b w:val="0"/>
                <w:color w:val="auto"/>
                <w:sz w:val="15"/>
              </w:rPr>
              <w:t>Excellent</w:t>
            </w:r>
          </w:p>
        </w:tc>
      </w:tr>
      <w:tr w14:paraId="3161F0DF">
        <w:tblPrEx>
          <w:tblBorders>
            <w:top w:val="single" w:color="000000" w:sz="12" w:space="0"/>
            <w:left w:val="none" w:color="000000" w:sz="0" w:space="0"/>
            <w:bottom w:val="single" w:color="000000" w:sz="12" w:space="0"/>
            <w:right w:val="none" w:color="000000" w:sz="0" w:space="0"/>
            <w:insideH w:val="none" w:color="000000" w:sz="0" w:space="0"/>
            <w:insideV w:val="none" w:color="000000" w:sz="0" w:space="0"/>
          </w:tblBorders>
          <w:tblCellMar>
            <w:top w:w="0" w:type="dxa"/>
            <w:left w:w="108" w:type="dxa"/>
            <w:bottom w:w="0" w:type="dxa"/>
            <w:right w:w="108" w:type="dxa"/>
          </w:tblCellMar>
        </w:tblPrEx>
        <w:trPr>
          <w:jc w:val="center"/>
        </w:trPr>
        <w:tc>
          <w:tcPr>
            <w:tcW w:w="1363" w:type="pct"/>
            <w:tcMar>
              <w:top w:w="90" w:type="dxa"/>
              <w:left w:w="90" w:type="dxa"/>
              <w:bottom w:w="90" w:type="dxa"/>
              <w:right w:w="90" w:type="dxa"/>
            </w:tcMar>
            <w:vAlign w:val="center"/>
          </w:tcPr>
          <w:p w14:paraId="0241A20F">
            <w:pPr>
              <w:spacing w:before="0" w:after="0"/>
              <w:jc w:val="left"/>
              <w:rPr>
                <w:rFonts w:hint="default" w:ascii="Times New Roman" w:hAnsi="Times New Roman" w:cs="Times New Roman"/>
                <w:color w:val="auto"/>
              </w:rPr>
            </w:pPr>
            <w:r>
              <w:rPr>
                <w:rFonts w:hint="default" w:ascii="Times New Roman" w:hAnsi="Times New Roman" w:cs="Times New Roman"/>
                <w:b w:val="0"/>
                <w:color w:val="auto"/>
                <w:sz w:val="15"/>
              </w:rPr>
              <w:t>Intervertebral height</w:t>
            </w:r>
          </w:p>
        </w:tc>
        <w:tc>
          <w:tcPr>
            <w:tcW w:w="908" w:type="pct"/>
            <w:tcMar>
              <w:top w:w="90" w:type="dxa"/>
              <w:left w:w="90" w:type="dxa"/>
              <w:bottom w:w="90" w:type="dxa"/>
              <w:right w:w="90" w:type="dxa"/>
            </w:tcMar>
            <w:vAlign w:val="center"/>
          </w:tcPr>
          <w:p w14:paraId="16DC15A5">
            <w:pPr>
              <w:spacing w:before="0" w:after="0"/>
              <w:jc w:val="left"/>
              <w:rPr>
                <w:rFonts w:hint="default" w:ascii="Times New Roman" w:hAnsi="Times New Roman" w:cs="Times New Roman"/>
                <w:color w:val="auto"/>
              </w:rPr>
            </w:pPr>
            <w:r>
              <w:rPr>
                <w:rFonts w:hint="default" w:ascii="Times New Roman" w:hAnsi="Times New Roman" w:cs="Times New Roman"/>
                <w:b w:val="0"/>
                <w:color w:val="auto"/>
                <w:sz w:val="15"/>
              </w:rPr>
              <w:t>ICC</w:t>
            </w:r>
          </w:p>
        </w:tc>
        <w:tc>
          <w:tcPr>
            <w:tcW w:w="1363" w:type="pct"/>
            <w:tcMar>
              <w:top w:w="90" w:type="dxa"/>
              <w:left w:w="90" w:type="dxa"/>
              <w:bottom w:w="90" w:type="dxa"/>
              <w:right w:w="90" w:type="dxa"/>
            </w:tcMar>
            <w:vAlign w:val="center"/>
          </w:tcPr>
          <w:p w14:paraId="71429142">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5"/>
              </w:rPr>
              <w:t>0.88 (0.82 to 0.93)</w:t>
            </w:r>
          </w:p>
        </w:tc>
        <w:tc>
          <w:tcPr>
            <w:tcW w:w="1363" w:type="pct"/>
            <w:tcMar>
              <w:top w:w="90" w:type="dxa"/>
              <w:left w:w="90" w:type="dxa"/>
              <w:bottom w:w="90" w:type="dxa"/>
              <w:right w:w="90" w:type="dxa"/>
            </w:tcMar>
            <w:vAlign w:val="center"/>
          </w:tcPr>
          <w:p w14:paraId="29B61667">
            <w:pPr>
              <w:spacing w:before="0" w:after="0"/>
              <w:jc w:val="left"/>
              <w:rPr>
                <w:rFonts w:hint="default" w:ascii="Times New Roman" w:hAnsi="Times New Roman" w:cs="Times New Roman"/>
                <w:color w:val="auto"/>
              </w:rPr>
            </w:pPr>
            <w:r>
              <w:rPr>
                <w:rFonts w:hint="default" w:ascii="Times New Roman" w:hAnsi="Times New Roman" w:cs="Times New Roman"/>
                <w:b w:val="0"/>
                <w:color w:val="auto"/>
                <w:sz w:val="15"/>
              </w:rPr>
              <w:t>Good to excellent</w:t>
            </w:r>
          </w:p>
        </w:tc>
      </w:tr>
      <w:tr w14:paraId="706BAE77">
        <w:tblPrEx>
          <w:tblBorders>
            <w:top w:val="single" w:color="000000" w:sz="12" w:space="0"/>
            <w:left w:val="none" w:color="000000" w:sz="0" w:space="0"/>
            <w:bottom w:val="single" w:color="000000" w:sz="12" w:space="0"/>
            <w:right w:val="none" w:color="000000" w:sz="0" w:space="0"/>
            <w:insideH w:val="none" w:color="000000" w:sz="0" w:space="0"/>
            <w:insideV w:val="none" w:color="000000" w:sz="0" w:space="0"/>
          </w:tblBorders>
          <w:tblCellMar>
            <w:top w:w="0" w:type="dxa"/>
            <w:left w:w="108" w:type="dxa"/>
            <w:bottom w:w="0" w:type="dxa"/>
            <w:right w:w="108" w:type="dxa"/>
          </w:tblCellMar>
        </w:tblPrEx>
        <w:trPr>
          <w:jc w:val="center"/>
        </w:trPr>
        <w:tc>
          <w:tcPr>
            <w:tcW w:w="1363" w:type="pct"/>
            <w:tcMar>
              <w:top w:w="90" w:type="dxa"/>
              <w:left w:w="90" w:type="dxa"/>
              <w:bottom w:w="90" w:type="dxa"/>
              <w:right w:w="90" w:type="dxa"/>
            </w:tcMar>
            <w:vAlign w:val="center"/>
          </w:tcPr>
          <w:p w14:paraId="3DD08CD9">
            <w:pPr>
              <w:spacing w:before="0" w:after="0"/>
              <w:jc w:val="left"/>
              <w:rPr>
                <w:rFonts w:hint="default" w:ascii="Times New Roman" w:hAnsi="Times New Roman" w:cs="Times New Roman"/>
                <w:color w:val="auto"/>
              </w:rPr>
            </w:pPr>
            <w:r>
              <w:rPr>
                <w:rFonts w:hint="default" w:ascii="Times New Roman" w:hAnsi="Times New Roman" w:cs="Times New Roman"/>
                <w:b w:val="0"/>
                <w:color w:val="auto"/>
                <w:sz w:val="15"/>
              </w:rPr>
              <w:t>Slip correction rate</w:t>
            </w:r>
          </w:p>
        </w:tc>
        <w:tc>
          <w:tcPr>
            <w:tcW w:w="908" w:type="pct"/>
            <w:tcMar>
              <w:top w:w="90" w:type="dxa"/>
              <w:left w:w="90" w:type="dxa"/>
              <w:bottom w:w="90" w:type="dxa"/>
              <w:right w:w="90" w:type="dxa"/>
            </w:tcMar>
            <w:vAlign w:val="center"/>
          </w:tcPr>
          <w:p w14:paraId="7AD34E04">
            <w:pPr>
              <w:spacing w:before="0" w:after="0"/>
              <w:jc w:val="left"/>
              <w:rPr>
                <w:rFonts w:hint="default" w:ascii="Times New Roman" w:hAnsi="Times New Roman" w:cs="Times New Roman"/>
                <w:color w:val="auto"/>
              </w:rPr>
            </w:pPr>
            <w:r>
              <w:rPr>
                <w:rFonts w:hint="default" w:ascii="Times New Roman" w:hAnsi="Times New Roman" w:cs="Times New Roman"/>
                <w:b w:val="0"/>
                <w:color w:val="auto"/>
                <w:sz w:val="15"/>
              </w:rPr>
              <w:t>ICC</w:t>
            </w:r>
          </w:p>
        </w:tc>
        <w:tc>
          <w:tcPr>
            <w:tcW w:w="1363" w:type="pct"/>
            <w:tcMar>
              <w:top w:w="90" w:type="dxa"/>
              <w:left w:w="90" w:type="dxa"/>
              <w:bottom w:w="90" w:type="dxa"/>
              <w:right w:w="90" w:type="dxa"/>
            </w:tcMar>
            <w:vAlign w:val="center"/>
          </w:tcPr>
          <w:p w14:paraId="313B54E8">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5"/>
              </w:rPr>
              <w:t>0.90 (0.84 to 0.94)</w:t>
            </w:r>
          </w:p>
        </w:tc>
        <w:tc>
          <w:tcPr>
            <w:tcW w:w="1363" w:type="pct"/>
            <w:tcMar>
              <w:top w:w="90" w:type="dxa"/>
              <w:left w:w="90" w:type="dxa"/>
              <w:bottom w:w="90" w:type="dxa"/>
              <w:right w:w="90" w:type="dxa"/>
            </w:tcMar>
            <w:vAlign w:val="center"/>
          </w:tcPr>
          <w:p w14:paraId="4F3A3FFB">
            <w:pPr>
              <w:spacing w:before="0" w:after="0"/>
              <w:jc w:val="left"/>
              <w:rPr>
                <w:rFonts w:hint="default" w:ascii="Times New Roman" w:hAnsi="Times New Roman" w:cs="Times New Roman"/>
                <w:color w:val="auto"/>
              </w:rPr>
            </w:pPr>
            <w:r>
              <w:rPr>
                <w:rFonts w:hint="default" w:ascii="Times New Roman" w:hAnsi="Times New Roman" w:cs="Times New Roman"/>
                <w:b w:val="0"/>
                <w:color w:val="auto"/>
                <w:sz w:val="15"/>
              </w:rPr>
              <w:t>Good to excellent</w:t>
            </w:r>
          </w:p>
        </w:tc>
      </w:tr>
      <w:tr w14:paraId="7D13DEDF">
        <w:tblPrEx>
          <w:tblBorders>
            <w:top w:val="single" w:color="000000" w:sz="12" w:space="0"/>
            <w:left w:val="none" w:color="000000" w:sz="0" w:space="0"/>
            <w:bottom w:val="single" w:color="000000" w:sz="12" w:space="0"/>
            <w:right w:val="none" w:color="000000" w:sz="0" w:space="0"/>
            <w:insideH w:val="none" w:color="000000" w:sz="0" w:space="0"/>
            <w:insideV w:val="none" w:color="000000" w:sz="0" w:space="0"/>
          </w:tblBorders>
          <w:tblCellMar>
            <w:top w:w="0" w:type="dxa"/>
            <w:left w:w="108" w:type="dxa"/>
            <w:bottom w:w="0" w:type="dxa"/>
            <w:right w:w="108" w:type="dxa"/>
          </w:tblCellMar>
        </w:tblPrEx>
        <w:trPr>
          <w:jc w:val="center"/>
        </w:trPr>
        <w:tc>
          <w:tcPr>
            <w:tcW w:w="1363" w:type="pct"/>
            <w:tcMar>
              <w:top w:w="90" w:type="dxa"/>
              <w:left w:w="90" w:type="dxa"/>
              <w:bottom w:w="90" w:type="dxa"/>
              <w:right w:w="90" w:type="dxa"/>
            </w:tcMar>
            <w:vAlign w:val="center"/>
          </w:tcPr>
          <w:p w14:paraId="559F6944">
            <w:pPr>
              <w:spacing w:before="0" w:after="0"/>
              <w:jc w:val="left"/>
              <w:rPr>
                <w:rFonts w:hint="default" w:ascii="Times New Roman" w:hAnsi="Times New Roman" w:cs="Times New Roman"/>
                <w:color w:val="auto"/>
              </w:rPr>
            </w:pPr>
            <w:r>
              <w:rPr>
                <w:rFonts w:hint="default" w:ascii="Times New Roman" w:hAnsi="Times New Roman" w:cs="Times New Roman"/>
                <w:b w:val="0"/>
                <w:color w:val="auto"/>
                <w:sz w:val="15"/>
              </w:rPr>
              <w:t>Mobbs-Raley screw grade</w:t>
            </w:r>
          </w:p>
        </w:tc>
        <w:tc>
          <w:tcPr>
            <w:tcW w:w="908" w:type="pct"/>
            <w:tcMar>
              <w:top w:w="90" w:type="dxa"/>
              <w:left w:w="90" w:type="dxa"/>
              <w:bottom w:w="90" w:type="dxa"/>
              <w:right w:w="90" w:type="dxa"/>
            </w:tcMar>
            <w:vAlign w:val="center"/>
          </w:tcPr>
          <w:p w14:paraId="391DAB16">
            <w:pPr>
              <w:spacing w:before="0" w:after="0"/>
              <w:jc w:val="left"/>
              <w:rPr>
                <w:rFonts w:hint="default" w:ascii="Times New Roman" w:hAnsi="Times New Roman" w:cs="Times New Roman"/>
                <w:color w:val="auto"/>
              </w:rPr>
            </w:pPr>
            <w:r>
              <w:rPr>
                <w:rFonts w:hint="default" w:ascii="Times New Roman" w:hAnsi="Times New Roman" w:cs="Times New Roman"/>
                <w:b w:val="0"/>
                <w:color w:val="auto"/>
                <w:sz w:val="15"/>
              </w:rPr>
              <w:t>Cohen's kappa</w:t>
            </w:r>
          </w:p>
        </w:tc>
        <w:tc>
          <w:tcPr>
            <w:tcW w:w="1363" w:type="pct"/>
            <w:tcMar>
              <w:top w:w="90" w:type="dxa"/>
              <w:left w:w="90" w:type="dxa"/>
              <w:bottom w:w="90" w:type="dxa"/>
              <w:right w:w="90" w:type="dxa"/>
            </w:tcMar>
            <w:vAlign w:val="center"/>
          </w:tcPr>
          <w:p w14:paraId="58467971">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5"/>
              </w:rPr>
              <w:t>0.86 (0.79 to 0.93)</w:t>
            </w:r>
          </w:p>
        </w:tc>
        <w:tc>
          <w:tcPr>
            <w:tcW w:w="1363" w:type="pct"/>
            <w:tcMar>
              <w:top w:w="90" w:type="dxa"/>
              <w:left w:w="90" w:type="dxa"/>
              <w:bottom w:w="90" w:type="dxa"/>
              <w:right w:w="90" w:type="dxa"/>
            </w:tcMar>
            <w:vAlign w:val="center"/>
          </w:tcPr>
          <w:p w14:paraId="3E229DF1">
            <w:pPr>
              <w:spacing w:before="0" w:after="0"/>
              <w:jc w:val="left"/>
              <w:rPr>
                <w:rFonts w:hint="default" w:ascii="Times New Roman" w:hAnsi="Times New Roman" w:cs="Times New Roman"/>
                <w:color w:val="auto"/>
              </w:rPr>
            </w:pPr>
            <w:r>
              <w:rPr>
                <w:rFonts w:hint="default" w:ascii="Times New Roman" w:hAnsi="Times New Roman" w:cs="Times New Roman"/>
                <w:b w:val="0"/>
                <w:color w:val="auto"/>
                <w:sz w:val="15"/>
              </w:rPr>
              <w:t>Almost perfect</w:t>
            </w:r>
          </w:p>
        </w:tc>
      </w:tr>
      <w:tr w14:paraId="040DD03F">
        <w:tblPrEx>
          <w:tblBorders>
            <w:top w:val="single" w:color="000000" w:sz="12" w:space="0"/>
            <w:left w:val="none" w:color="000000" w:sz="0" w:space="0"/>
            <w:bottom w:val="single" w:color="000000" w:sz="12" w:space="0"/>
            <w:right w:val="none" w:color="000000" w:sz="0" w:space="0"/>
            <w:insideH w:val="none" w:color="000000" w:sz="0" w:space="0"/>
            <w:insideV w:val="none" w:color="000000" w:sz="0" w:space="0"/>
          </w:tblBorders>
          <w:tblCellMar>
            <w:top w:w="0" w:type="dxa"/>
            <w:left w:w="108" w:type="dxa"/>
            <w:bottom w:w="0" w:type="dxa"/>
            <w:right w:w="108" w:type="dxa"/>
          </w:tblCellMar>
        </w:tblPrEx>
        <w:trPr>
          <w:jc w:val="center"/>
        </w:trPr>
        <w:tc>
          <w:tcPr>
            <w:tcW w:w="1363" w:type="pct"/>
            <w:tcMar>
              <w:top w:w="90" w:type="dxa"/>
              <w:left w:w="90" w:type="dxa"/>
              <w:bottom w:w="90" w:type="dxa"/>
              <w:right w:w="90" w:type="dxa"/>
            </w:tcMar>
            <w:vAlign w:val="center"/>
          </w:tcPr>
          <w:p w14:paraId="4150B37E">
            <w:pPr>
              <w:spacing w:before="0" w:after="0"/>
              <w:jc w:val="left"/>
              <w:rPr>
                <w:rFonts w:hint="default" w:ascii="Times New Roman" w:hAnsi="Times New Roman" w:cs="Times New Roman"/>
                <w:color w:val="auto"/>
              </w:rPr>
            </w:pPr>
            <w:r>
              <w:rPr>
                <w:rFonts w:hint="default" w:ascii="Times New Roman" w:hAnsi="Times New Roman" w:cs="Times New Roman"/>
                <w:b w:val="0"/>
                <w:color w:val="auto"/>
                <w:sz w:val="15"/>
              </w:rPr>
              <w:t>Badu facet violation grade</w:t>
            </w:r>
          </w:p>
        </w:tc>
        <w:tc>
          <w:tcPr>
            <w:tcW w:w="908" w:type="pct"/>
            <w:tcMar>
              <w:top w:w="90" w:type="dxa"/>
              <w:left w:w="90" w:type="dxa"/>
              <w:bottom w:w="90" w:type="dxa"/>
              <w:right w:w="90" w:type="dxa"/>
            </w:tcMar>
            <w:vAlign w:val="center"/>
          </w:tcPr>
          <w:p w14:paraId="1D8C66A1">
            <w:pPr>
              <w:spacing w:before="0" w:after="0"/>
              <w:jc w:val="left"/>
              <w:rPr>
                <w:rFonts w:hint="default" w:ascii="Times New Roman" w:hAnsi="Times New Roman" w:cs="Times New Roman"/>
                <w:color w:val="auto"/>
              </w:rPr>
            </w:pPr>
            <w:r>
              <w:rPr>
                <w:rFonts w:hint="default" w:ascii="Times New Roman" w:hAnsi="Times New Roman" w:cs="Times New Roman"/>
                <w:b w:val="0"/>
                <w:color w:val="auto"/>
                <w:sz w:val="15"/>
              </w:rPr>
              <w:t>Cohen's kappa</w:t>
            </w:r>
          </w:p>
        </w:tc>
        <w:tc>
          <w:tcPr>
            <w:tcW w:w="1363" w:type="pct"/>
            <w:tcMar>
              <w:top w:w="90" w:type="dxa"/>
              <w:left w:w="90" w:type="dxa"/>
              <w:bottom w:w="90" w:type="dxa"/>
              <w:right w:w="90" w:type="dxa"/>
            </w:tcMar>
            <w:vAlign w:val="center"/>
          </w:tcPr>
          <w:p w14:paraId="1B5EEEBE">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5"/>
              </w:rPr>
              <w:t>0.82 (0.74 to 0.90)</w:t>
            </w:r>
          </w:p>
        </w:tc>
        <w:tc>
          <w:tcPr>
            <w:tcW w:w="1363" w:type="pct"/>
            <w:tcMar>
              <w:top w:w="90" w:type="dxa"/>
              <w:left w:w="90" w:type="dxa"/>
              <w:bottom w:w="90" w:type="dxa"/>
              <w:right w:w="90" w:type="dxa"/>
            </w:tcMar>
            <w:vAlign w:val="center"/>
          </w:tcPr>
          <w:p w14:paraId="74353E69">
            <w:pPr>
              <w:spacing w:before="0" w:after="0"/>
              <w:jc w:val="left"/>
              <w:rPr>
                <w:rFonts w:hint="default" w:ascii="Times New Roman" w:hAnsi="Times New Roman" w:cs="Times New Roman"/>
                <w:color w:val="auto"/>
              </w:rPr>
            </w:pPr>
            <w:r>
              <w:rPr>
                <w:rFonts w:hint="default" w:ascii="Times New Roman" w:hAnsi="Times New Roman" w:cs="Times New Roman"/>
                <w:b w:val="0"/>
                <w:color w:val="auto"/>
                <w:sz w:val="15"/>
              </w:rPr>
              <w:t>Almost perfect</w:t>
            </w:r>
          </w:p>
        </w:tc>
      </w:tr>
      <w:tr w14:paraId="71C2AB93">
        <w:tblPrEx>
          <w:tblBorders>
            <w:top w:val="single" w:color="000000" w:sz="12" w:space="0"/>
            <w:left w:val="none" w:color="000000" w:sz="0" w:space="0"/>
            <w:bottom w:val="single" w:color="000000" w:sz="12" w:space="0"/>
            <w:right w:val="none" w:color="000000" w:sz="0" w:space="0"/>
            <w:insideH w:val="none" w:color="000000" w:sz="0" w:space="0"/>
            <w:insideV w:val="none" w:color="000000" w:sz="0" w:space="0"/>
          </w:tblBorders>
          <w:tblCellMar>
            <w:top w:w="0" w:type="dxa"/>
            <w:left w:w="108" w:type="dxa"/>
            <w:bottom w:w="0" w:type="dxa"/>
            <w:right w:w="108" w:type="dxa"/>
          </w:tblCellMar>
        </w:tblPrEx>
        <w:trPr>
          <w:jc w:val="center"/>
        </w:trPr>
        <w:tc>
          <w:tcPr>
            <w:tcW w:w="1363" w:type="pct"/>
            <w:tcMar>
              <w:top w:w="90" w:type="dxa"/>
              <w:left w:w="90" w:type="dxa"/>
              <w:bottom w:w="90" w:type="dxa"/>
              <w:right w:w="90" w:type="dxa"/>
            </w:tcMar>
            <w:vAlign w:val="center"/>
          </w:tcPr>
          <w:p w14:paraId="6C591CD7">
            <w:pPr>
              <w:spacing w:before="0" w:after="0"/>
              <w:jc w:val="left"/>
              <w:rPr>
                <w:rFonts w:hint="default" w:ascii="Times New Roman" w:hAnsi="Times New Roman" w:cs="Times New Roman"/>
                <w:color w:val="auto"/>
              </w:rPr>
            </w:pPr>
            <w:r>
              <w:rPr>
                <w:rFonts w:hint="default" w:ascii="Times New Roman" w:hAnsi="Times New Roman" w:cs="Times New Roman"/>
                <w:b w:val="0"/>
                <w:color w:val="auto"/>
                <w:sz w:val="15"/>
              </w:rPr>
              <w:t>Bridwell fusion grade</w:t>
            </w:r>
          </w:p>
        </w:tc>
        <w:tc>
          <w:tcPr>
            <w:tcW w:w="908" w:type="pct"/>
            <w:tcMar>
              <w:top w:w="90" w:type="dxa"/>
              <w:left w:w="90" w:type="dxa"/>
              <w:bottom w:w="90" w:type="dxa"/>
              <w:right w:w="90" w:type="dxa"/>
            </w:tcMar>
            <w:vAlign w:val="center"/>
          </w:tcPr>
          <w:p w14:paraId="3BC7617C">
            <w:pPr>
              <w:spacing w:before="0" w:after="0"/>
              <w:jc w:val="left"/>
              <w:rPr>
                <w:rFonts w:hint="default" w:ascii="Times New Roman" w:hAnsi="Times New Roman" w:cs="Times New Roman"/>
                <w:color w:val="auto"/>
              </w:rPr>
            </w:pPr>
            <w:r>
              <w:rPr>
                <w:rFonts w:hint="default" w:ascii="Times New Roman" w:hAnsi="Times New Roman" w:cs="Times New Roman"/>
                <w:b w:val="0"/>
                <w:color w:val="auto"/>
                <w:sz w:val="15"/>
              </w:rPr>
              <w:t>Cohen's kappa</w:t>
            </w:r>
          </w:p>
        </w:tc>
        <w:tc>
          <w:tcPr>
            <w:tcW w:w="1363" w:type="pct"/>
            <w:tcMar>
              <w:top w:w="90" w:type="dxa"/>
              <w:left w:w="90" w:type="dxa"/>
              <w:bottom w:w="90" w:type="dxa"/>
              <w:right w:w="90" w:type="dxa"/>
            </w:tcMar>
            <w:vAlign w:val="center"/>
          </w:tcPr>
          <w:p w14:paraId="4C1FE310">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5"/>
              </w:rPr>
              <w:t>0.80 (0.70 to 0.89)</w:t>
            </w:r>
          </w:p>
        </w:tc>
        <w:tc>
          <w:tcPr>
            <w:tcW w:w="1363" w:type="pct"/>
            <w:tcMar>
              <w:top w:w="90" w:type="dxa"/>
              <w:left w:w="90" w:type="dxa"/>
              <w:bottom w:w="90" w:type="dxa"/>
              <w:right w:w="90" w:type="dxa"/>
            </w:tcMar>
            <w:vAlign w:val="center"/>
          </w:tcPr>
          <w:p w14:paraId="1D19133D">
            <w:pPr>
              <w:spacing w:before="0" w:after="0"/>
              <w:jc w:val="left"/>
              <w:rPr>
                <w:rFonts w:hint="default" w:ascii="Times New Roman" w:hAnsi="Times New Roman" w:cs="Times New Roman"/>
                <w:color w:val="auto"/>
              </w:rPr>
            </w:pPr>
            <w:r>
              <w:rPr>
                <w:rFonts w:hint="default" w:ascii="Times New Roman" w:hAnsi="Times New Roman" w:cs="Times New Roman"/>
                <w:b w:val="0"/>
                <w:color w:val="auto"/>
                <w:sz w:val="15"/>
              </w:rPr>
              <w:t>Substantial to almost perfect</w:t>
            </w:r>
          </w:p>
        </w:tc>
      </w:tr>
      <w:tr w14:paraId="1D65E127">
        <w:tblPrEx>
          <w:tblBorders>
            <w:top w:val="single" w:color="000000" w:sz="12" w:space="0"/>
            <w:left w:val="none" w:color="000000" w:sz="0" w:space="0"/>
            <w:bottom w:val="single" w:color="000000" w:sz="12" w:space="0"/>
            <w:right w:val="none" w:color="000000" w:sz="0" w:space="0"/>
            <w:insideH w:val="none" w:color="000000" w:sz="0" w:space="0"/>
            <w:insideV w:val="none" w:color="000000" w:sz="0" w:space="0"/>
          </w:tblBorders>
          <w:tblCellMar>
            <w:top w:w="0" w:type="dxa"/>
            <w:left w:w="108" w:type="dxa"/>
            <w:bottom w:w="0" w:type="dxa"/>
            <w:right w:w="108" w:type="dxa"/>
          </w:tblCellMar>
        </w:tblPrEx>
        <w:trPr>
          <w:jc w:val="center"/>
        </w:trPr>
        <w:tc>
          <w:tcPr>
            <w:tcW w:w="1363" w:type="pct"/>
            <w:tcMar>
              <w:top w:w="90" w:type="dxa"/>
              <w:left w:w="90" w:type="dxa"/>
              <w:bottom w:w="90" w:type="dxa"/>
              <w:right w:w="90" w:type="dxa"/>
            </w:tcMar>
            <w:vAlign w:val="center"/>
          </w:tcPr>
          <w:p w14:paraId="6E5478A2">
            <w:pPr>
              <w:spacing w:before="0" w:after="0"/>
              <w:jc w:val="left"/>
              <w:rPr>
                <w:rFonts w:hint="default" w:ascii="Times New Roman" w:hAnsi="Times New Roman" w:cs="Times New Roman"/>
                <w:color w:val="auto"/>
              </w:rPr>
            </w:pPr>
            <w:r>
              <w:rPr>
                <w:rFonts w:hint="default" w:ascii="Times New Roman" w:hAnsi="Times New Roman" w:cs="Times New Roman"/>
                <w:b w:val="0"/>
                <w:color w:val="auto"/>
                <w:sz w:val="15"/>
              </w:rPr>
              <w:t>Cage subsidence</w:t>
            </w:r>
          </w:p>
        </w:tc>
        <w:tc>
          <w:tcPr>
            <w:tcW w:w="908" w:type="pct"/>
            <w:tcMar>
              <w:top w:w="90" w:type="dxa"/>
              <w:left w:w="90" w:type="dxa"/>
              <w:bottom w:w="90" w:type="dxa"/>
              <w:right w:w="90" w:type="dxa"/>
            </w:tcMar>
            <w:vAlign w:val="center"/>
          </w:tcPr>
          <w:p w14:paraId="1368617B">
            <w:pPr>
              <w:spacing w:before="0" w:after="0"/>
              <w:jc w:val="left"/>
              <w:rPr>
                <w:rFonts w:hint="default" w:ascii="Times New Roman" w:hAnsi="Times New Roman" w:cs="Times New Roman"/>
                <w:color w:val="auto"/>
              </w:rPr>
            </w:pPr>
            <w:r>
              <w:rPr>
                <w:rFonts w:hint="default" w:ascii="Times New Roman" w:hAnsi="Times New Roman" w:cs="Times New Roman"/>
                <w:b w:val="0"/>
                <w:color w:val="auto"/>
                <w:sz w:val="15"/>
              </w:rPr>
              <w:t>Cohen's kappa</w:t>
            </w:r>
          </w:p>
        </w:tc>
        <w:tc>
          <w:tcPr>
            <w:tcW w:w="1363" w:type="pct"/>
            <w:tcMar>
              <w:top w:w="90" w:type="dxa"/>
              <w:left w:w="90" w:type="dxa"/>
              <w:bottom w:w="90" w:type="dxa"/>
              <w:right w:w="90" w:type="dxa"/>
            </w:tcMar>
            <w:vAlign w:val="center"/>
          </w:tcPr>
          <w:p w14:paraId="75CE44F2">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5"/>
              </w:rPr>
              <w:t>0.84 (0.72 to 0.95)</w:t>
            </w:r>
          </w:p>
        </w:tc>
        <w:tc>
          <w:tcPr>
            <w:tcW w:w="1363" w:type="pct"/>
            <w:tcMar>
              <w:top w:w="90" w:type="dxa"/>
              <w:left w:w="90" w:type="dxa"/>
              <w:bottom w:w="90" w:type="dxa"/>
              <w:right w:w="90" w:type="dxa"/>
            </w:tcMar>
            <w:vAlign w:val="center"/>
          </w:tcPr>
          <w:p w14:paraId="608839C0">
            <w:pPr>
              <w:spacing w:before="0" w:after="0"/>
              <w:jc w:val="left"/>
              <w:rPr>
                <w:rFonts w:hint="default" w:ascii="Times New Roman" w:hAnsi="Times New Roman" w:cs="Times New Roman"/>
                <w:color w:val="auto"/>
              </w:rPr>
            </w:pPr>
            <w:r>
              <w:rPr>
                <w:rFonts w:hint="default" w:ascii="Times New Roman" w:hAnsi="Times New Roman" w:cs="Times New Roman"/>
                <w:b w:val="0"/>
                <w:color w:val="auto"/>
                <w:sz w:val="15"/>
              </w:rPr>
              <w:t>Almost perfect</w:t>
            </w:r>
          </w:p>
        </w:tc>
      </w:tr>
      <w:tr w14:paraId="4B7CE2C9">
        <w:tblPrEx>
          <w:tblBorders>
            <w:top w:val="single" w:color="000000" w:sz="12" w:space="0"/>
            <w:left w:val="none" w:color="000000" w:sz="0" w:space="0"/>
            <w:bottom w:val="single" w:color="000000" w:sz="12" w:space="0"/>
            <w:right w:val="none" w:color="000000" w:sz="0" w:space="0"/>
            <w:insideH w:val="none" w:color="000000" w:sz="0" w:space="0"/>
            <w:insideV w:val="none" w:color="000000" w:sz="0" w:space="0"/>
          </w:tblBorders>
          <w:tblCellMar>
            <w:top w:w="0" w:type="dxa"/>
            <w:left w:w="108" w:type="dxa"/>
            <w:bottom w:w="0" w:type="dxa"/>
            <w:right w:w="108" w:type="dxa"/>
          </w:tblCellMar>
        </w:tblPrEx>
        <w:trPr>
          <w:jc w:val="center"/>
        </w:trPr>
        <w:tc>
          <w:tcPr>
            <w:tcW w:w="1363" w:type="pct"/>
            <w:tcMar>
              <w:top w:w="90" w:type="dxa"/>
              <w:left w:w="90" w:type="dxa"/>
              <w:bottom w:w="90" w:type="dxa"/>
              <w:right w:w="90" w:type="dxa"/>
            </w:tcMar>
            <w:vAlign w:val="center"/>
          </w:tcPr>
          <w:p w14:paraId="67F8432E">
            <w:pPr>
              <w:spacing w:before="0" w:after="0"/>
              <w:jc w:val="left"/>
              <w:rPr>
                <w:rFonts w:hint="default" w:ascii="Times New Roman" w:hAnsi="Times New Roman" w:cs="Times New Roman"/>
                <w:color w:val="auto"/>
              </w:rPr>
            </w:pPr>
            <w:r>
              <w:rPr>
                <w:rFonts w:hint="default" w:ascii="Times New Roman" w:hAnsi="Times New Roman" w:cs="Times New Roman"/>
                <w:b w:val="0"/>
                <w:color w:val="auto"/>
                <w:sz w:val="15"/>
              </w:rPr>
              <w:t>Cage migration</w:t>
            </w:r>
          </w:p>
        </w:tc>
        <w:tc>
          <w:tcPr>
            <w:tcW w:w="908" w:type="pct"/>
            <w:tcMar>
              <w:top w:w="90" w:type="dxa"/>
              <w:left w:w="90" w:type="dxa"/>
              <w:bottom w:w="90" w:type="dxa"/>
              <w:right w:w="90" w:type="dxa"/>
            </w:tcMar>
            <w:vAlign w:val="center"/>
          </w:tcPr>
          <w:p w14:paraId="5AEDD1E7">
            <w:pPr>
              <w:spacing w:before="0" w:after="0"/>
              <w:jc w:val="left"/>
              <w:rPr>
                <w:rFonts w:hint="default" w:ascii="Times New Roman" w:hAnsi="Times New Roman" w:cs="Times New Roman"/>
                <w:color w:val="auto"/>
              </w:rPr>
            </w:pPr>
            <w:r>
              <w:rPr>
                <w:rFonts w:hint="default" w:ascii="Times New Roman" w:hAnsi="Times New Roman" w:cs="Times New Roman"/>
                <w:b w:val="0"/>
                <w:color w:val="auto"/>
                <w:sz w:val="15"/>
              </w:rPr>
              <w:t>Cohen's kappa</w:t>
            </w:r>
          </w:p>
        </w:tc>
        <w:tc>
          <w:tcPr>
            <w:tcW w:w="1363" w:type="pct"/>
            <w:tcMar>
              <w:top w:w="90" w:type="dxa"/>
              <w:left w:w="90" w:type="dxa"/>
              <w:bottom w:w="90" w:type="dxa"/>
              <w:right w:w="90" w:type="dxa"/>
            </w:tcMar>
            <w:vAlign w:val="center"/>
          </w:tcPr>
          <w:p w14:paraId="54A555A4">
            <w:pPr>
              <w:spacing w:before="0" w:after="0"/>
              <w:jc w:val="center"/>
              <w:rPr>
                <w:rFonts w:hint="default" w:ascii="Times New Roman" w:hAnsi="Times New Roman" w:cs="Times New Roman"/>
                <w:color w:val="auto"/>
              </w:rPr>
            </w:pPr>
            <w:r>
              <w:rPr>
                <w:rFonts w:hint="default" w:ascii="Times New Roman" w:hAnsi="Times New Roman" w:cs="Times New Roman"/>
                <w:b w:val="0"/>
                <w:color w:val="auto"/>
                <w:sz w:val="15"/>
              </w:rPr>
              <w:t>0.90 (0.78 to 1.00)</w:t>
            </w:r>
          </w:p>
        </w:tc>
        <w:tc>
          <w:tcPr>
            <w:tcW w:w="1363" w:type="pct"/>
            <w:tcMar>
              <w:top w:w="90" w:type="dxa"/>
              <w:left w:w="90" w:type="dxa"/>
              <w:bottom w:w="90" w:type="dxa"/>
              <w:right w:w="90" w:type="dxa"/>
            </w:tcMar>
            <w:vAlign w:val="center"/>
          </w:tcPr>
          <w:p w14:paraId="5FAB7F33">
            <w:pPr>
              <w:spacing w:before="0" w:after="0"/>
              <w:jc w:val="left"/>
              <w:rPr>
                <w:rFonts w:hint="default" w:ascii="Times New Roman" w:hAnsi="Times New Roman" w:cs="Times New Roman"/>
                <w:color w:val="auto"/>
              </w:rPr>
            </w:pPr>
            <w:r>
              <w:rPr>
                <w:rFonts w:hint="default" w:ascii="Times New Roman" w:hAnsi="Times New Roman" w:cs="Times New Roman"/>
                <w:b w:val="0"/>
                <w:color w:val="auto"/>
                <w:sz w:val="15"/>
              </w:rPr>
              <w:t>Almost perfect</w:t>
            </w:r>
          </w:p>
        </w:tc>
      </w:tr>
    </w:tbl>
    <w:p w14:paraId="52FA242B">
      <w:pPr>
        <w:rPr>
          <w:rFonts w:hint="default" w:ascii="Times New Roman" w:hAnsi="Times New Roman" w:cs="Times New Roman"/>
          <w:i w:val="0"/>
          <w:iCs/>
          <w:color w:val="auto"/>
          <w:sz w:val="16"/>
          <w:szCs w:val="16"/>
        </w:rPr>
      </w:pPr>
      <w:r>
        <w:rPr>
          <w:rFonts w:hint="default" w:ascii="Times New Roman" w:hAnsi="Times New Roman" w:cs="Times New Roman"/>
          <w:i w:val="0"/>
          <w:iCs/>
          <w:color w:val="auto"/>
          <w:sz w:val="16"/>
          <w:szCs w:val="16"/>
        </w:rPr>
        <w:t>Note: CI, confidence interval; ICC, intraclass correlation coefficient. Interobserver reliability was assessed using the intraclass correlation coefficient (ICC) for continuous measurements and Cohen’s kappa coefficient for categorical variables. ICCs were calculated using a two-way random-effects absolute-agreement model. ICC values were interpreted as poor (&lt;0.50), moderate (0.50–0.75), good (0.75–0.90), and excellent (&gt;0.90) reliability. Cohen’s kappa values were interpreted as poor (&lt;0.00), slight (0.00–0.20), fair (0.21–0.40), moderate (0.41–0.60), substantial (0.61–0.80), and almost perfect (0.81–1.00) agreement. Values are presented with 95% confidence intervals where applicable.</w:t>
      </w:r>
    </w:p>
    <w:sectPr>
      <w:footerReference r:id="rId5" w:type="default"/>
      <w:pgSz w:w="12240" w:h="15840"/>
      <w:pgMar w:top="1134" w:right="1134" w:bottom="1247" w:left="1134"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ＭＳ 明朝">
    <w:altName w:val="宋体"/>
    <w:panose1 w:val="00000000000000000000"/>
    <w:charset w:val="86"/>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MS Gothic">
    <w:panose1 w:val="020B0609070205080204"/>
    <w:charset w:val="80"/>
    <w:family w:val="modern"/>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Yu Gothic">
    <w:panose1 w:val="020B0400000000000000"/>
    <w:charset w:val="80"/>
    <w:family w:val="auto"/>
    <w:pitch w:val="default"/>
    <w:sig w:usb0="E00002FF" w:usb1="2AC7FDFF" w:usb2="00000016" w:usb3="00000000" w:csb0="2002009F" w:csb1="00000000"/>
  </w:font>
  <w:font w:name="Courier New">
    <w:panose1 w:val="02070309020205020404"/>
    <w:charset w:val="00"/>
    <w:family w:val="auto"/>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66D5FF">
    <w:pPr>
      <w:pStyle w:val="24"/>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9862E2D"/>
    <w:rsid w:val="0A8F3F52"/>
    <w:rsid w:val="189D783A"/>
    <w:rsid w:val="1A266185"/>
    <w:rsid w:val="45640FE5"/>
    <w:rsid w:val="4C0B220A"/>
    <w:rsid w:val="6137753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qFormat="1" w:uiPriority="99" w:semiHidden="0" w:name="List"/>
    <w:lsdException w:uiPriority="99" w:semiHidden="0" w:name="List Bullet"/>
    <w:lsdException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semiHidden="0" w:name="List Continue"/>
    <w:lsdException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unhideWhenUsed="0" w:uiPriority="61" w:semiHidden="0" w:name="Light List Accent 1"/>
    <w:lsdException w:qFormat="1" w:unhideWhenUsed="0" w:uiPriority="62" w:semiHidden="0" w:name="Light Grid Accent 1"/>
    <w:lsdException w:unhideWhenUsed="0" w:uiPriority="63" w:semiHidden="0" w:name="Medium Shading 1 Accent 1"/>
    <w:lsdException w:qFormat="1"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unhideWhenUsed="0" w:uiPriority="60" w:semiHidden="0" w:name="Light Shading Accent 2"/>
    <w:lsdException w:qFormat="1" w:unhideWhenUsed="0" w:uiPriority="61" w:semiHidden="0" w:name="Light List Accent 2"/>
    <w:lsdException w:qFormat="1" w:unhideWhenUsed="0" w:uiPriority="62" w:semiHidden="0" w:name="Light Grid Accent 2"/>
    <w:lsdException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unhideWhenUsed="0" w:uiPriority="60" w:semiHidden="0" w:name="Light Shading Accent 3"/>
    <w:lsdException w:unhideWhenUsed="0" w:uiPriority="61" w:semiHidden="0" w:name="Light List Accent 3"/>
    <w:lsdException w:qFormat="1" w:unhideWhenUsed="0" w:uiPriority="62" w:semiHidden="0" w:name="Light Grid Accent 3"/>
    <w:lsdException w:qFormat="1" w:unhideWhenUsed="0" w:uiPriority="63" w:semiHidden="0" w:name="Medium Shading 1 Accent 3"/>
    <w:lsdException w:unhideWhenUsed="0" w:uiPriority="64" w:semiHidden="0" w:name="Medium Shading 2 Accent 3"/>
    <w:lsdException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unhideWhenUsed="0" w:uiPriority="61" w:semiHidden="0" w:name="Light List Accent 4"/>
    <w:lsdException w:qFormat="1" w:unhideWhenUsed="0" w:uiPriority="62" w:semiHidden="0" w:name="Light Grid Accent 4"/>
    <w:lsdException w:qFormat="1" w:unhideWhenUsed="0" w:uiPriority="63" w:semiHidden="0" w:name="Medium Shading 1 Accent 4"/>
    <w:lsdException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unhideWhenUsed="0" w:uiPriority="60" w:semiHidden="0" w:name="Light Shading Accent 5"/>
    <w:lsdException w:qFormat="1" w:unhideWhenUsed="0" w:uiPriority="61" w:semiHidden="0" w:name="Light List Accent 5"/>
    <w:lsdException w:qFormat="1" w:unhideWhenUsed="0" w:uiPriority="62" w:semiHidden="0" w:name="Light Grid Accent 5"/>
    <w:lsdException w:unhideWhenUsed="0" w:uiPriority="63" w:semiHidden="0" w:name="Medium Shading 1 Accent 5"/>
    <w:lsdException w:qFormat="1" w:unhideWhenUsed="0" w:uiPriority="64" w:semiHidden="0" w:name="Medium Shading 2 Accent 5"/>
    <w:lsdException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unhideWhenUsed="0" w:uiPriority="60" w:semiHidden="0" w:name="Light Shading Accent 6"/>
    <w:lsdException w:qFormat="1" w:unhideWhenUsed="0" w:uiPriority="61" w:semiHidden="0" w:name="Light List Accent 6"/>
    <w:lsdException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80" w:line="276" w:lineRule="auto"/>
    </w:pPr>
    <w:rPr>
      <w:rFonts w:ascii="Arial" w:hAnsi="Arial" w:eastAsiaTheme="minorEastAsia" w:cstheme="minorBidi"/>
      <w:sz w:val="20"/>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1F4E79"/>
      <w:sz w:val="26"/>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2F5597"/>
      <w:sz w:val="22"/>
      <w:szCs w:val="26"/>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7"/>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uiPriority w:val="99"/>
    <w:pPr>
      <w:numPr>
        <w:ilvl w:val="0"/>
        <w:numId w:val="1"/>
      </w:numPr>
      <w:contextualSpacing/>
    </w:pPr>
  </w:style>
  <w:style w:type="paragraph" w:styleId="14">
    <w:name w:val="List Number"/>
    <w:basedOn w:val="1"/>
    <w:unhideWhenUsed/>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uiPriority w:val="99"/>
    <w:pPr>
      <w:tabs>
        <w:tab w:val="center" w:pos="4680"/>
        <w:tab w:val="right" w:pos="9360"/>
      </w:tabs>
      <w:spacing w:after="0" w:line="240" w:lineRule="auto"/>
    </w:pPr>
  </w:style>
  <w:style w:type="paragraph" w:styleId="25">
    <w:name w:val="header"/>
    <w:basedOn w:val="1"/>
    <w:link w:val="135"/>
    <w:unhideWhenUsed/>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uiPriority w:val="99"/>
    <w:pPr>
      <w:spacing w:after="120"/>
      <w:ind w:left="720"/>
      <w:contextualSpacing/>
    </w:pPr>
  </w:style>
  <w:style w:type="paragraph" w:styleId="30">
    <w:name w:val="List Continue 3"/>
    <w:basedOn w:val="1"/>
    <w:unhideWhenUsed/>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b/>
      <w:color w:val="1F4E79"/>
      <w:spacing w:val="5"/>
      <w:kern w:val="28"/>
      <w:sz w:val="3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uiPriority w:val="99"/>
  </w:style>
  <w:style w:type="character" w:customStyle="1" w:styleId="136">
    <w:name w:val="Footer Char"/>
    <w:basedOn w:val="132"/>
    <w:link w:val="24"/>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qFormat/>
    <w:uiPriority w:val="99"/>
  </w:style>
  <w:style w:type="character" w:customStyle="1" w:styleId="145">
    <w:name w:val="Body Text 2 Char"/>
    <w:basedOn w:val="132"/>
    <w:link w:val="28"/>
    <w:qFormat/>
    <w:uiPriority w:val="99"/>
  </w:style>
  <w:style w:type="character" w:customStyle="1" w:styleId="146">
    <w:name w:val="Body Text 3 Char"/>
    <w:basedOn w:val="132"/>
    <w:link w:val="17"/>
    <w:qFormat/>
    <w:uiPriority w:val="99"/>
    <w:rPr>
      <w:sz w:val="16"/>
      <w:szCs w:val="16"/>
    </w:rPr>
  </w:style>
  <w:style w:type="character" w:customStyle="1" w:styleId="147">
    <w:name w:val="Macro Text Char"/>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uiPriority w:val="29"/>
    <w:rPr>
      <w:i/>
      <w:iCs/>
      <w:color w:val="000000" w:themeColor="text1"/>
      <w14:textFill>
        <w14:solidFill>
          <w14:schemeClr w14:val="tx1"/>
        </w14:solidFill>
      </w14:textFill>
    </w:rPr>
  </w:style>
  <w:style w:type="character" w:customStyle="1" w:styleId="150">
    <w:name w:val="Heading 4 Char"/>
    <w:basedOn w:val="132"/>
    <w:link w:val="6"/>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3120</Words>
  <Characters>20053</Characters>
  <Lines>0</Lines>
  <Paragraphs>0</Paragraphs>
  <TotalTime>1</TotalTime>
  <ScaleCrop>false</ScaleCrop>
  <LinksUpToDate>false</LinksUpToDate>
  <CharactersWithSpaces>22861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丁家明</dc:creator>
  <cp:lastModifiedBy>丁家明</cp:lastModifiedBy>
  <dcterms:modified xsi:type="dcterms:W3CDTF">2026-07-16T04:10:30Z</dcterms:modified>
  <dc:title>Revised Supplementary Materials</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BA473E1794D44059AC05C409FB2279F0_13</vt:lpwstr>
  </property>
  <property fmtid="{D5CDD505-2E9C-101B-9397-08002B2CF9AE}" pid="4" name="KSOTemplateDocerSaveRecord">
    <vt:lpwstr>eyJoZGlkIjoiZTBlOGI0NDJmYTg4ZTYzNGI1NzUyMDQ2MWY2MDVhYzAiLCJ1c2VySWQiOiIxNjE3NTE2MDU3In0=</vt:lpwstr>
  </property>
</Properties>
</file>