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8925D3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b/>
          <w:bCs/>
          <w:lang w:val="en-US"/>
        </w:rPr>
      </w:pPr>
      <w:r>
        <w:rPr>
          <w:rFonts w:hint="eastAsia" w:ascii="Calibri" w:hAnsi="Calibri" w:eastAsia="Calibri" w:cs="Times New Roman"/>
          <w:b/>
          <w:bCs/>
          <w:kern w:val="2"/>
          <w:sz w:val="22"/>
          <w:szCs w:val="22"/>
          <w:lang w:val="en-US" w:eastAsia="zh-CN" w:bidi="ar"/>
        </w:rPr>
        <w:t>Hybrid Explainable AI for Early Sepsis Prediction with Actionable Lead Time and Clinical Utility Validation</w:t>
      </w:r>
    </w:p>
    <w:p w14:paraId="614F5BC3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b/>
          <w:bCs/>
          <w:lang w:val="en-US"/>
        </w:rPr>
      </w:pPr>
      <w:r>
        <w:rPr>
          <w:rFonts w:hint="eastAsia" w:ascii="Calibri" w:hAnsi="Calibri" w:eastAsia="Calibri" w:cs="Times New Roman"/>
          <w:b/>
          <w:bCs/>
          <w:kern w:val="2"/>
          <w:sz w:val="22"/>
          <w:szCs w:val="22"/>
          <w:lang w:val="en-US" w:eastAsia="zh-CN" w:bidi="ar"/>
        </w:rPr>
        <w:t>Keya Dobriyal</w:t>
      </w:r>
    </w:p>
    <w:p w14:paraId="7DB39FC7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9"/>
          <w:rFonts w:hint="default" w:ascii="Times New Roman" w:hAnsi="Times New Roman" w:cs="Times New Roman"/>
          <w:b/>
          <w:bCs/>
          <w:sz w:val="22"/>
          <w:szCs w:val="22"/>
          <w:lang w:val="en-IN"/>
        </w:rPr>
        <w:t>Ensemble based Machine Learning for prediction of Sepsis</w:t>
      </w:r>
      <w:r>
        <w:rPr>
          <w:rStyle w:val="9"/>
          <w:rFonts w:hint="default" w:ascii="Times New Roman" w:hAnsi="Times New Roman" w:cs="Times New Roman"/>
          <w:b/>
          <w:bCs/>
          <w:sz w:val="22"/>
          <w:szCs w:val="22"/>
        </w:rPr>
        <w:t xml:space="preserve"> – Process Summary</w:t>
      </w:r>
    </w:p>
    <w:p w14:paraId="5288CDBB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The methodology and results for sepsis prediction, as implemented in the provided notebook, follow a comprehensive clinical machine learning pipeline. The approach focuses on early detection (a 6-hour lead time) while balancing model performance with clinical utility.</w:t>
      </w:r>
    </w:p>
    <w:p w14:paraId="2DE764DB">
      <w:pPr>
        <w:pStyle w:val="3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1. Detailed Methodology</w:t>
      </w:r>
    </w:p>
    <w:p w14:paraId="39E85E67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The methodology is structured into five distinct phases: data engineering, model optimization, ensemble construction, clinical auditing, and interpretability.</w:t>
      </w:r>
    </w:p>
    <w:p w14:paraId="2AD64254">
      <w:pPr>
        <w:pStyle w:val="4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A. Data Preparation and Feature Engineering</w:t>
      </w:r>
    </w:p>
    <w:p w14:paraId="4E4C9AED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The model utilizes the PhysioNet sepsis dataset, with a focus on creating clinically relevant temporal features:</w:t>
      </w:r>
    </w:p>
    <w:p w14:paraId="2F0BBED9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Target Definition (6-Hour Lead Time):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The model is trained to predict sepsis 6 hours before clinical onset. The target variable, </w:t>
      </w:r>
      <w:r>
        <w:rPr>
          <w:rStyle w:val="7"/>
          <w:rFonts w:hint="default" w:ascii="Times New Roman" w:hAnsi="Times New Roman" w:eastAsia="sans-serif" w:cs="Times New Roman"/>
          <w:sz w:val="22"/>
          <w:szCs w:val="22"/>
        </w:rPr>
        <w:t>Clinical_Target</w:t>
      </w:r>
      <w:r>
        <w:rPr>
          <w:rFonts w:hint="default" w:ascii="Times New Roman" w:hAnsi="Times New Roman" w:eastAsia="sans-serif" w:cs="Times New Roman"/>
          <w:sz w:val="22"/>
          <w:szCs w:val="22"/>
        </w:rPr>
        <w:t>, is a binary indicator that combines the current sepsis status with a 6-hour look-ahead (</w:t>
      </w:r>
      <w:r>
        <w:rPr>
          <w:rStyle w:val="7"/>
          <w:rFonts w:hint="default" w:ascii="Times New Roman" w:hAnsi="Times New Roman" w:eastAsia="sans-serif" w:cs="Times New Roman"/>
          <w:sz w:val="22"/>
          <w:szCs w:val="22"/>
        </w:rPr>
        <w:t>Lead_Target</w:t>
      </w:r>
      <w:r>
        <w:rPr>
          <w:rFonts w:hint="default" w:ascii="Times New Roman" w:hAnsi="Times New Roman" w:eastAsia="sans-serif" w:cs="Times New Roman"/>
          <w:sz w:val="22"/>
          <w:szCs w:val="22"/>
        </w:rPr>
        <w:t>).</w:t>
      </w:r>
    </w:p>
    <w:p w14:paraId="2DFB2381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Clinical Indices: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Calculation of physiological markers including:</w:t>
      </w:r>
    </w:p>
    <w:p w14:paraId="5FC2A702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Shock Index: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$HR / SBP$, used to assess hemodynamics.</w:t>
      </w:r>
    </w:p>
    <w:p w14:paraId="4C9DB704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ROX Index: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$(O2Sat / FiO2) / Resp$, used to evaluate respiratory failure risk.</w:t>
      </w:r>
    </w:p>
    <w:p w14:paraId="36548BD1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Temporal Features: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</w:t>
      </w:r>
    </w:p>
    <w:p w14:paraId="7831D19F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Lagged Features: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Sepsis history at intervals (3h, 6h, ..., 48h) to capture patient trajectory.</w:t>
      </w:r>
    </w:p>
    <w:p w14:paraId="4878134D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Z-Score Normalization: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Normalizing vitals (HR, MAP, Temp, etc.) per patient to identify deviations from their individual baseline.</w:t>
      </w:r>
    </w:p>
    <w:p w14:paraId="5317B5D0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Trajectory Slopes: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Calculating the 6-hour difference in Z-scores to capture the "rate of change" in patient health.</w:t>
      </w:r>
    </w:p>
    <w:p w14:paraId="021576EB">
      <w:pPr>
        <w:keepNext w:val="0"/>
        <w:keepLines w:val="0"/>
        <w:widowControl/>
        <w:numPr>
          <w:ilvl w:val="1"/>
          <w:numId w:val="1"/>
        </w:numPr>
        <w:suppressLineNumbers w:val="0"/>
        <w:spacing w:before="0" w:beforeAutospacing="0" w:after="0" w:afterAutospacing="1" w:line="9" w:lineRule="atLeast"/>
        <w:ind w:left="2882" w:hanging="360"/>
        <w:rPr>
          <w:rFonts w:hint="default" w:ascii="Times New Roman" w:hAnsi="Times New Roman" w:eastAsia="sans-serif" w:cs="Times New Roman"/>
          <w:sz w:val="22"/>
          <w:szCs w:val="22"/>
        </w:rPr>
      </w:pPr>
    </w:p>
    <w:p w14:paraId="0CA3F9F5">
      <w:pPr>
        <w:pStyle w:val="4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B. Model Architecture and Hyperparameter Tuning</w:t>
      </w:r>
    </w:p>
    <w:p w14:paraId="2735B664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The system employs a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Hybrid Ensemble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approach:</w:t>
      </w:r>
    </w:p>
    <w:p w14:paraId="1E1C8B87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Models: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Three gradient-boosting frameworks are used: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XGBoost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,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LightGBM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, and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CatBoost</w:t>
      </w:r>
      <w:r>
        <w:rPr>
          <w:rFonts w:hint="default" w:ascii="Times New Roman" w:hAnsi="Times New Roman" w:eastAsia="sans-serif" w:cs="Times New Roman"/>
          <w:sz w:val="22"/>
          <w:szCs w:val="22"/>
        </w:rPr>
        <w:t>.</w:t>
      </w:r>
    </w:p>
    <w:p w14:paraId="4306D7FF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Optimization (Optuna):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Bayesian optimization is used to tune hyperparameters (learning rate, depth, estimators) over 10 trials per model. The objective function maximizes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Average Precision (AUPRC)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to handle the class imbalance inherent in sepsis data.</w:t>
      </w:r>
    </w:p>
    <w:p w14:paraId="46C4C4C6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Validation: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5-fold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GroupKFold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cross-validation ensures that all data from a single patient remains in the same fold, preventing data leakage.</w:t>
      </w:r>
    </w:p>
    <w:p w14:paraId="7FF9B0E3">
      <w:pPr>
        <w:pStyle w:val="4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C. Clinical Audit Framework</w:t>
      </w:r>
    </w:p>
    <w:p w14:paraId="294DBA89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Unlike standard ML pipelines, this methodology includes a "Clinical Audit" to assess real-world viability:</w:t>
      </w:r>
    </w:p>
    <w:p w14:paraId="28B40BFA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Threshold Optimization: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The decision threshold is tuned to achieve a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75% Recall (Sensitivity)</w:t>
      </w:r>
      <w:r>
        <w:rPr>
          <w:rFonts w:hint="default" w:ascii="Times New Roman" w:hAnsi="Times New Roman" w:eastAsia="sans-serif" w:cs="Times New Roman"/>
          <w:sz w:val="22"/>
          <w:szCs w:val="22"/>
        </w:rPr>
        <w:t>, prioritizing the detection of most sepsis cases.</w:t>
      </w:r>
    </w:p>
    <w:p w14:paraId="7C482BD3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Clinical Metrics: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Evaluates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  <w:lang w:val="en-IN"/>
        </w:rPr>
        <w:t>ROC-AUC</w:t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t xml:space="preserve">,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  <w:lang w:val="en-IN"/>
        </w:rPr>
        <w:t>AUPRC</w:t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t xml:space="preserve">,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  <w:lang w:val="en-IN"/>
        </w:rPr>
        <w:t>Brier Score</w:t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t xml:space="preserve">,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Alarms per Day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and the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Number Needed to Evaluate (NNE)</w:t>
      </w:r>
      <w:r>
        <w:rPr>
          <w:rFonts w:hint="default" w:ascii="Times New Roman" w:hAnsi="Times New Roman" w:eastAsia="sans-serif" w:cs="Times New Roman"/>
          <w:sz w:val="22"/>
          <w:szCs w:val="22"/>
        </w:rPr>
        <w:t>—the number of patients a clinician must check to find one true sepsis case.</w:t>
      </w:r>
    </w:p>
    <w:p w14:paraId="7201A183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1" w:line="9" w:lineRule="atLeast"/>
        <w:ind w:left="1440" w:hanging="360"/>
        <w:rPr>
          <w:rFonts w:hint="default" w:ascii="Times New Roman" w:hAnsi="Times New Roman" w:eastAsia="sans-serif" w:cs="Times New Roman"/>
          <w:sz w:val="22"/>
          <w:szCs w:val="22"/>
        </w:rPr>
      </w:pPr>
    </w:p>
    <w:p w14:paraId="21DC640F">
      <w:pPr>
        <w:pStyle w:val="3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2. Results</w:t>
      </w:r>
    </w:p>
    <w:p w14:paraId="005BD03D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The Hybrid Ensemble demonstrated robust performance, successfully balancing high sensitivity with a manageable clinical alarm burden.</w:t>
      </w:r>
    </w:p>
    <w:p w14:paraId="7CB45F79">
      <w:pPr>
        <w:pStyle w:val="4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Model Performance Comparison</w:t>
      </w:r>
    </w:p>
    <w:tbl>
      <w:tblPr>
        <w:tblW w:w="0" w:type="auto"/>
        <w:tblCellSpacing w:w="15" w:type="dxa"/>
        <w:tblInd w:w="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3"/>
        <w:gridCol w:w="1587"/>
        <w:gridCol w:w="1587"/>
        <w:gridCol w:w="1587"/>
        <w:gridCol w:w="1587"/>
      </w:tblGrid>
      <w:tr w14:paraId="6FC16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tblHeader/>
          <w:tblCellSpacing w:w="15" w:type="dxa"/>
        </w:trPr>
        <w:tc>
          <w:tcPr>
            <w:tcW w:w="180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674A7D6A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Style w:val="9"/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Metric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2ED09399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Style w:val="9"/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XGBoost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459BC61D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Style w:val="9"/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LightGBM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772A16F5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Style w:val="9"/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CatBoost</w:t>
            </w:r>
          </w:p>
        </w:tc>
        <w:tc>
          <w:tcPr>
            <w:tcW w:w="15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6A6B834B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Style w:val="9"/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Hybrid Ensemble</w:t>
            </w:r>
          </w:p>
        </w:tc>
      </w:tr>
      <w:tr w14:paraId="067C2C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tblCellSpacing w:w="15" w:type="dxa"/>
        </w:trPr>
        <w:tc>
          <w:tcPr>
            <w:tcW w:w="180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7A8DC89F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kern w:val="0"/>
                <w:sz w:val="22"/>
                <w:szCs w:val="22"/>
                <w:lang w:val="en-US" w:eastAsia="zh-CN" w:bidi="ar"/>
              </w:rPr>
              <w:t>ROC-AUC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57AA028C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0.9044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6732A64D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0.8975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5BA7E86D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0.8881</w:t>
            </w:r>
          </w:p>
        </w:tc>
        <w:tc>
          <w:tcPr>
            <w:tcW w:w="15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11A8F059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kern w:val="0"/>
                <w:sz w:val="22"/>
                <w:szCs w:val="22"/>
                <w:lang w:val="en-US" w:eastAsia="zh-CN" w:bidi="ar"/>
              </w:rPr>
              <w:t>0.9029</w:t>
            </w:r>
          </w:p>
        </w:tc>
      </w:tr>
      <w:tr w14:paraId="3474B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tblCellSpacing w:w="15" w:type="dxa"/>
        </w:trPr>
        <w:tc>
          <w:tcPr>
            <w:tcW w:w="180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2886E2C2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kern w:val="0"/>
                <w:sz w:val="22"/>
                <w:szCs w:val="22"/>
                <w:lang w:val="en-US" w:eastAsia="zh-CN" w:bidi="ar"/>
              </w:rPr>
              <w:t>AUPRC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296875FB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0.6021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72B228DD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0.5966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5C224361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0.5909</w:t>
            </w:r>
          </w:p>
        </w:tc>
        <w:tc>
          <w:tcPr>
            <w:tcW w:w="15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6987DF14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kern w:val="0"/>
                <w:sz w:val="22"/>
                <w:szCs w:val="22"/>
                <w:lang w:val="en-US" w:eastAsia="zh-CN" w:bidi="ar"/>
              </w:rPr>
              <w:t>0.6053</w:t>
            </w:r>
          </w:p>
        </w:tc>
      </w:tr>
      <w:tr w14:paraId="5E3EA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tblCellSpacing w:w="15" w:type="dxa"/>
        </w:trPr>
        <w:tc>
          <w:tcPr>
            <w:tcW w:w="180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4A8C3B7B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kern w:val="0"/>
                <w:sz w:val="22"/>
                <w:szCs w:val="22"/>
                <w:lang w:val="en-US" w:eastAsia="zh-CN" w:bidi="ar"/>
              </w:rPr>
              <w:t>Brier Score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63F9E268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0.0148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56880386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0.0149</w:t>
            </w:r>
          </w:p>
        </w:tc>
        <w:tc>
          <w:tcPr>
            <w:tcW w:w="155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1C3C56BF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kern w:val="0"/>
                <w:sz w:val="22"/>
                <w:szCs w:val="22"/>
                <w:lang w:val="en-US" w:eastAsia="zh-CN" w:bidi="ar"/>
              </w:rPr>
              <w:t>0.0150</w:t>
            </w:r>
          </w:p>
        </w:tc>
        <w:tc>
          <w:tcPr>
            <w:tcW w:w="154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 w14:paraId="2BC2A102">
            <w:pPr>
              <w:keepNext w:val="0"/>
              <w:keepLines w:val="0"/>
              <w:widowControl/>
              <w:suppressLineNumbers w:val="0"/>
              <w:spacing w:before="0" w:beforeAutospacing="0" w:line="9" w:lineRule="atLeast"/>
              <w:jc w:val="left"/>
              <w:rPr>
                <w:rFonts w:hint="default" w:ascii="Times New Roman" w:hAnsi="Times New Roman" w:eastAsia="sans-serif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kern w:val="0"/>
                <w:sz w:val="22"/>
                <w:szCs w:val="22"/>
                <w:lang w:val="en-US" w:eastAsia="zh-CN" w:bidi="ar"/>
              </w:rPr>
              <w:t>0.0159</w:t>
            </w:r>
          </w:p>
        </w:tc>
      </w:tr>
    </w:tbl>
    <w:p w14:paraId="0843A3EE">
      <w:pPr>
        <w:pStyle w:val="4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</w:p>
    <w:p w14:paraId="05ED7AE7">
      <w:pPr>
        <w:pStyle w:val="4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Clinical Impact (Hybrid Ensemble)</w:t>
      </w:r>
    </w:p>
    <w:p w14:paraId="3617FF48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At the optimized threshold for 75% sensitivity, the hybrid model yielded the following results:</w:t>
      </w:r>
    </w:p>
    <w:p w14:paraId="53F801A5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Sensitivity (Recall):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75.00% (Detects 3 out of 4 sepsis cases 6 hours in advance).</w:t>
      </w:r>
    </w:p>
    <w:p w14:paraId="62C8523A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Precision (PPV):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15.79% (Approximately 1 in 6 alarms is a true positive).</w:t>
      </w:r>
    </w:p>
    <w:p w14:paraId="420DAAF3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Negative Predictive Value (NPV):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99.17% (High confidence in "rule-out" scenarios).</w:t>
      </w:r>
    </w:p>
    <w:p w14:paraId="617A88C0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Clinical Burden: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3.29 Alarms per patient per day.</w:t>
      </w:r>
    </w:p>
    <w:p w14:paraId="6BA3D628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ind w:left="200" w:leftChars="100" w:firstLine="0" w:firstLineChars="0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NNE: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6.33 (A clinician evaluates ~6 patients per true sepsis case identified).</w:t>
      </w:r>
    </w:p>
    <w:p w14:paraId="0CE19D78">
      <w:pPr>
        <w:pStyle w:val="3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sz w:val="22"/>
          <w:szCs w:val="22"/>
        </w:rPr>
        <w:t>3. Advanced Analysis &amp; Interpretability</w:t>
      </w:r>
    </w:p>
    <w:p w14:paraId="0D3FE6C1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SHAP Analysis: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Used to identify that physiological trajectories (slopes) and the ROX index were among the most influential predictors.</w:t>
      </w:r>
    </w:p>
    <w:p w14:paraId="131CFC5B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Survival Analysis: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A </w:t>
      </w: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Cox Proportional Hazards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model was integrated to analyze the time-to-sepsis, providing a probabilistic risk score over the duration of the ICU stay.</w:t>
      </w:r>
    </w:p>
    <w:p w14:paraId="460FBA3B">
      <w:pPr>
        <w:pStyle w:val="8"/>
        <w:keepNext w:val="0"/>
        <w:keepLines w:val="0"/>
        <w:widowControl/>
        <w:suppressLineNumbers w:val="0"/>
        <w:spacing w:before="0" w:beforeAutospacing="0" w:line="9" w:lineRule="atLeast"/>
        <w:rPr>
          <w:rFonts w:hint="default" w:ascii="Times New Roman" w:hAnsi="Times New Roman" w:eastAsia="sans-serif" w:cs="Times New Roman"/>
          <w:sz w:val="22"/>
          <w:szCs w:val="22"/>
        </w:rPr>
      </w:pPr>
      <w:r>
        <w:rPr>
          <w:rFonts w:hint="default" w:ascii="Times New Roman" w:hAnsi="Times New Roman" w:eastAsia="sans-serif" w:cs="Times New Roman"/>
          <w:b/>
          <w:bCs/>
          <w:sz w:val="22"/>
          <w:szCs w:val="22"/>
        </w:rPr>
        <w:t>Decision Curve Analysis (DCA):</w:t>
      </w:r>
      <w:r>
        <w:rPr>
          <w:rFonts w:hint="default" w:ascii="Times New Roman" w:hAnsi="Times New Roman" w:eastAsia="sans-serif" w:cs="Times New Roman"/>
          <w:sz w:val="22"/>
          <w:szCs w:val="22"/>
        </w:rPr>
        <w:t xml:space="preserve"> The methodology included net benefit calculations to ensure the model provides more clinical utility than "treat all" or "treat none" strategies across various risk thresholds.</w:t>
      </w:r>
    </w:p>
    <w:p w14:paraId="42622377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1" w:line="9" w:lineRule="atLeast"/>
        <w:rPr>
          <w:rFonts w:hint="default" w:ascii="Times New Roman" w:hAnsi="Times New Roman" w:eastAsia="sans-serif" w:cs="Times New Roman"/>
          <w:sz w:val="22"/>
          <w:szCs w:val="22"/>
          <w:lang w:val="en-IN"/>
        </w:rPr>
      </w:pP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69230" cy="4171315"/>
            <wp:effectExtent l="0" t="0" r="7620" b="635"/>
            <wp:docPr id="13" name="Picture 13" descr="fig_1_roc_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ig_1_roc_curv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69230" cy="4171315"/>
            <wp:effectExtent l="0" t="0" r="7620" b="635"/>
            <wp:docPr id="12" name="Picture 12" descr="fig_2_pr_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ig_2_pr_curv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71135" cy="4169410"/>
            <wp:effectExtent l="0" t="0" r="5715" b="2540"/>
            <wp:docPr id="11" name="Picture 11" descr="fig_3_calibration_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fig_3_calibration_curv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69865" cy="4070985"/>
            <wp:effectExtent l="0" t="0" r="6985" b="5715"/>
            <wp:docPr id="10" name="Picture 10" descr="fig_4_decision_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ig_4_decision_curv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67960" cy="4036060"/>
            <wp:effectExtent l="0" t="0" r="8890" b="2540"/>
            <wp:docPr id="9" name="Picture 9" descr="fig_5_time_dependent_A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ig_5_time_dependent_AU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71770" cy="4146550"/>
            <wp:effectExtent l="0" t="0" r="5080" b="6350"/>
            <wp:docPr id="8" name="Picture 8" descr="fig_6_Early_warning_Surv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ig_6_Early_warning_Surviva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69865" cy="4096385"/>
            <wp:effectExtent l="0" t="0" r="6985" b="8890"/>
            <wp:docPr id="7" name="Picture 7" descr="fig_7_Alerts_per_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ig_7_Alerts_per_patien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74310" cy="3928110"/>
            <wp:effectExtent l="0" t="0" r="2540" b="5715"/>
            <wp:docPr id="6" name="Picture 6" descr="fig_8_feature_impor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ig_8_feature_importan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72405" cy="3261995"/>
            <wp:effectExtent l="0" t="0" r="4445" b="5080"/>
            <wp:docPr id="5" name="Picture 5" descr="fig_9_feature_heat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ig_9_feature_heatma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69865" cy="4036695"/>
            <wp:effectExtent l="0" t="0" r="6985" b="1905"/>
            <wp:docPr id="4" name="Picture 4" descr="fig_12_Alarm_Fati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_12_Alarm_Fatigu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73675" cy="5269230"/>
            <wp:effectExtent l="0" t="0" r="3175" b="7620"/>
            <wp:docPr id="3" name="Picture 3" descr="fig_13_calibration_b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g_13_calibration_bel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69230" cy="3127375"/>
            <wp:effectExtent l="0" t="0" r="7620" b="6350"/>
            <wp:docPr id="2" name="Picture 2" descr="fig_14_workload_perform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g_14_workload_performanc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sz w:val="22"/>
          <w:szCs w:val="22"/>
          <w:lang w:val="en-IN"/>
        </w:rPr>
        <w:drawing>
          <wp:inline distT="0" distB="0" distL="114300" distR="114300">
            <wp:extent cx="5271770" cy="3930650"/>
            <wp:effectExtent l="0" t="0" r="5080" b="3175"/>
            <wp:docPr id="1" name="Picture 1" descr="fig_15_fairness_forest_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g_15_fairness_forest_plo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6583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1" w:line="9" w:lineRule="atLeast"/>
      </w:pPr>
      <w:r>
        <w:drawing>
          <wp:inline distT="0" distB="0" distL="114300" distR="114300">
            <wp:extent cx="5269865" cy="6564630"/>
            <wp:effectExtent l="0" t="0" r="6985" b="762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18DC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1" w:line="9" w:lineRule="atLeast"/>
        <w:rPr>
          <w:rFonts w:hint="default"/>
          <w:lang w:val="en-IN"/>
        </w:rPr>
      </w:pPr>
      <w:r>
        <w:drawing>
          <wp:inline distT="0" distB="0" distL="114300" distR="114300">
            <wp:extent cx="5269230" cy="6555740"/>
            <wp:effectExtent l="0" t="0" r="7620" b="698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777801">
      <w:pPr>
        <w:rPr>
          <w:rFonts w:hint="default" w:ascii="Times New Roman" w:hAnsi="Times New Roman" w:cs="Times New Roman"/>
          <w:sz w:val="22"/>
          <w:szCs w:val="22"/>
          <w:lang w:val="en-IN"/>
        </w:rPr>
      </w:pPr>
      <w:r>
        <w:rPr>
          <w:rFonts w:hint="default" w:ascii="Times New Roman" w:hAnsi="Times New Roman" w:cs="Times New Roman"/>
          <w:sz w:val="22"/>
          <w:szCs w:val="22"/>
          <w:lang w:val="en-IN"/>
        </w:rPr>
        <w:drawing>
          <wp:inline distT="0" distB="0" distL="114300" distR="114300">
            <wp:extent cx="5266055" cy="2598420"/>
            <wp:effectExtent l="0" t="0" r="1270" b="1905"/>
            <wp:docPr id="17" name="Picture 17" descr="case_study_524_traj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ase_study_524_trajector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2"/>
          <w:szCs w:val="22"/>
          <w:lang w:val="en-IN"/>
        </w:rPr>
        <w:drawing>
          <wp:inline distT="0" distB="0" distL="114300" distR="114300">
            <wp:extent cx="5273675" cy="2603500"/>
            <wp:effectExtent l="0" t="0" r="3175" b="6350"/>
            <wp:docPr id="16" name="Picture 16" descr="case_study_9334_traj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ase_study_9334_trajectory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2"/>
          <w:szCs w:val="22"/>
          <w:lang w:val="en-IN"/>
        </w:rPr>
        <w:drawing>
          <wp:inline distT="0" distB="0" distL="114300" distR="114300">
            <wp:extent cx="5273675" cy="2603500"/>
            <wp:effectExtent l="0" t="0" r="3175" b="6350"/>
            <wp:docPr id="15" name="Picture 15" descr="case_study_18063_traj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se_study_18063_trajectory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2"/>
          <w:szCs w:val="22"/>
          <w:lang w:val="en-IN"/>
        </w:rPr>
        <w:drawing>
          <wp:inline distT="0" distB="0" distL="114300" distR="114300">
            <wp:extent cx="5273675" cy="2603500"/>
            <wp:effectExtent l="0" t="0" r="3175" b="6350"/>
            <wp:docPr id="14" name="Picture 14" descr="case_study_25136_traj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se_study_25136_trajectory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77B293"/>
    <w:multiLevelType w:val="multilevel"/>
    <w:tmpl w:val="4177B29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6984E318"/>
    <w:multiLevelType w:val="multilevel"/>
    <w:tmpl w:val="6984E31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96FB6"/>
    <w:rsid w:val="08896FB6"/>
    <w:rsid w:val="69905DA9"/>
    <w:rsid w:val="6F257D2A"/>
    <w:rsid w:val="712D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TML Code"/>
    <w:basedOn w:val="5"/>
    <w:uiPriority w:val="0"/>
    <w:rPr>
      <w:rFonts w:ascii="Courier New" w:hAnsi="Courier New" w:cs="Courier New"/>
      <w:sz w:val="20"/>
      <w:szCs w:val="20"/>
    </w:r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9">
    <w:name w:val="Strong"/>
    <w:basedOn w:val="5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2026-05-17T11:46:00Z</dcterms:created>
  <dc:creator>J P DOBRIYAL</dc:creator>
  <cp:lastModifiedBy>J P DOBRIYAL</cp:lastModifiedBy>
  <dcterms:modified xsi:type="dcterms:W3CDTF">2026-05-17T11:57:24Z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1033-12.1.0.26372</vt:lpwstr>
  </property>
  <property fmtid="{D5CDD505-2E9C-101B-9397-08002B2CF9AE}" pid="3" name="ICV">
    <vt:lpwstr>9DAE8BBB6F604A1BBE15D4167653FDAB_11</vt:lpwstr>
  </property>
  <property fmtid="{D5CDD505-2E9C-101B-9397-08002B2CF9AE}" pid="4" name="KSOTemplateDocerSaveRecord">
    <vt:lpwstr>eyJoZGlkIjoiYTczNGZkOTUwZWQ2YzAxMjAxYWRmN2M3YTgzMjk3M2EiLCJ1c2VySWQiOiI1NjcwMjUxNjY3OTMifQ==</vt:lpwstr>
  </property>
</Properties>
</file>