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78E07B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b/>
          <w:bCs/>
          <w:lang w:val="en-US"/>
        </w:rPr>
      </w:pPr>
      <w:r>
        <w:rPr>
          <w:rFonts w:hint="eastAsia" w:ascii="Calibri" w:hAnsi="Calibri" w:eastAsia="Calibri" w:cs="Times New Roman"/>
          <w:b/>
          <w:bCs/>
          <w:kern w:val="2"/>
          <w:sz w:val="22"/>
          <w:szCs w:val="22"/>
          <w:lang w:val="en-US" w:eastAsia="zh-CN" w:bidi="ar"/>
        </w:rPr>
        <w:t>Hybrid Explainable AI for Early Sepsis Prediction with Actionable Lead Time and Clinical Utility Validation</w:t>
      </w:r>
    </w:p>
    <w:p w14:paraId="38378003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b/>
          <w:bCs/>
          <w:lang w:val="en-US"/>
        </w:rPr>
      </w:pPr>
      <w:r>
        <w:rPr>
          <w:rFonts w:hint="eastAsia" w:ascii="Calibri" w:hAnsi="Calibri" w:eastAsia="Calibri" w:cs="Times New Roman"/>
          <w:b/>
          <w:bCs/>
          <w:kern w:val="2"/>
          <w:sz w:val="22"/>
          <w:szCs w:val="22"/>
          <w:lang w:val="en-US" w:eastAsia="zh-CN" w:bidi="ar"/>
        </w:rPr>
        <w:t>Keya Dobriyal</w:t>
      </w:r>
    </w:p>
    <w:p w14:paraId="7DB39FC7">
      <w:pPr>
        <w:pStyle w:val="2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2"/>
          <w:szCs w:val="22"/>
        </w:rPr>
      </w:pPr>
      <w:bookmarkStart w:id="0" w:name="_GoBack"/>
      <w:bookmarkEnd w:id="0"/>
      <w:r>
        <w:rPr>
          <w:rStyle w:val="8"/>
          <w:rFonts w:hint="default" w:ascii="Times New Roman" w:hAnsi="Times New Roman" w:cs="Times New Roman"/>
          <w:b/>
          <w:bCs/>
          <w:sz w:val="22"/>
          <w:szCs w:val="22"/>
        </w:rPr>
        <w:t>PhysioNet Dataset Preparation – Process Summary</w:t>
      </w:r>
    </w:p>
    <w:p w14:paraId="7A22E6A7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2"/>
          <w:szCs w:val="22"/>
        </w:rPr>
      </w:pPr>
      <w:r>
        <w:rPr>
          <w:rStyle w:val="8"/>
          <w:rFonts w:hint="default" w:ascii="Times New Roman" w:hAnsi="Times New Roman" w:cs="Times New Roman"/>
          <w:b/>
          <w:bCs/>
          <w:sz w:val="22"/>
          <w:szCs w:val="22"/>
        </w:rPr>
        <w:t>1. Data Ingestion &amp; Merging</w:t>
      </w:r>
    </w:p>
    <w:p w14:paraId="2EDE29B6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Raw data is loaded from </w:t>
      </w:r>
      <w:r>
        <w:rPr>
          <w:rStyle w:val="8"/>
          <w:rFonts w:hint="default" w:ascii="Times New Roman" w:hAnsi="Times New Roman" w:cs="Times New Roman"/>
          <w:sz w:val="22"/>
          <w:szCs w:val="22"/>
        </w:rPr>
        <w:t>PhysioNet 2019 Challenge datasets (training_setA &amp; training_setB)</w:t>
      </w:r>
      <w:r>
        <w:rPr>
          <w:rFonts w:hint="default" w:ascii="Times New Roman" w:hAnsi="Times New Roman" w:cs="Times New Roman"/>
          <w:sz w:val="22"/>
          <w:szCs w:val="22"/>
        </w:rPr>
        <w:t xml:space="preserve">. </w:t>
      </w:r>
    </w:p>
    <w:p w14:paraId="102FD7A7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All </w:t>
      </w:r>
      <w:r>
        <w:rPr>
          <w:rStyle w:val="6"/>
          <w:rFonts w:hint="default" w:ascii="Times New Roman" w:hAnsi="Times New Roman" w:cs="Times New Roman"/>
          <w:sz w:val="22"/>
          <w:szCs w:val="22"/>
        </w:rPr>
        <w:t>.psv</w:t>
      </w:r>
      <w:r>
        <w:rPr>
          <w:rFonts w:hint="default" w:ascii="Times New Roman" w:hAnsi="Times New Roman" w:cs="Times New Roman"/>
          <w:sz w:val="22"/>
          <w:szCs w:val="22"/>
        </w:rPr>
        <w:t xml:space="preserve"> files are read and </w:t>
      </w:r>
      <w:r>
        <w:rPr>
          <w:rStyle w:val="8"/>
          <w:rFonts w:hint="default" w:ascii="Times New Roman" w:hAnsi="Times New Roman" w:cs="Times New Roman"/>
          <w:sz w:val="22"/>
          <w:szCs w:val="22"/>
        </w:rPr>
        <w:t>merged into a single master dataframe</w:t>
      </w:r>
      <w:r>
        <w:rPr>
          <w:rFonts w:hint="default" w:ascii="Times New Roman" w:hAnsi="Times New Roman" w:cs="Times New Roman"/>
          <w:sz w:val="22"/>
          <w:szCs w:val="22"/>
        </w:rPr>
        <w:t xml:space="preserve">. </w:t>
      </w:r>
    </w:p>
    <w:p w14:paraId="116C0D49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A </w:t>
      </w:r>
      <w:r>
        <w:rPr>
          <w:rStyle w:val="8"/>
          <w:rFonts w:hint="default" w:ascii="Times New Roman" w:hAnsi="Times New Roman" w:cs="Times New Roman"/>
          <w:sz w:val="22"/>
          <w:szCs w:val="22"/>
        </w:rPr>
        <w:t xml:space="preserve">unique </w:t>
      </w:r>
      <w:r>
        <w:rPr>
          <w:rStyle w:val="6"/>
          <w:rFonts w:hint="default" w:ascii="Times New Roman" w:hAnsi="Times New Roman" w:cs="Times New Roman"/>
          <w:sz w:val="22"/>
          <w:szCs w:val="22"/>
        </w:rPr>
        <w:t>Patient_ID</w:t>
      </w:r>
      <w:r>
        <w:rPr>
          <w:rFonts w:hint="default" w:ascii="Times New Roman" w:hAnsi="Times New Roman" w:cs="Times New Roman"/>
          <w:sz w:val="22"/>
          <w:szCs w:val="22"/>
        </w:rPr>
        <w:t xml:space="preserve"> is assigned to each file to maintain patient-level tracking. </w:t>
      </w:r>
    </w:p>
    <w:p w14:paraId="2FD4C939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2"/>
          <w:szCs w:val="22"/>
        </w:rPr>
      </w:pPr>
      <w:r>
        <w:rPr>
          <w:rStyle w:val="8"/>
          <w:rFonts w:hint="default" w:ascii="Times New Roman" w:hAnsi="Times New Roman" w:cs="Times New Roman"/>
          <w:b/>
          <w:bCs/>
          <w:sz w:val="22"/>
          <w:szCs w:val="22"/>
        </w:rPr>
        <w:t>2. Initial Data Audit &amp; Missingness Analysis</w:t>
      </w:r>
    </w:p>
    <w:p w14:paraId="3B8A0FBD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Feature-wise and patient-wise </w:t>
      </w:r>
      <w:r>
        <w:rPr>
          <w:rStyle w:val="8"/>
          <w:rFonts w:hint="default" w:ascii="Times New Roman" w:hAnsi="Times New Roman" w:cs="Times New Roman"/>
          <w:sz w:val="22"/>
          <w:szCs w:val="22"/>
        </w:rPr>
        <w:t>missing data percentages</w:t>
      </w:r>
      <w:r>
        <w:rPr>
          <w:rFonts w:hint="default" w:ascii="Times New Roman" w:hAnsi="Times New Roman" w:cs="Times New Roman"/>
          <w:sz w:val="22"/>
          <w:szCs w:val="22"/>
        </w:rPr>
        <w:t xml:space="preserve"> are computed. </w:t>
      </w:r>
    </w:p>
    <w:p w14:paraId="3C42D9D7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Visualization of sparsity helps identify </w:t>
      </w:r>
      <w:r>
        <w:rPr>
          <w:rStyle w:val="8"/>
          <w:rFonts w:hint="default" w:ascii="Times New Roman" w:hAnsi="Times New Roman" w:cs="Times New Roman"/>
          <w:sz w:val="22"/>
          <w:szCs w:val="22"/>
        </w:rPr>
        <w:t>highly missing variables (&gt;90–95%)</w:t>
      </w:r>
      <w:r>
        <w:rPr>
          <w:rFonts w:hint="default" w:ascii="Times New Roman" w:hAnsi="Times New Roman" w:cs="Times New Roman"/>
          <w:sz w:val="22"/>
          <w:szCs w:val="22"/>
        </w:rPr>
        <w:t xml:space="preserve">. </w:t>
      </w:r>
    </w:p>
    <w:p w14:paraId="04989737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Temporal missingness patterns are analyzed relative to </w:t>
      </w:r>
      <w:r>
        <w:rPr>
          <w:rStyle w:val="8"/>
          <w:rFonts w:hint="default" w:ascii="Times New Roman" w:hAnsi="Times New Roman" w:cs="Times New Roman"/>
          <w:sz w:val="22"/>
          <w:szCs w:val="22"/>
        </w:rPr>
        <w:t>sepsis onset time</w:t>
      </w:r>
      <w:r>
        <w:rPr>
          <w:rFonts w:hint="default" w:ascii="Times New Roman" w:hAnsi="Times New Roman" w:cs="Times New Roman"/>
          <w:sz w:val="22"/>
          <w:szCs w:val="22"/>
        </w:rPr>
        <w:t xml:space="preserve">. </w:t>
      </w:r>
    </w:p>
    <w:p w14:paraId="3B5D84B3">
      <w:pPr>
        <w:ind w:left="400" w:leftChars="200" w:firstLine="0" w:firstLineChars="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----------------------------------------</w:t>
      </w:r>
    </w:p>
    <w:p w14:paraId="22D46446">
      <w:pPr>
        <w:ind w:left="400" w:leftChars="200" w:firstLine="0" w:firstLineChars="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PATIENT-LEVEL MISSING DATA STATISTICS</w:t>
      </w:r>
    </w:p>
    <w:p w14:paraId="571CBF44">
      <w:pPr>
        <w:ind w:left="400" w:leftChars="200" w:firstLine="0" w:firstLineChars="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----------------------------------------</w:t>
      </w:r>
    </w:p>
    <w:p w14:paraId="7060139A">
      <w:pPr>
        <w:ind w:left="400" w:leftChars="200" w:firstLine="0" w:firstLineChars="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Total Patients           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   40,336</w:t>
      </w:r>
    </w:p>
    <w:p w14:paraId="66A95873">
      <w:pPr>
        <w:ind w:left="400" w:leftChars="200" w:firstLine="0" w:firstLineChars="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Mean Missingness (%)     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    77.65%</w:t>
      </w:r>
    </w:p>
    <w:p w14:paraId="200C1C1A">
      <w:pPr>
        <w:ind w:left="400" w:leftChars="200" w:firstLine="0" w:firstLineChars="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Median Missingness (%)   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    77.55%</w:t>
      </w:r>
    </w:p>
    <w:p w14:paraId="4E4D45E8">
      <w:pPr>
        <w:ind w:left="400" w:leftChars="200" w:firstLine="0" w:firstLineChars="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Std Deviation (%)        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     5.34%</w:t>
      </w:r>
    </w:p>
    <w:p w14:paraId="2B00E287">
      <w:pPr>
        <w:ind w:left="400" w:leftChars="200" w:firstLine="0" w:firstLineChars="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Min Missingness (%)      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    43.10%</w:t>
      </w:r>
    </w:p>
    <w:p w14:paraId="0F80054F">
      <w:pPr>
        <w:ind w:left="400" w:leftChars="200" w:firstLine="0" w:firstLineChars="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Patients with &gt;90% Missing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    1,353</w:t>
      </w:r>
    </w:p>
    <w:p w14:paraId="465AFA32">
      <w:pPr>
        <w:ind w:left="400" w:leftChars="200" w:firstLine="0" w:firstLineChars="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Patients with &gt;75% Missing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   29,674</w:t>
      </w:r>
    </w:p>
    <w:p w14:paraId="038B5871">
      <w:pPr>
        <w:pBdr>
          <w:bottom w:val="single" w:color="auto" w:sz="4" w:space="0"/>
        </w:pBdr>
        <w:ind w:left="400" w:leftChars="200" w:firstLine="0" w:firstLineChars="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Patients with &lt;25% Missing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        0</w:t>
      </w:r>
    </w:p>
    <w:p w14:paraId="5904B709">
      <w:pPr>
        <w:pBdr>
          <w:bottom w:val="single" w:color="auto" w:sz="4" w:space="0"/>
        </w:pBdr>
        <w:ind w:left="400" w:leftChars="200" w:firstLine="0" w:firstLineChars="0"/>
        <w:rPr>
          <w:rFonts w:hint="default" w:ascii="Times New Roman" w:hAnsi="Times New Roman" w:cs="Times New Roman"/>
          <w:sz w:val="22"/>
          <w:szCs w:val="22"/>
        </w:rPr>
      </w:pPr>
    </w:p>
    <w:p w14:paraId="0182DC0D">
      <w:pPr>
        <w:pBdr>
          <w:bottom w:val="single" w:color="auto" w:sz="4" w:space="0"/>
        </w:pBdr>
        <w:rPr>
          <w:rFonts w:hint="default" w:ascii="Times New Roman" w:hAnsi="Times New Roman" w:cs="Times New Roman"/>
          <w:sz w:val="22"/>
          <w:szCs w:val="22"/>
        </w:rPr>
      </w:pPr>
    </w:p>
    <w:p w14:paraId="27FB6224">
      <w:pPr>
        <w:pBdr>
          <w:bottom w:val="single" w:color="auto" w:sz="4" w:space="0"/>
        </w:pBd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drawing>
          <wp:inline distT="0" distB="0" distL="114300" distR="114300">
            <wp:extent cx="5262245" cy="4191635"/>
            <wp:effectExtent l="0" t="0" r="5080" b="889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97CC6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2"/>
          <w:szCs w:val="22"/>
        </w:rPr>
      </w:pPr>
      <w:r>
        <w:rPr>
          <w:rStyle w:val="8"/>
          <w:rFonts w:hint="default" w:ascii="Times New Roman" w:hAnsi="Times New Roman" w:cs="Times New Roman"/>
          <w:b/>
          <w:bCs/>
          <w:sz w:val="22"/>
          <w:szCs w:val="22"/>
        </w:rPr>
        <w:t>3. Patient Filtering (Data Quality Control)</w:t>
      </w:r>
    </w:p>
    <w:p w14:paraId="22790CDA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Patients with </w:t>
      </w:r>
      <w:r>
        <w:rPr>
          <w:rStyle w:val="8"/>
          <w:rFonts w:hint="default" w:ascii="Times New Roman" w:hAnsi="Times New Roman" w:cs="Times New Roman"/>
          <w:sz w:val="22"/>
          <w:szCs w:val="22"/>
        </w:rPr>
        <w:t>&gt;</w:t>
      </w:r>
      <w:r>
        <w:rPr>
          <w:rStyle w:val="8"/>
          <w:rFonts w:hint="default" w:ascii="Times New Roman" w:hAnsi="Times New Roman" w:cs="Times New Roman"/>
          <w:sz w:val="22"/>
          <w:szCs w:val="22"/>
          <w:lang w:val="en-IN"/>
        </w:rPr>
        <w:t>9</w:t>
      </w:r>
      <w:r>
        <w:rPr>
          <w:rStyle w:val="8"/>
          <w:rFonts w:hint="default" w:ascii="Times New Roman" w:hAnsi="Times New Roman" w:cs="Times New Roman"/>
          <w:sz w:val="22"/>
          <w:szCs w:val="22"/>
        </w:rPr>
        <w:t>0% missing clinical data</w:t>
      </w:r>
      <w:r>
        <w:rPr>
          <w:rFonts w:hint="default" w:ascii="Times New Roman" w:hAnsi="Times New Roman" w:cs="Times New Roman"/>
          <w:sz w:val="22"/>
          <w:szCs w:val="22"/>
        </w:rPr>
        <w:t xml:space="preserve"> are removed. </w:t>
      </w:r>
    </w:p>
    <w:p w14:paraId="46A824FB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Ensures dataset reliability and reduces noise from sparsely recorded patients. </w:t>
      </w:r>
    </w:p>
    <w:p w14:paraId="4E34A33D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----------------------------------------</w:t>
      </w:r>
    </w:p>
    <w:p w14:paraId="08986271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DATA CLEANING SUMMARY: HIGH MISSINGNESS</w:t>
      </w:r>
    </w:p>
    <w:p w14:paraId="72786968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----------------------------------------</w:t>
      </w:r>
    </w:p>
    <w:p w14:paraId="5157B56B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Total Patients Initially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40,336</w:t>
      </w:r>
    </w:p>
    <w:p w14:paraId="207464D5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Patients to Exclude (&gt; 90%)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1,353</w:t>
      </w:r>
    </w:p>
    <w:p w14:paraId="4DD1E2B5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Remaining Patients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 38,983</w:t>
      </w:r>
    </w:p>
    <w:p w14:paraId="1BED1B18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----------------------------------------</w:t>
      </w:r>
    </w:p>
    <w:p w14:paraId="5002EEF6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2"/>
          <w:szCs w:val="22"/>
        </w:rPr>
      </w:pPr>
      <w:r>
        <w:rPr>
          <w:rStyle w:val="8"/>
          <w:rFonts w:hint="default" w:ascii="Times New Roman" w:hAnsi="Times New Roman" w:cs="Times New Roman"/>
          <w:b/>
          <w:bCs/>
          <w:sz w:val="22"/>
          <w:szCs w:val="22"/>
        </w:rPr>
        <w:t>4. Clinical Data Cleaning &amp; Imputation</w:t>
      </w:r>
    </w:p>
    <w:p w14:paraId="2972C221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Style w:val="8"/>
          <w:rFonts w:hint="default" w:ascii="Times New Roman" w:hAnsi="Times New Roman" w:cs="Times New Roman"/>
          <w:sz w:val="22"/>
          <w:szCs w:val="22"/>
        </w:rPr>
        <w:t>Physiological imputation</w:t>
      </w:r>
      <w:r>
        <w:rPr>
          <w:rFonts w:hint="default" w:ascii="Times New Roman" w:hAnsi="Times New Roman" w:cs="Times New Roman"/>
          <w:sz w:val="22"/>
          <w:szCs w:val="22"/>
        </w:rPr>
        <w:t xml:space="preserve"> applied (e.g., DBP estimated using MAP &amp; SBP). </w:t>
      </w:r>
    </w:p>
    <w:p w14:paraId="660F2C1B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Style w:val="8"/>
          <w:rFonts w:hint="default" w:ascii="Times New Roman" w:hAnsi="Times New Roman" w:cs="Times New Roman"/>
          <w:sz w:val="22"/>
          <w:szCs w:val="22"/>
        </w:rPr>
        <w:t>Temporal imputation</w:t>
      </w:r>
      <w:r>
        <w:rPr>
          <w:rFonts w:hint="default" w:ascii="Times New Roman" w:hAnsi="Times New Roman" w:cs="Times New Roman"/>
          <w:sz w:val="22"/>
          <w:szCs w:val="22"/>
        </w:rPr>
        <w:t xml:space="preserve">: </w:t>
      </w:r>
    </w:p>
    <w:p w14:paraId="4DAC337D">
      <w:pPr>
        <w:keepNext w:val="0"/>
        <w:keepLines w:val="0"/>
        <w:widowControl/>
        <w:numPr>
          <w:ilvl w:val="1"/>
          <w:numId w:val="5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Forward fill (within patient timeline) </w:t>
      </w:r>
    </w:p>
    <w:p w14:paraId="339F3AE5">
      <w:pPr>
        <w:keepNext w:val="0"/>
        <w:keepLines w:val="0"/>
        <w:widowControl/>
        <w:numPr>
          <w:ilvl w:val="1"/>
          <w:numId w:val="5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Median fill for remaining gaps </w:t>
      </w:r>
    </w:p>
    <w:p w14:paraId="28E8BE74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Outliers are removed using </w:t>
      </w:r>
      <w:r>
        <w:rPr>
          <w:rStyle w:val="8"/>
          <w:rFonts w:hint="default" w:ascii="Times New Roman" w:hAnsi="Times New Roman" w:cs="Times New Roman"/>
          <w:sz w:val="22"/>
          <w:szCs w:val="22"/>
        </w:rPr>
        <w:t>clinical thresholds</w:t>
      </w:r>
      <w:r>
        <w:rPr>
          <w:rFonts w:hint="default" w:ascii="Times New Roman" w:hAnsi="Times New Roman" w:cs="Times New Roman"/>
          <w:sz w:val="22"/>
          <w:szCs w:val="22"/>
        </w:rPr>
        <w:t xml:space="preserve"> (e.g., HR &lt;20 or &gt;250). </w:t>
      </w:r>
    </w:p>
    <w:p w14:paraId="38B441B3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2"/>
          <w:szCs w:val="22"/>
        </w:rPr>
      </w:pPr>
      <w:r>
        <w:rPr>
          <w:rStyle w:val="8"/>
          <w:rFonts w:hint="default" w:ascii="Times New Roman" w:hAnsi="Times New Roman" w:cs="Times New Roman"/>
          <w:b/>
          <w:bCs/>
          <w:sz w:val="22"/>
          <w:szCs w:val="22"/>
        </w:rPr>
        <w:t>5. Measurement Awareness Engineering</w:t>
      </w:r>
    </w:p>
    <w:p w14:paraId="7579E830"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Binary </w:t>
      </w:r>
      <w:r>
        <w:rPr>
          <w:rStyle w:val="8"/>
          <w:rFonts w:hint="default" w:ascii="Times New Roman" w:hAnsi="Times New Roman" w:cs="Times New Roman"/>
          <w:sz w:val="22"/>
          <w:szCs w:val="22"/>
        </w:rPr>
        <w:t>“_measured” flags</w:t>
      </w:r>
      <w:r>
        <w:rPr>
          <w:rFonts w:hint="default" w:ascii="Times New Roman" w:hAnsi="Times New Roman" w:cs="Times New Roman"/>
          <w:sz w:val="22"/>
          <w:szCs w:val="22"/>
        </w:rPr>
        <w:t xml:space="preserve"> created for each variable. </w:t>
      </w:r>
    </w:p>
    <w:p w14:paraId="194BC333"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Captures whether a lab/vital was recorded, improving model interpretability. </w:t>
      </w:r>
    </w:p>
    <w:p w14:paraId="556B1521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2"/>
          <w:szCs w:val="22"/>
        </w:rPr>
      </w:pPr>
      <w:r>
        <w:rPr>
          <w:rStyle w:val="8"/>
          <w:rFonts w:hint="default" w:ascii="Times New Roman" w:hAnsi="Times New Roman" w:cs="Times New Roman"/>
          <w:b/>
          <w:bCs/>
          <w:sz w:val="22"/>
          <w:szCs w:val="22"/>
        </w:rPr>
        <w:t>6. Temporal Structuring</w:t>
      </w:r>
    </w:p>
    <w:p w14:paraId="34C8C3AC"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Data sorted by </w:t>
      </w:r>
      <w:r>
        <w:rPr>
          <w:rStyle w:val="8"/>
          <w:rFonts w:hint="default" w:ascii="Times New Roman" w:hAnsi="Times New Roman" w:cs="Times New Roman"/>
          <w:sz w:val="22"/>
          <w:szCs w:val="22"/>
        </w:rPr>
        <w:t>Patient_ID and ICU length of stay (ICULOS)</w:t>
      </w:r>
      <w:r>
        <w:rPr>
          <w:rFonts w:hint="default" w:ascii="Times New Roman" w:hAnsi="Times New Roman" w:cs="Times New Roman"/>
          <w:sz w:val="22"/>
          <w:szCs w:val="22"/>
        </w:rPr>
        <w:t xml:space="preserve">. </w:t>
      </w:r>
    </w:p>
    <w:p w14:paraId="0E8296CA"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Enables </w:t>
      </w:r>
      <w:r>
        <w:rPr>
          <w:rStyle w:val="8"/>
          <w:rFonts w:hint="default" w:ascii="Times New Roman" w:hAnsi="Times New Roman" w:cs="Times New Roman"/>
          <w:sz w:val="22"/>
          <w:szCs w:val="22"/>
        </w:rPr>
        <w:t>time-series consistency</w:t>
      </w:r>
      <w:r>
        <w:rPr>
          <w:rFonts w:hint="default" w:ascii="Times New Roman" w:hAnsi="Times New Roman" w:cs="Times New Roman"/>
          <w:sz w:val="22"/>
          <w:szCs w:val="22"/>
        </w:rPr>
        <w:t xml:space="preserve"> and downstream temporal modeling. </w:t>
      </w:r>
    </w:p>
    <w:p w14:paraId="744F8638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2"/>
          <w:szCs w:val="22"/>
        </w:rPr>
      </w:pPr>
      <w:r>
        <w:rPr>
          <w:rStyle w:val="8"/>
          <w:rFonts w:hint="default" w:ascii="Times New Roman" w:hAnsi="Times New Roman" w:cs="Times New Roman"/>
          <w:b/>
          <w:bCs/>
          <w:sz w:val="22"/>
          <w:szCs w:val="22"/>
        </w:rPr>
        <w:t>7. Feature Engineering</w:t>
      </w:r>
    </w:p>
    <w:p w14:paraId="3AEC827D"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Clinical indices derived: </w:t>
      </w:r>
    </w:p>
    <w:p w14:paraId="1E83CDDD">
      <w:pPr>
        <w:keepNext w:val="0"/>
        <w:keepLines w:val="0"/>
        <w:widowControl/>
        <w:numPr>
          <w:ilvl w:val="1"/>
          <w:numId w:val="9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Shock Index = HR / SBP </w:t>
      </w:r>
    </w:p>
    <w:p w14:paraId="7846B384">
      <w:pPr>
        <w:keepNext w:val="0"/>
        <w:keepLines w:val="0"/>
        <w:widowControl/>
        <w:numPr>
          <w:ilvl w:val="1"/>
          <w:numId w:val="9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Pulse Pressure = SBP − DBP </w:t>
      </w:r>
    </w:p>
    <w:p w14:paraId="3349DCD6">
      <w:pPr>
        <w:keepNext w:val="0"/>
        <w:keepLines w:val="0"/>
        <w:widowControl/>
        <w:numPr>
          <w:ilvl w:val="1"/>
          <w:numId w:val="9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SpO₂/HR ratio </w:t>
      </w:r>
    </w:p>
    <w:p w14:paraId="0BAB2106"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Aggregation at </w:t>
      </w:r>
      <w:r>
        <w:rPr>
          <w:rStyle w:val="8"/>
          <w:rFonts w:hint="default" w:ascii="Times New Roman" w:hAnsi="Times New Roman" w:cs="Times New Roman"/>
          <w:sz w:val="22"/>
          <w:szCs w:val="22"/>
        </w:rPr>
        <w:t>patient level</w:t>
      </w:r>
      <w:r>
        <w:rPr>
          <w:rFonts w:hint="default" w:ascii="Times New Roman" w:hAnsi="Times New Roman" w:cs="Times New Roman"/>
          <w:sz w:val="22"/>
          <w:szCs w:val="22"/>
        </w:rPr>
        <w:t xml:space="preserve">: </w:t>
      </w:r>
    </w:p>
    <w:p w14:paraId="6F29618D">
      <w:pPr>
        <w:keepNext w:val="0"/>
        <w:keepLines w:val="0"/>
        <w:widowControl/>
        <w:numPr>
          <w:ilvl w:val="1"/>
          <w:numId w:val="10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Mean, max, min, std, median for each variable </w:t>
      </w:r>
    </w:p>
    <w:p w14:paraId="6C3CED3D"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Target variable created as </w:t>
      </w:r>
      <w:r>
        <w:rPr>
          <w:rStyle w:val="8"/>
          <w:rFonts w:hint="default" w:ascii="Times New Roman" w:hAnsi="Times New Roman" w:cs="Times New Roman"/>
          <w:sz w:val="22"/>
          <w:szCs w:val="22"/>
        </w:rPr>
        <w:t>max SepsisLabel per patient</w:t>
      </w:r>
      <w:r>
        <w:rPr>
          <w:rFonts w:hint="default" w:ascii="Times New Roman" w:hAnsi="Times New Roman" w:cs="Times New Roman"/>
          <w:sz w:val="22"/>
          <w:szCs w:val="22"/>
        </w:rPr>
        <w:t xml:space="preserve"> </w:t>
      </w:r>
    </w:p>
    <w:p w14:paraId="05F07954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2"/>
          <w:szCs w:val="22"/>
        </w:rPr>
      </w:pPr>
      <w:r>
        <w:rPr>
          <w:rStyle w:val="8"/>
          <w:rFonts w:hint="default" w:ascii="Times New Roman" w:hAnsi="Times New Roman" w:cs="Times New Roman"/>
          <w:b/>
          <w:bCs/>
          <w:sz w:val="22"/>
          <w:szCs w:val="22"/>
        </w:rPr>
        <w:t>8. Sepsis-3 Oriented Validation Dataset Creation</w:t>
      </w:r>
    </w:p>
    <w:p w14:paraId="0A7D9473">
      <w:pPr>
        <w:keepNext w:val="0"/>
        <w:keepLines w:val="0"/>
        <w:widowControl/>
        <w:numPr>
          <w:ilvl w:val="0"/>
          <w:numId w:val="11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Patients filtered using </w:t>
      </w:r>
      <w:r>
        <w:rPr>
          <w:rStyle w:val="8"/>
          <w:rFonts w:hint="default" w:ascii="Times New Roman" w:hAnsi="Times New Roman" w:cs="Times New Roman"/>
          <w:sz w:val="22"/>
          <w:szCs w:val="22"/>
        </w:rPr>
        <w:t>ΔSOFA ≥ 2 (Sepsis-3 criteria)</w:t>
      </w:r>
      <w:r>
        <w:rPr>
          <w:rFonts w:hint="default" w:ascii="Times New Roman" w:hAnsi="Times New Roman" w:cs="Times New Roman"/>
          <w:sz w:val="22"/>
          <w:szCs w:val="22"/>
        </w:rPr>
        <w:t xml:space="preserve"> instead of raw labels. </w:t>
      </w:r>
    </w:p>
    <w:p w14:paraId="76E40BF2">
      <w:pPr>
        <w:keepNext w:val="0"/>
        <w:keepLines w:val="0"/>
        <w:widowControl/>
        <w:numPr>
          <w:ilvl w:val="0"/>
          <w:numId w:val="11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A </w:t>
      </w:r>
      <w:r>
        <w:rPr>
          <w:rStyle w:val="8"/>
          <w:rFonts w:hint="default" w:ascii="Times New Roman" w:hAnsi="Times New Roman" w:cs="Times New Roman"/>
          <w:sz w:val="22"/>
          <w:szCs w:val="22"/>
        </w:rPr>
        <w:t>balanced validation dataset (1:2 ratio)</w:t>
      </w:r>
      <w:r>
        <w:rPr>
          <w:rFonts w:hint="default" w:ascii="Times New Roman" w:hAnsi="Times New Roman" w:cs="Times New Roman"/>
          <w:sz w:val="22"/>
          <w:szCs w:val="22"/>
        </w:rPr>
        <w:t xml:space="preserve"> is constructed: </w:t>
      </w:r>
    </w:p>
    <w:p w14:paraId="7731CE4C">
      <w:pPr>
        <w:keepNext w:val="0"/>
        <w:keepLines w:val="0"/>
        <w:widowControl/>
        <w:numPr>
          <w:ilvl w:val="1"/>
          <w:numId w:val="12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Sepsis : Non-sepsis </w:t>
      </w:r>
    </w:p>
    <w:p w14:paraId="208A0034">
      <w:pPr>
        <w:keepNext w:val="0"/>
        <w:keepLines w:val="0"/>
        <w:widowControl/>
        <w:numPr>
          <w:ilvl w:val="0"/>
          <w:numId w:val="11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Designed for </w:t>
      </w:r>
      <w:r>
        <w:rPr>
          <w:rStyle w:val="8"/>
          <w:rFonts w:hint="default" w:ascii="Times New Roman" w:hAnsi="Times New Roman" w:cs="Times New Roman"/>
          <w:sz w:val="22"/>
          <w:szCs w:val="22"/>
        </w:rPr>
        <w:t>robust clinical evaluation (FN/FP sensitivity)</w:t>
      </w:r>
      <w:r>
        <w:rPr>
          <w:rFonts w:hint="default" w:ascii="Times New Roman" w:hAnsi="Times New Roman" w:cs="Times New Roman"/>
          <w:sz w:val="22"/>
          <w:szCs w:val="22"/>
        </w:rPr>
        <w:t xml:space="preserve"> </w:t>
      </w:r>
    </w:p>
    <w:p w14:paraId="13B02A36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--------------------------------------------------</w:t>
      </w:r>
    </w:p>
    <w:p w14:paraId="0CABE00F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           CLINICAL POPULATION SUMMARY            </w:t>
      </w:r>
    </w:p>
    <w:p w14:paraId="1D8B6391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--------------------------------------------------</w:t>
      </w:r>
    </w:p>
    <w:p w14:paraId="66081922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Total Unique Patients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38,982</w:t>
      </w:r>
    </w:p>
    <w:p w14:paraId="4232D145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Patients with SOFA scores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 38,982</w:t>
      </w:r>
    </w:p>
    <w:p w14:paraId="1C32B59D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Max SOFA Score (Overall)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 12.0</w:t>
      </w:r>
    </w:p>
    <w:p w14:paraId="2C85A94D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Average Max SOFA Score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 1.91</w:t>
      </w:r>
    </w:p>
    <w:p w14:paraId="6B6974E2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--------------------------------------------------</w:t>
      </w:r>
    </w:p>
    <w:p w14:paraId="3106FEA6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Sepsis-3 Patients (ΔSOFA ≥ 2)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 8,332</w:t>
      </w:r>
    </w:p>
    <w:p w14:paraId="137378D1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Sepsis Prevalence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 21.37%</w:t>
      </w:r>
    </w:p>
    <w:p w14:paraId="2529628F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--------------------------------------------------</w:t>
      </w:r>
    </w:p>
    <w:p w14:paraId="15EC610A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2"/>
          <w:szCs w:val="22"/>
        </w:rPr>
      </w:pPr>
      <w:r>
        <w:rPr>
          <w:rStyle w:val="8"/>
          <w:rFonts w:hint="default" w:ascii="Times New Roman" w:hAnsi="Times New Roman" w:cs="Times New Roman"/>
          <w:b/>
          <w:bCs/>
          <w:sz w:val="22"/>
          <w:szCs w:val="22"/>
        </w:rPr>
        <w:t>9. Final Dataset Generation</w:t>
      </w:r>
    </w:p>
    <w:p w14:paraId="67EB9B5C">
      <w:pPr>
        <w:keepNext w:val="0"/>
        <w:keepLines w:val="0"/>
        <w:widowControl/>
        <w:numPr>
          <w:ilvl w:val="0"/>
          <w:numId w:val="13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Cleaned and engineered dataset (</w:t>
      </w:r>
      <w:r>
        <w:rPr>
          <w:rStyle w:val="6"/>
          <w:rFonts w:hint="default" w:ascii="Times New Roman" w:hAnsi="Times New Roman" w:cs="Times New Roman"/>
          <w:sz w:val="22"/>
          <w:szCs w:val="22"/>
        </w:rPr>
        <w:t>df_final</w:t>
      </w:r>
      <w:r>
        <w:rPr>
          <w:rFonts w:hint="default" w:ascii="Times New Roman" w:hAnsi="Times New Roman" w:cs="Times New Roman"/>
          <w:sz w:val="22"/>
          <w:szCs w:val="22"/>
        </w:rPr>
        <w:t xml:space="preserve">) includes: </w:t>
      </w:r>
    </w:p>
    <w:p w14:paraId="514AE29B">
      <w:pPr>
        <w:keepNext w:val="0"/>
        <w:keepLines w:val="0"/>
        <w:widowControl/>
        <w:numPr>
          <w:ilvl w:val="1"/>
          <w:numId w:val="14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Clinical variables </w:t>
      </w:r>
    </w:p>
    <w:p w14:paraId="4C0EC03C">
      <w:pPr>
        <w:keepNext w:val="0"/>
        <w:keepLines w:val="0"/>
        <w:widowControl/>
        <w:numPr>
          <w:ilvl w:val="1"/>
          <w:numId w:val="14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Engineered features </w:t>
      </w:r>
    </w:p>
    <w:p w14:paraId="36589250">
      <w:pPr>
        <w:keepNext w:val="0"/>
        <w:keepLines w:val="0"/>
        <w:widowControl/>
        <w:numPr>
          <w:ilvl w:val="1"/>
          <w:numId w:val="14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Measurement flags </w:t>
      </w:r>
    </w:p>
    <w:p w14:paraId="01640520">
      <w:pPr>
        <w:keepNext w:val="0"/>
        <w:keepLines w:val="0"/>
        <w:widowControl/>
        <w:numPr>
          <w:ilvl w:val="1"/>
          <w:numId w:val="14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Patient-level aggregates </w:t>
      </w:r>
    </w:p>
    <w:p w14:paraId="2DF53F6D">
      <w:pPr>
        <w:keepNext w:val="0"/>
        <w:keepLines w:val="0"/>
        <w:widowControl/>
        <w:numPr>
          <w:ilvl w:val="0"/>
          <w:numId w:val="13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Exported datasets: </w:t>
      </w:r>
    </w:p>
    <w:p w14:paraId="6A6B7C49">
      <w:pPr>
        <w:keepNext w:val="0"/>
        <w:keepLines w:val="0"/>
        <w:widowControl/>
        <w:numPr>
          <w:ilvl w:val="1"/>
          <w:numId w:val="15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Model-ready training data </w:t>
      </w:r>
    </w:p>
    <w:p w14:paraId="054B982D">
      <w:pPr>
        <w:keepNext w:val="0"/>
        <w:keepLines w:val="0"/>
        <w:widowControl/>
        <w:numPr>
          <w:ilvl w:val="1"/>
          <w:numId w:val="15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Patient-level statistics for audit/analysis </w:t>
      </w:r>
    </w:p>
    <w:p w14:paraId="3C3EE27D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----------------------------------------</w:t>
      </w:r>
    </w:p>
    <w:p w14:paraId="05BDFAFE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       PATIENT POPULATION SUMMARY       </w:t>
      </w:r>
    </w:p>
    <w:p w14:paraId="22BCE539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----------------------------------------</w:t>
      </w:r>
    </w:p>
    <w:p w14:paraId="47C4395D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Total Unique Patients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 38,982</w:t>
      </w:r>
    </w:p>
    <w:p w14:paraId="4B62D703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Total Male (1)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 21,970</w:t>
      </w:r>
    </w:p>
    <w:p w14:paraId="23B1856D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Total Female (0)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 17,012</w:t>
      </w:r>
    </w:p>
    <w:p w14:paraId="6D292F6F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----------------------------------------</w:t>
      </w:r>
    </w:p>
    <w:p w14:paraId="4820C2AC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Total Patients with Sepsis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2,920</w:t>
      </w:r>
    </w:p>
    <w:p w14:paraId="77420076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Total Male with Sepsis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1,733</w:t>
      </w:r>
    </w:p>
    <w:p w14:paraId="761B266F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Total Female with Sepsis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1,187</w:t>
      </w:r>
    </w:p>
    <w:p w14:paraId="0B946035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----------------------------------------</w:t>
      </w:r>
    </w:p>
    <w:p w14:paraId="35804C52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Overall Gender Ratio (M/F)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 1.29</w:t>
      </w:r>
    </w:p>
    <w:p w14:paraId="1147FB1E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Sepsis Patient Ratio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 0.07</w:t>
      </w:r>
    </w:p>
    <w:p w14:paraId="4AF4B92E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Sepsis Gender Ratio (M/F)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:</w:t>
      </w:r>
      <w:r>
        <w:rPr>
          <w:rFonts w:hint="default" w:ascii="Times New Roman" w:hAnsi="Times New Roman" w:cs="Times New Roman"/>
          <w:sz w:val="22"/>
          <w:szCs w:val="22"/>
          <w:lang w:val="en-IN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1.46</w:t>
      </w:r>
    </w:p>
    <w:p w14:paraId="60B2B5FE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----------------------------------------</w:t>
      </w:r>
    </w:p>
    <w:p w14:paraId="32A1C470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Age Statistics by Gender:</w:t>
      </w:r>
    </w:p>
    <w:p w14:paraId="39ABFF84">
      <w:pPr>
        <w:rPr>
          <w:rFonts w:hint="default" w:ascii="Times New Roman" w:hAnsi="Times New Roman" w:cs="Times New Roman"/>
          <w:sz w:val="22"/>
          <w:szCs w:val="22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8"/>
        <w:gridCol w:w="1288"/>
        <w:gridCol w:w="1288"/>
        <w:gridCol w:w="1288"/>
        <w:gridCol w:w="1288"/>
        <w:gridCol w:w="1288"/>
        <w:gridCol w:w="1288"/>
      </w:tblGrid>
      <w:tr w14:paraId="0F0FA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8" w:type="dxa"/>
          </w:tcPr>
          <w:p w14:paraId="523A81E4">
            <w:pPr>
              <w:widowControl w:val="0"/>
              <w:jc w:val="both"/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Gender</w:t>
            </w:r>
          </w:p>
        </w:tc>
        <w:tc>
          <w:tcPr>
            <w:tcW w:w="1288" w:type="dxa"/>
          </w:tcPr>
          <w:p w14:paraId="4E9FF53F">
            <w:pPr>
              <w:widowControl w:val="0"/>
              <w:jc w:val="both"/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mean</w:t>
            </w:r>
          </w:p>
        </w:tc>
        <w:tc>
          <w:tcPr>
            <w:tcW w:w="1288" w:type="dxa"/>
          </w:tcPr>
          <w:p w14:paraId="7E6B463F">
            <w:pPr>
              <w:widowControl w:val="0"/>
              <w:jc w:val="both"/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median</w:t>
            </w:r>
          </w:p>
        </w:tc>
        <w:tc>
          <w:tcPr>
            <w:tcW w:w="1288" w:type="dxa"/>
          </w:tcPr>
          <w:p w14:paraId="039DD67C">
            <w:pPr>
              <w:widowControl w:val="0"/>
              <w:jc w:val="both"/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std</w:t>
            </w:r>
          </w:p>
        </w:tc>
        <w:tc>
          <w:tcPr>
            <w:tcW w:w="1288" w:type="dxa"/>
          </w:tcPr>
          <w:p w14:paraId="4AEA6B30">
            <w:pPr>
              <w:widowControl w:val="0"/>
              <w:jc w:val="both"/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min</w:t>
            </w:r>
          </w:p>
        </w:tc>
        <w:tc>
          <w:tcPr>
            <w:tcW w:w="1288" w:type="dxa"/>
          </w:tcPr>
          <w:p w14:paraId="1A5B6E2D">
            <w:pPr>
              <w:widowControl w:val="0"/>
              <w:jc w:val="both"/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max</w:t>
            </w:r>
          </w:p>
        </w:tc>
        <w:tc>
          <w:tcPr>
            <w:tcW w:w="1288" w:type="dxa"/>
          </w:tcPr>
          <w:p w14:paraId="69928713">
            <w:pPr>
              <w:widowControl w:val="0"/>
              <w:jc w:val="both"/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count</w:t>
            </w:r>
          </w:p>
        </w:tc>
      </w:tr>
      <w:tr w14:paraId="142D22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8" w:type="dxa"/>
          </w:tcPr>
          <w:p w14:paraId="7F81F562">
            <w:pPr>
              <w:widowControl w:val="0"/>
              <w:jc w:val="both"/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Female</w:t>
            </w:r>
          </w:p>
        </w:tc>
        <w:tc>
          <w:tcPr>
            <w:tcW w:w="1288" w:type="dxa"/>
          </w:tcPr>
          <w:p w14:paraId="37C99B8B">
            <w:pPr>
              <w:widowControl w:val="0"/>
              <w:jc w:val="both"/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62.362756</w:t>
            </w:r>
          </w:p>
        </w:tc>
        <w:tc>
          <w:tcPr>
            <w:tcW w:w="1288" w:type="dxa"/>
          </w:tcPr>
          <w:p w14:paraId="074BF422">
            <w:pPr>
              <w:widowControl w:val="0"/>
              <w:jc w:val="both"/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64.745</w:t>
            </w:r>
          </w:p>
        </w:tc>
        <w:tc>
          <w:tcPr>
            <w:tcW w:w="1288" w:type="dxa"/>
          </w:tcPr>
          <w:p w14:paraId="7695E3BC">
            <w:pPr>
              <w:widowControl w:val="0"/>
              <w:jc w:val="both"/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17.299041</w:t>
            </w:r>
          </w:p>
        </w:tc>
        <w:tc>
          <w:tcPr>
            <w:tcW w:w="1288" w:type="dxa"/>
          </w:tcPr>
          <w:p w14:paraId="09542BE3">
            <w:pPr>
              <w:widowControl w:val="0"/>
              <w:jc w:val="both"/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14.0</w:t>
            </w:r>
          </w:p>
        </w:tc>
        <w:tc>
          <w:tcPr>
            <w:tcW w:w="1288" w:type="dxa"/>
          </w:tcPr>
          <w:p w14:paraId="2ED7DD9B">
            <w:pPr>
              <w:widowControl w:val="0"/>
              <w:jc w:val="both"/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100.0</w:t>
            </w:r>
          </w:p>
        </w:tc>
        <w:tc>
          <w:tcPr>
            <w:tcW w:w="1288" w:type="dxa"/>
          </w:tcPr>
          <w:p w14:paraId="492DDBD2">
            <w:pPr>
              <w:widowControl w:val="0"/>
              <w:jc w:val="both"/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17012</w:t>
            </w:r>
          </w:p>
        </w:tc>
      </w:tr>
      <w:tr w14:paraId="0CB4D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8" w:type="dxa"/>
          </w:tcPr>
          <w:p w14:paraId="5C587655">
            <w:pPr>
              <w:widowControl w:val="0"/>
              <w:jc w:val="both"/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Male</w:t>
            </w:r>
          </w:p>
        </w:tc>
        <w:tc>
          <w:tcPr>
            <w:tcW w:w="1288" w:type="dxa"/>
          </w:tcPr>
          <w:p w14:paraId="20684C90">
            <w:pPr>
              <w:widowControl w:val="0"/>
              <w:jc w:val="both"/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61.363181</w:t>
            </w:r>
          </w:p>
        </w:tc>
        <w:tc>
          <w:tcPr>
            <w:tcW w:w="1288" w:type="dxa"/>
          </w:tcPr>
          <w:p w14:paraId="220C0535">
            <w:pPr>
              <w:widowControl w:val="0"/>
              <w:jc w:val="both"/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63.000</w:t>
            </w:r>
          </w:p>
        </w:tc>
        <w:tc>
          <w:tcPr>
            <w:tcW w:w="1288" w:type="dxa"/>
          </w:tcPr>
          <w:p w14:paraId="27BA0243">
            <w:pPr>
              <w:widowControl w:val="0"/>
              <w:jc w:val="both"/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15.801936</w:t>
            </w:r>
          </w:p>
        </w:tc>
        <w:tc>
          <w:tcPr>
            <w:tcW w:w="1288" w:type="dxa"/>
          </w:tcPr>
          <w:p w14:paraId="0255FF87">
            <w:pPr>
              <w:widowControl w:val="0"/>
              <w:jc w:val="both"/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14.0</w:t>
            </w:r>
          </w:p>
        </w:tc>
        <w:tc>
          <w:tcPr>
            <w:tcW w:w="1288" w:type="dxa"/>
          </w:tcPr>
          <w:p w14:paraId="56016476">
            <w:pPr>
              <w:widowControl w:val="0"/>
              <w:jc w:val="both"/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100.0</w:t>
            </w:r>
          </w:p>
        </w:tc>
        <w:tc>
          <w:tcPr>
            <w:tcW w:w="1288" w:type="dxa"/>
          </w:tcPr>
          <w:p w14:paraId="4460F0A1">
            <w:pPr>
              <w:widowControl w:val="0"/>
              <w:jc w:val="both"/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21970</w:t>
            </w:r>
          </w:p>
        </w:tc>
      </w:tr>
    </w:tbl>
    <w:p w14:paraId="0610172E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2"/>
          <w:szCs w:val="22"/>
        </w:rPr>
      </w:pPr>
      <w:r>
        <w:rPr>
          <w:rStyle w:val="8"/>
          <w:rFonts w:hint="default" w:ascii="Times New Roman" w:hAnsi="Times New Roman" w:cs="Times New Roman"/>
          <w:b/>
          <w:bCs/>
          <w:sz w:val="22"/>
          <w:szCs w:val="22"/>
        </w:rPr>
        <w:t>10. Exploratory Data Analysis (EDA)</w:t>
      </w:r>
    </w:p>
    <w:p w14:paraId="0A52BB1C">
      <w:pPr>
        <w:keepNext w:val="0"/>
        <w:keepLines w:val="0"/>
        <w:widowControl/>
        <w:numPr>
          <w:ilvl w:val="0"/>
          <w:numId w:val="16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Demographics: Age, Gender distribution </w:t>
      </w:r>
    </w:p>
    <w:p w14:paraId="02386A7F">
      <w:pPr>
        <w:keepNext w:val="0"/>
        <w:keepLines w:val="0"/>
        <w:widowControl/>
        <w:numPr>
          <w:ilvl w:val="0"/>
          <w:numId w:val="16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Clinical &amp; lab variable distributions </w:t>
      </w:r>
    </w:p>
    <w:p w14:paraId="5C4D8292">
      <w:pPr>
        <w:keepNext w:val="0"/>
        <w:keepLines w:val="0"/>
        <w:widowControl/>
        <w:numPr>
          <w:ilvl w:val="0"/>
          <w:numId w:val="16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Patient-level statistical summaries </w:t>
      </w:r>
    </w:p>
    <w:p w14:paraId="275F8F75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drawing>
          <wp:inline distT="0" distB="0" distL="114300" distR="114300">
            <wp:extent cx="5262245" cy="3473450"/>
            <wp:effectExtent l="0" t="0" r="5080" b="317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7CC5D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rPr>
          <w:rFonts w:hint="default" w:ascii="Times New Roman" w:hAnsi="Times New Roman" w:cs="Times New Roman"/>
          <w:sz w:val="22"/>
          <w:szCs w:val="22"/>
        </w:rPr>
      </w:pPr>
    </w:p>
    <w:p w14:paraId="4BC56690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drawing>
          <wp:inline distT="0" distB="0" distL="114300" distR="114300">
            <wp:extent cx="5264150" cy="4366260"/>
            <wp:effectExtent l="0" t="0" r="3175" b="5715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D5FE0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rPr>
          <w:rFonts w:hint="default" w:ascii="Times New Roman" w:hAnsi="Times New Roman" w:cs="Times New Roman"/>
          <w:sz w:val="22"/>
          <w:szCs w:val="22"/>
        </w:rPr>
      </w:pPr>
    </w:p>
    <w:p w14:paraId="79BF2D55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drawing>
          <wp:inline distT="0" distB="0" distL="114300" distR="114300">
            <wp:extent cx="5274310" cy="3314065"/>
            <wp:effectExtent l="0" t="0" r="2540" b="635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27AEC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rPr>
          <w:rFonts w:hint="default" w:ascii="Times New Roman" w:hAnsi="Times New Roman" w:cs="Times New Roman"/>
          <w:sz w:val="22"/>
          <w:szCs w:val="22"/>
        </w:rPr>
      </w:pPr>
    </w:p>
    <w:p w14:paraId="6BF746A5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drawing>
          <wp:inline distT="0" distB="0" distL="114300" distR="114300">
            <wp:extent cx="5274310" cy="3314065"/>
            <wp:effectExtent l="0" t="0" r="2540" b="635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32916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rPr>
          <w:rFonts w:hint="default" w:ascii="Times New Roman" w:hAnsi="Times New Roman" w:cs="Times New Roman"/>
          <w:sz w:val="22"/>
          <w:szCs w:val="22"/>
        </w:rPr>
      </w:pPr>
    </w:p>
    <w:p w14:paraId="134683C5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COHORT STATISTICS: SEPSIS VS NON-SEPSIS</w:t>
      </w:r>
    </w:p>
    <w:p w14:paraId="4295DEF3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--------------------------------------------------</w:t>
      </w:r>
    </w:p>
    <w:p w14:paraId="0DEA48B9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                      Age                        ICULOS           Gender</w:t>
      </w:r>
    </w:p>
    <w:p w14:paraId="0DCE24E1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                     mean        std  median       mean median      mean</w:t>
      </w:r>
    </w:p>
    <w:p w14:paraId="185389F7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Non-Sepsis (0)  61.778269  16.487128  63.605  37.758915   39.0  0.561172</w:t>
      </w:r>
    </w:p>
    <w:p w14:paraId="177AFC2C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Sepsis (1)      62.060397  16.382426  64.000  59.380137   38.0  0.593493</w:t>
      </w:r>
    </w:p>
    <w:p w14:paraId="42CB24DF">
      <w:pPr>
        <w:rPr>
          <w:rFonts w:hint="default" w:ascii="Times New Roman" w:hAnsi="Times New Roman" w:cs="Times New Roman"/>
          <w:sz w:val="22"/>
          <w:szCs w:val="22"/>
        </w:rPr>
      </w:pPr>
    </w:p>
    <w:p w14:paraId="5039314A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drawing>
          <wp:inline distT="0" distB="0" distL="114300" distR="114300">
            <wp:extent cx="5265420" cy="1903095"/>
            <wp:effectExtent l="0" t="0" r="1905" b="1905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2D14D">
      <w:pPr>
        <w:rPr>
          <w:rFonts w:hint="default" w:ascii="Times New Roman" w:hAnsi="Times New Roman" w:cs="Times New Roman"/>
          <w:sz w:val="22"/>
          <w:szCs w:val="22"/>
        </w:rPr>
      </w:pPr>
    </w:p>
    <w:p w14:paraId="4FE7279E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drawing>
          <wp:inline distT="0" distB="0" distL="114300" distR="114300">
            <wp:extent cx="5270500" cy="4540250"/>
            <wp:effectExtent l="0" t="0" r="6350" b="3175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B81C0">
      <w:pPr>
        <w:rPr>
          <w:rFonts w:hint="default" w:ascii="Times New Roman" w:hAnsi="Times New Roman" w:cs="Times New Roman"/>
          <w:sz w:val="22"/>
          <w:szCs w:val="22"/>
        </w:rPr>
      </w:pPr>
    </w:p>
    <w:p w14:paraId="37A15023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Top 15 Clinical Predictors of Sepsis:</w:t>
      </w:r>
    </w:p>
    <w:p w14:paraId="50459D2D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 ICULOS: 0.063 (Positive (Increases with Sepsis))</w:t>
      </w:r>
    </w:p>
    <w:p w14:paraId="4018EB36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 DBP_measured: -0.051 (Negative (Drops with Sepsis))</w:t>
      </w:r>
    </w:p>
    <w:p w14:paraId="18D1E3AF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 FiO2_measured: 0.047 (Positive (Increases with Sepsis))</w:t>
      </w:r>
    </w:p>
    <w:p w14:paraId="1645C2E8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 spo2_hr_ratio: -0.046 (Negative (Drops with Sepsis))</w:t>
      </w:r>
    </w:p>
    <w:p w14:paraId="0187BE82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 BUN: 0.046 (Positive (Increases with Sepsis))</w:t>
      </w:r>
    </w:p>
    <w:p w14:paraId="7397547E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 HR: 0.046 (Positive (Increases with Sepsis))</w:t>
      </w:r>
    </w:p>
    <w:p w14:paraId="19CBA2A0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 Temp: 0.044 (Positive (Increases with Sepsis))</w:t>
      </w:r>
    </w:p>
    <w:p w14:paraId="00571F63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 rox_index: -0.042 (Negative (Drops with Sepsis))</w:t>
      </w:r>
    </w:p>
    <w:p w14:paraId="5ED0B31F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 shock_index: 0.039 (Positive (Increases with Sepsis))</w:t>
      </w:r>
    </w:p>
    <w:p w14:paraId="69044416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 SOFA_total: 0.038 (Positive (Increases with Sepsis))</w:t>
      </w:r>
    </w:p>
    <w:p w14:paraId="18EE1A8E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 Resp: 0.037 (Positive (Increases with Sepsis))</w:t>
      </w:r>
    </w:p>
    <w:p w14:paraId="79222EB9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 sepsis_3_criteria: 0.037 (Positive (Increases with Sepsis))</w:t>
      </w:r>
    </w:p>
    <w:p w14:paraId="415979AB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 Lactate_measured: 0.036 (Positive (Increases with Sepsis))</w:t>
      </w:r>
    </w:p>
    <w:p w14:paraId="11B5A66E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 HR_measured: -0.035 (Negative (Drops with Sepsis))</w:t>
      </w:r>
    </w:p>
    <w:p w14:paraId="2907091B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 SOFA_baseline: 0.034 (Positive (Increases with Sepsis))</w:t>
      </w:r>
    </w:p>
    <w:p w14:paraId="1D7E0750">
      <w:pPr>
        <w:rPr>
          <w:rFonts w:hint="default" w:ascii="Times New Roman" w:hAnsi="Times New Roman" w:cs="Times New Roman"/>
          <w:sz w:val="22"/>
          <w:szCs w:val="22"/>
        </w:rPr>
      </w:pPr>
    </w:p>
    <w:p w14:paraId="588679B7">
      <w:pPr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drawing>
          <wp:inline distT="0" distB="0" distL="114300" distR="114300">
            <wp:extent cx="5266055" cy="3141345"/>
            <wp:effectExtent l="0" t="0" r="1270" b="1905"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2BC40">
      <w:pPr>
        <w:rPr>
          <w:rFonts w:hint="default" w:ascii="Times New Roman" w:hAnsi="Times New Roman" w:cs="Times New Roman"/>
          <w:sz w:val="22"/>
          <w:szCs w:val="22"/>
        </w:rPr>
      </w:pPr>
    </w:p>
    <w:p w14:paraId="3F423E7C">
      <w:pPr>
        <w:rPr>
          <w:rFonts w:hint="default" w:ascii="Times New Roman" w:hAnsi="Times New Roman" w:cs="Times New Roman"/>
          <w:sz w:val="22"/>
          <w:szCs w:val="22"/>
        </w:rPr>
      </w:pPr>
    </w:p>
    <w:p w14:paraId="09087D26">
      <w:pPr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F6BA766">
      <w:pPr>
        <w:pStyle w:val="2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2"/>
          <w:szCs w:val="22"/>
        </w:rPr>
      </w:pPr>
      <w:r>
        <w:rPr>
          <w:rStyle w:val="8"/>
          <w:rFonts w:hint="default" w:ascii="Times New Roman" w:hAnsi="Times New Roman" w:cs="Times New Roman"/>
          <w:b/>
          <w:bCs/>
          <w:sz w:val="22"/>
          <w:szCs w:val="22"/>
        </w:rPr>
        <w:t>Key Outcome</w:t>
      </w:r>
    </w:p>
    <w:p w14:paraId="003ED2E2">
      <w:pPr>
        <w:pStyle w:val="7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A </w:t>
      </w:r>
      <w:r>
        <w:rPr>
          <w:rStyle w:val="8"/>
          <w:rFonts w:hint="default" w:ascii="Times New Roman" w:hAnsi="Times New Roman" w:cs="Times New Roman"/>
          <w:sz w:val="22"/>
          <w:szCs w:val="22"/>
        </w:rPr>
        <w:t>clinically cleaned, temporally consistent, feature-rich dataset</w:t>
      </w:r>
      <w:r>
        <w:rPr>
          <w:rFonts w:hint="default" w:ascii="Times New Roman" w:hAnsi="Times New Roman" w:cs="Times New Roman"/>
          <w:sz w:val="22"/>
          <w:szCs w:val="22"/>
        </w:rPr>
        <w:t xml:space="preserve"> aligned with </w:t>
      </w:r>
      <w:r>
        <w:rPr>
          <w:rStyle w:val="8"/>
          <w:rFonts w:hint="default" w:ascii="Times New Roman" w:hAnsi="Times New Roman" w:cs="Times New Roman"/>
          <w:sz w:val="22"/>
          <w:szCs w:val="22"/>
        </w:rPr>
        <w:t>Sepsis-3 definitions</w:t>
      </w:r>
      <w:r>
        <w:rPr>
          <w:rFonts w:hint="default" w:ascii="Times New Roman" w:hAnsi="Times New Roman" w:cs="Times New Roman"/>
          <w:sz w:val="22"/>
          <w:szCs w:val="22"/>
        </w:rPr>
        <w:t>, ready for:</w:t>
      </w:r>
    </w:p>
    <w:p w14:paraId="124D21A8">
      <w:pPr>
        <w:keepNext w:val="0"/>
        <w:keepLines w:val="0"/>
        <w:widowControl/>
        <w:numPr>
          <w:ilvl w:val="0"/>
          <w:numId w:val="17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Machine learning modeling </w:t>
      </w:r>
    </w:p>
    <w:p w14:paraId="3FFBFAAD">
      <w:pPr>
        <w:keepNext w:val="0"/>
        <w:keepLines w:val="0"/>
        <w:widowControl/>
        <w:numPr>
          <w:ilvl w:val="0"/>
          <w:numId w:val="17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Early prediction systems </w:t>
      </w:r>
    </w:p>
    <w:p w14:paraId="5106B677">
      <w:pPr>
        <w:keepNext w:val="0"/>
        <w:keepLines w:val="0"/>
        <w:widowControl/>
        <w:numPr>
          <w:ilvl w:val="0"/>
          <w:numId w:val="17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Clinical validation </w:t>
      </w:r>
    </w:p>
    <w:p w14:paraId="1660ECB5">
      <w:pPr>
        <w:rPr>
          <w:rFonts w:hint="default" w:ascii="Times New Roman" w:hAnsi="Times New Roman" w:cs="Times New Roman"/>
          <w:sz w:val="22"/>
          <w:szCs w:val="22"/>
        </w:rPr>
      </w:pPr>
    </w:p>
    <w:sectPr>
      <w:pgSz w:w="11906" w:h="16838"/>
      <w:pgMar w:top="1440" w:right="1306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E332EB"/>
    <w:multiLevelType w:val="multilevel"/>
    <w:tmpl w:val="8BE332E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A2B16DF3"/>
    <w:multiLevelType w:val="multilevel"/>
    <w:tmpl w:val="A2B16DF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">
    <w:nsid w:val="A80F441C"/>
    <w:multiLevelType w:val="multilevel"/>
    <w:tmpl w:val="A80F441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">
    <w:nsid w:val="DCF028C8"/>
    <w:multiLevelType w:val="multilevel"/>
    <w:tmpl w:val="DCF028C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4">
    <w:nsid w:val="0DD56133"/>
    <w:multiLevelType w:val="multilevel"/>
    <w:tmpl w:val="0DD5613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5">
    <w:nsid w:val="12475CD5"/>
    <w:multiLevelType w:val="multilevel"/>
    <w:tmpl w:val="12475CD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6">
    <w:nsid w:val="20606CA7"/>
    <w:multiLevelType w:val="multilevel"/>
    <w:tmpl w:val="20606CA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7">
    <w:nsid w:val="32672447"/>
    <w:multiLevelType w:val="multilevel"/>
    <w:tmpl w:val="3267244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8">
    <w:nsid w:val="3CA41A72"/>
    <w:multiLevelType w:val="multilevel"/>
    <w:tmpl w:val="3CA41A7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9">
    <w:nsid w:val="3EE441E8"/>
    <w:multiLevelType w:val="multilevel"/>
    <w:tmpl w:val="3EE441E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0">
    <w:nsid w:val="4961E7DD"/>
    <w:multiLevelType w:val="multilevel"/>
    <w:tmpl w:val="4961E7D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7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"/>
  </w:num>
  <w:num w:numId="8">
    <w:abstractNumId w:val="3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4E6335"/>
    <w:rsid w:val="0144573B"/>
    <w:rsid w:val="074E6335"/>
    <w:rsid w:val="38C33C90"/>
    <w:rsid w:val="4C2C747D"/>
    <w:rsid w:val="56825BFB"/>
    <w:rsid w:val="7334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TML Code"/>
    <w:basedOn w:val="4"/>
    <w:qFormat/>
    <w:uiPriority w:val="0"/>
    <w:rPr>
      <w:rFonts w:ascii="Courier New" w:hAnsi="Courier New" w:cs="Courier New"/>
      <w:sz w:val="20"/>
      <w:szCs w:val="20"/>
    </w:rPr>
  </w:style>
  <w:style w:type="paragraph" w:styleId="7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8">
    <w:name w:val="Strong"/>
    <w:basedOn w:val="4"/>
    <w:qFormat/>
    <w:uiPriority w:val="0"/>
    <w:rPr>
      <w:b/>
      <w:bCs/>
    </w:rPr>
  </w:style>
  <w:style w:type="table" w:styleId="9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682</Words>
  <Characters>4722</Characters>
  <Lines>0</Lines>
  <Paragraphs>0</Paragraphs>
  <TotalTime>8</TotalTime>
  <ScaleCrop>false</ScaleCrop>
  <LinksUpToDate>false</LinksUpToDate>
  <CharactersWithSpaces>5561</CharactersWithSpaces>
  <Application>WPS Office_12.1.0.26372_F1E327BC-269C-435d-A152-05C5408002CA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2026-03-30T08:21:00Z</dcterms:created>
  <dc:creator>JPDobriyal</dc:creator>
  <cp:lastModifiedBy>J P DOBRIYAL</cp:lastModifiedBy>
  <dcterms:modified xsi:type="dcterms:W3CDTF">2026-05-23T00:05:52Z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1033-12.1.0.26372</vt:lpwstr>
  </property>
  <property fmtid="{D5CDD505-2E9C-101B-9397-08002B2CF9AE}" pid="3" name="ICV">
    <vt:lpwstr>A780DFC9F6804876B7A759D764659992_13</vt:lpwstr>
  </property>
  <property fmtid="{D5CDD505-2E9C-101B-9397-08002B2CF9AE}" pid="4" name="KSOTemplateDocerSaveRecord">
    <vt:lpwstr>eyJoZGlkIjoiYTczNGZkOTUwZWQ2YzAxMjAxYWRmN2M3YTgzMjk3M2EiLCJ1c2VySWQiOiI1NjcwMjUxNjY3OTMifQ==</vt:lpwstr>
  </property>
</Properties>
</file>