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01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832"/>
        <w:gridCol w:w="2198"/>
        <w:gridCol w:w="3013"/>
        <w:gridCol w:w="973"/>
      </w:tblGrid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2832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Parameter</w:t>
            </w:r>
          </w:p>
        </w:tc>
        <w:tc>
          <w:tcPr>
            <w:tcW w:type="dxa" w:w="219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Open Repair (n=34)</w:t>
            </w:r>
          </w:p>
        </w:tc>
        <w:tc>
          <w:tcPr>
            <w:tcW w:type="dxa" w:w="3013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Laparoscopic Repair (n=34)</w:t>
            </w:r>
          </w:p>
        </w:tc>
        <w:tc>
          <w:tcPr>
            <w:tcW w:type="dxa" w:w="973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p-value</w:t>
            </w:r>
          </w:p>
        </w:tc>
      </w:tr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2832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Duration of Surgery (min)</w:t>
            </w:r>
          </w:p>
        </w:tc>
        <w:tc>
          <w:tcPr>
            <w:tcW w:type="dxa" w:w="219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 xml:space="preserve">65 </w:t>
            </w:r>
            <w:r>
              <w:rPr>
                <w:rFonts w:ascii="Times New Roman" w:hAnsi="Times New Roman" w:hint="default"/>
                <w:kern w:val="2"/>
                <w:sz w:val="20"/>
                <w:szCs w:val="20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10</w:t>
            </w:r>
          </w:p>
        </w:tc>
        <w:tc>
          <w:tcPr>
            <w:tcW w:type="dxa" w:w="3013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 xml:space="preserve">95 </w:t>
            </w:r>
            <w:r>
              <w:rPr>
                <w:rFonts w:ascii="Times New Roman" w:hAnsi="Times New Roman" w:hint="default"/>
                <w:kern w:val="2"/>
                <w:sz w:val="20"/>
                <w:szCs w:val="20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12</w:t>
            </w:r>
          </w:p>
        </w:tc>
        <w:tc>
          <w:tcPr>
            <w:tcW w:type="dxa" w:w="973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2832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Most Common Duration</w:t>
            </w:r>
          </w:p>
        </w:tc>
        <w:tc>
          <w:tcPr>
            <w:tcW w:type="dxa" w:w="219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60</w:t>
            </w:r>
            <w:r>
              <w:rPr>
                <w:rFonts w:ascii="Times New Roman" w:hAnsi="Times New Roman" w:hint="default"/>
                <w:kern w:val="2"/>
                <w:sz w:val="20"/>
                <w:szCs w:val="2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80 min</w:t>
            </w:r>
          </w:p>
        </w:tc>
        <w:tc>
          <w:tcPr>
            <w:tcW w:type="dxa" w:w="3013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81</w:t>
            </w:r>
            <w:r>
              <w:rPr>
                <w:rFonts w:ascii="Times New Roman" w:hAnsi="Times New Roman" w:hint="default"/>
                <w:kern w:val="2"/>
                <w:sz w:val="20"/>
                <w:szCs w:val="2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100 min</w:t>
            </w:r>
          </w:p>
        </w:tc>
        <w:tc>
          <w:tcPr>
            <w:tcW w:type="dxa" w:w="973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ind w:left="108" w:hanging="108"/>
      </w:pPr>
    </w:p>
    <w:p>
      <w:pPr>
        <w:pStyle w:val="Body A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68460</wp:posOffset>
                </wp:positionH>
                <wp:positionV relativeFrom="page">
                  <wp:posOffset>551676</wp:posOffset>
                </wp:positionV>
                <wp:extent cx="5778844" cy="336829"/>
                <wp:effectExtent l="0" t="0" r="0" b="0"/>
                <wp:wrapTopAndBottom distT="152400" distB="152400"/>
                <wp:docPr id="1073741825" name="officeArt object" descr="Table 2. Intraoperative Finding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844" cy="3368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Table 2. Intraoperative Findings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.4pt;margin-top:43.4pt;width:455.0pt;height:26.5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20"/>
                          <w:szCs w:val="20"/>
                          <w:rtl w:val="0"/>
                          <w:lang w:val="en-US"/>
                        </w:rPr>
                        <w:t>Table 2. Intraoperative Findings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