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63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201"/>
        <w:gridCol w:w="2267"/>
        <w:gridCol w:w="3129"/>
        <w:gridCol w:w="1035"/>
      </w:tblGrid>
      <w:tr>
        <w:tblPrEx>
          <w:shd w:val="clear" w:color="auto" w:fill="cadfff"/>
        </w:tblPrEx>
        <w:trPr>
          <w:trHeight w:val="202" w:hRule="atLeast"/>
        </w:trPr>
        <w:tc>
          <w:tcPr>
            <w:tcW w:type="dxa" w:w="3201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18"/>
                <w:szCs w:val="18"/>
                <w:u w:color="ffffff"/>
                <w:rtl w:val="0"/>
                <w:lang w:val="en-US"/>
              </w:rPr>
              <w:t>Parameter</w:t>
            </w:r>
          </w:p>
        </w:tc>
        <w:tc>
          <w:tcPr>
            <w:tcW w:type="dxa" w:w="2266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18"/>
                <w:szCs w:val="18"/>
                <w:u w:color="ffffff"/>
                <w:rtl w:val="0"/>
                <w:lang w:val="en-US"/>
              </w:rPr>
              <w:t>Open Repair (n=34)</w:t>
            </w:r>
          </w:p>
        </w:tc>
        <w:tc>
          <w:tcPr>
            <w:tcW w:type="dxa" w:w="3129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18"/>
                <w:szCs w:val="18"/>
                <w:u w:color="ffffff"/>
                <w:rtl w:val="0"/>
                <w:lang w:val="en-US"/>
              </w:rPr>
              <w:t>Laparoscopic Repair (n=34)</w:t>
            </w:r>
          </w:p>
        </w:tc>
        <w:tc>
          <w:tcPr>
            <w:tcW w:type="dxa" w:w="1034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18"/>
                <w:szCs w:val="18"/>
                <w:u w:color="ffffff"/>
                <w:rtl w:val="0"/>
                <w:lang w:val="en-US"/>
              </w:rPr>
              <w:t>p-value</w:t>
            </w:r>
          </w:p>
        </w:tc>
      </w:tr>
      <w:tr>
        <w:tblPrEx>
          <w:shd w:val="clear" w:color="auto" w:fill="cadfff"/>
        </w:tblPrEx>
        <w:trPr>
          <w:trHeight w:val="202" w:hRule="atLeast"/>
        </w:trPr>
        <w:tc>
          <w:tcPr>
            <w:tcW w:type="dxa" w:w="3201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18"/>
                <w:szCs w:val="18"/>
                <w:rtl w:val="0"/>
                <w:lang w:val="en-US"/>
              </w:rPr>
              <w:t>Postoperative Complications</w:t>
            </w:r>
          </w:p>
        </w:tc>
        <w:tc>
          <w:tcPr>
            <w:tcW w:type="dxa" w:w="2266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13</w:t>
            </w:r>
          </w:p>
        </w:tc>
        <w:tc>
          <w:tcPr>
            <w:tcW w:type="dxa" w:w="3129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6</w:t>
            </w:r>
          </w:p>
        </w:tc>
        <w:tc>
          <w:tcPr>
            <w:tcW w:type="dxa" w:w="1034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&lt;0.05</w:t>
            </w:r>
          </w:p>
        </w:tc>
      </w:tr>
      <w:tr>
        <w:tblPrEx>
          <w:shd w:val="clear" w:color="auto" w:fill="cadfff"/>
        </w:tblPrEx>
        <w:trPr>
          <w:trHeight w:val="202" w:hRule="atLeast"/>
        </w:trPr>
        <w:tc>
          <w:tcPr>
            <w:tcW w:type="dxa" w:w="3201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18"/>
                <w:szCs w:val="18"/>
                <w:rtl w:val="0"/>
                <w:lang w:val="en-US"/>
              </w:rPr>
              <w:t>Pain Score (VAS)</w:t>
            </w:r>
          </w:p>
        </w:tc>
        <w:tc>
          <w:tcPr>
            <w:tcW w:type="dxa" w:w="2266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 xml:space="preserve">6.5 </w:t>
            </w:r>
            <w:r>
              <w:rPr>
                <w:rFonts w:ascii="Times New Roman" w:hAnsi="Times New Roman" w:hint="default"/>
                <w:kern w:val="2"/>
                <w:sz w:val="18"/>
                <w:szCs w:val="18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1.4</w:t>
            </w:r>
          </w:p>
        </w:tc>
        <w:tc>
          <w:tcPr>
            <w:tcW w:type="dxa" w:w="3129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 xml:space="preserve">4.2 </w:t>
            </w:r>
            <w:r>
              <w:rPr>
                <w:rFonts w:ascii="Times New Roman" w:hAnsi="Times New Roman" w:hint="default"/>
                <w:kern w:val="2"/>
                <w:sz w:val="18"/>
                <w:szCs w:val="18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1.1</w:t>
            </w:r>
          </w:p>
        </w:tc>
        <w:tc>
          <w:tcPr>
            <w:tcW w:type="dxa" w:w="1034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202" w:hRule="atLeast"/>
        </w:trPr>
        <w:tc>
          <w:tcPr>
            <w:tcW w:type="dxa" w:w="3201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18"/>
                <w:szCs w:val="18"/>
                <w:rtl w:val="0"/>
                <w:lang w:val="en-US"/>
              </w:rPr>
              <w:t>Hospital Stay (days)</w:t>
            </w:r>
          </w:p>
        </w:tc>
        <w:tc>
          <w:tcPr>
            <w:tcW w:type="dxa" w:w="2266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 xml:space="preserve">6.5 </w:t>
            </w:r>
            <w:r>
              <w:rPr>
                <w:rFonts w:ascii="Times New Roman" w:hAnsi="Times New Roman" w:hint="default"/>
                <w:kern w:val="2"/>
                <w:sz w:val="18"/>
                <w:szCs w:val="18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1.4</w:t>
            </w:r>
          </w:p>
        </w:tc>
        <w:tc>
          <w:tcPr>
            <w:tcW w:type="dxa" w:w="3129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 xml:space="preserve">4.0 </w:t>
            </w:r>
            <w:r>
              <w:rPr>
                <w:rFonts w:ascii="Times New Roman" w:hAnsi="Times New Roman" w:hint="default"/>
                <w:kern w:val="2"/>
                <w:sz w:val="18"/>
                <w:szCs w:val="18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1.2</w:t>
            </w:r>
          </w:p>
        </w:tc>
        <w:tc>
          <w:tcPr>
            <w:tcW w:type="dxa" w:w="1034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&lt;0.001</w:t>
            </w:r>
          </w:p>
        </w:tc>
      </w:tr>
      <w:tr>
        <w:tblPrEx>
          <w:shd w:val="clear" w:color="auto" w:fill="cadfff"/>
        </w:tblPrEx>
        <w:trPr>
          <w:trHeight w:val="202" w:hRule="atLeast"/>
        </w:trPr>
        <w:tc>
          <w:tcPr>
            <w:tcW w:type="dxa" w:w="3201"/>
            <w:tcBorders>
              <w:top w:val="single" w:color="4472c4" w:sz="4" w:space="0" w:shadow="0" w:frame="0"/>
              <w:left w:val="single" w:color="4472c4" w:sz="4" w:space="0" w:shadow="0" w:frame="0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b w:val="1"/>
                <w:bCs w:val="1"/>
                <w:kern w:val="2"/>
                <w:sz w:val="18"/>
                <w:szCs w:val="18"/>
                <w:rtl w:val="0"/>
                <w:lang w:val="en-US"/>
              </w:rPr>
              <w:t>Return to Activity (days)</w:t>
            </w:r>
          </w:p>
        </w:tc>
        <w:tc>
          <w:tcPr>
            <w:tcW w:type="dxa" w:w="2266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 xml:space="preserve">14 </w:t>
            </w:r>
            <w:r>
              <w:rPr>
                <w:rFonts w:ascii="Times New Roman" w:hAnsi="Times New Roman" w:hint="default"/>
                <w:kern w:val="2"/>
                <w:sz w:val="18"/>
                <w:szCs w:val="18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3</w:t>
            </w:r>
          </w:p>
        </w:tc>
        <w:tc>
          <w:tcPr>
            <w:tcW w:type="dxa" w:w="3129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 xml:space="preserve">9 </w:t>
            </w:r>
            <w:r>
              <w:rPr>
                <w:rFonts w:ascii="Times New Roman" w:hAnsi="Times New Roman" w:hint="default"/>
                <w:kern w:val="2"/>
                <w:sz w:val="18"/>
                <w:szCs w:val="18"/>
                <w:rtl w:val="0"/>
                <w:lang w:val="en-US"/>
              </w:rPr>
              <w:t xml:space="preserve">± </w:t>
            </w: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2</w:t>
            </w:r>
          </w:p>
        </w:tc>
        <w:tc>
          <w:tcPr>
            <w:tcW w:type="dxa" w:w="1034"/>
            <w:tcBorders>
              <w:top w:val="single" w:color="4472c4" w:sz="4" w:space="0" w:shadow="0" w:frame="0"/>
              <w:left w:val="nil"/>
              <w:bottom w:val="single" w:color="4472c4" w:sz="4" w:space="0" w:shadow="0" w:frame="0"/>
              <w:right w:val="single" w:color="4472c4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</w:pPr>
            <w:r>
              <w:rPr>
                <w:rFonts w:ascii="Times New Roman" w:hAnsi="Times New Roman"/>
                <w:kern w:val="2"/>
                <w:sz w:val="18"/>
                <w:szCs w:val="18"/>
                <w:rtl w:val="0"/>
                <w:lang w:val="en-US"/>
              </w:rPr>
              <w:t>&lt;0.001</w:t>
            </w:r>
          </w:p>
        </w:tc>
      </w:tr>
    </w:tbl>
    <w:p>
      <w:pPr>
        <w:pStyle w:val="Body"/>
        <w:widowControl w:val="0"/>
        <w:ind w:left="108" w:hanging="108"/>
      </w:pPr>
    </w:p>
    <w:p>
      <w:pPr>
        <w:pStyle w:val="Body A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591280</wp:posOffset>
                </wp:positionH>
                <wp:positionV relativeFrom="page">
                  <wp:posOffset>510209</wp:posOffset>
                </wp:positionV>
                <wp:extent cx="6364977" cy="316421"/>
                <wp:effectExtent l="0" t="0" r="0" b="0"/>
                <wp:wrapTopAndBottom distT="152400" distB="152400"/>
                <wp:docPr id="1073741825" name="officeArt object" descr="Table 3. Postoperative Outco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977" cy="3164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pacing w:after="160" w:line="259" w:lineRule="auto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kern w:val="2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Table 3. Postoperative Outcome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6.6pt;margin-top:40.2pt;width:501.2pt;height:24.9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pacing w:after="160" w:line="259" w:lineRule="auto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kern w:val="2"/>
                          <w:sz w:val="20"/>
                          <w:szCs w:val="20"/>
                          <w:rtl w:val="0"/>
                          <w:lang w:val="en-US"/>
                        </w:rPr>
                        <w:t>Table 3. Postoperative Outcome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