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8"/>
          <w:szCs w:val="28"/>
        </w:rPr>
        <w:t xml:space="preserve">Additional file 1</w:t>
      </w:r>
    </w:p>
    <w:p>
      <w:pPr>
        <w:spacing w:after="120"/>
      </w:pPr>
      <w:r>
        <w:rPr>
          <w:b/>
          <w:bCs/>
        </w:rPr>
        <w:t xml:space="preserve">Supplementary materials for: </w:t>
      </w:r>
      <w:r>
        <w:rPr>
          <w:i/>
          <w:iCs/>
        </w:rPr>
        <w:t xml:space="preserve">Development and Validation of the DOCAS: A Measure of School Counselors' Attitudes Toward Delivering Online Counseling</w:t>
      </w:r>
    </w:p>
    <w:p>
      <w:pPr>
        <w:spacing w:after="120" w:before="360"/>
      </w:pPr>
      <w:r>
        <w:rPr>
          <w:b/>
          <w:bCs/>
        </w:rPr>
        <w:t xml:space="preserve">Translation note</w:t>
      </w:r>
    </w:p>
    <w:p>
      <w:pPr>
        <w:spacing w:after="120"/>
      </w:pPr>
      <w:r>
        <w:t xml:space="preserve">The DOCAS items were originally developed in Turkish. The English translations below were prepared by the authors for international readership. No formal cross-cultural adaptation procedure (e.g., back-translation, expert panel review, cognitive interviewing) has been applied to the English version; researchers wishing to use the DOCAS in English-speaking samples should first conduct a formal adaptation and validation study.</w:t>
      </w:r>
    </w:p>
    <w:p>
      <w:pPr>
        <w:spacing w:after="120" w:before="360"/>
      </w:pPr>
      <w:r>
        <w:rPr>
          <w:b/>
          <w:bCs/>
        </w:rPr>
        <w:t xml:space="preserve">Scale description, response format, and scoring</w:t>
      </w:r>
    </w:p>
    <w:p>
      <w:pPr>
        <w:spacing w:after="120"/>
      </w:pPr>
      <w:r>
        <w:t xml:space="preserve">The DOCAS is a 15-item, 5-point Likert-type self-report measure of school counselors' attitudes toward delivering online counseling. Consistent with the essentially unidimensional structure reported in the manuscript, the DOCAS yields a single total score; the positively and negatively worded item clusters represent the two poles of one evaluative dimension and are not scored as separate subscales.</w:t>
      </w:r>
    </w:p>
    <w:p>
      <w:pPr>
        <w:spacing w:after="120"/>
      </w:pPr>
      <w:r>
        <w:t xml:space="preserve">Response format: 1 = strongly disagree, 2 = disagree, 3 = undecided, 4 = agree, 5 = strongly agree.</w:t>
      </w:r>
    </w:p>
    <w:p>
      <w:pPr>
        <w:spacing w:after="120"/>
      </w:pPr>
      <w:r>
        <w:t xml:space="preserve">Scoring: the seven negatively worded items (original pool numbers M3, M15, M16, M23, M30, M33, M34; items 9-15 in the final form) are reverse-coded (recoded score = 6 − raw score), and the 15 item scores are then summed. The possible range is 15-75; higher scores indicate a more favorable overall attitude toward delivering online counseling.</w:t>
      </w:r>
    </w:p>
    <w:p>
      <w:pPr>
        <w:spacing w:after="60" w:before="360"/>
      </w:pPr>
      <w:r>
        <w:rPr>
          <w:b/>
          <w:bCs/>
        </w:rPr>
        <w:t xml:space="preserve">Table S1</w:t>
      </w:r>
    </w:p>
    <w:p>
      <w:pPr>
        <w:spacing w:after="120"/>
      </w:pPr>
      <w:r>
        <w:rPr>
          <w:i/>
          <w:iCs/>
        </w:rPr>
        <w:t xml:space="preserve">The 36-Item Initial Pool: Turkish Originals, English Translations, and Retention Status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950"/>
        <w:gridCol w:w="3738"/>
        <w:gridCol w:w="3738"/>
      </w:tblGrid>
      <w:tr>
        <w:trPr>
          <w:tblHeader/>
        </w:trPr>
        <w:tc>
          <w:tcPr>
            <w:tcW w:type="dxa" w:w="6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No</w:t>
            </w:r>
          </w:p>
        </w:tc>
        <w:tc>
          <w:tcPr>
            <w:tcW w:type="dxa" w:w="95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Status</w:t>
            </w:r>
          </w:p>
        </w:tc>
        <w:tc>
          <w:tcPr>
            <w:tcW w:type="dxa" w:w="3738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Turkish (original)</w:t>
            </w:r>
          </w:p>
        </w:tc>
        <w:tc>
          <w:tcPr>
            <w:tcW w:type="dxa" w:w="3738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English (translation)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gereksiniminin gün geçtikçe artacağına inanıyorum.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believe the need for online counseling will continue to grow over time.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2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platformları psikolojik danışma hizmeti sunmak için kullanabilirim.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can use online platforms to deliver counseling services.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3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ortamlarda psikolojik danışma hizmeti verebilmek için istekli değilim.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am not willing to deliver counseling services in online settings.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4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danışma, danışanların hizmete erişimini elverişli hale getirir.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Online counseling makes services more accessible to clients.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5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yapabilmek için yeterli donanıma sahibim.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have sufficient equipment to conduct online counseling.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6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danışmanın kalıcı bir hizmet türü olacağına inanmıyorum.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do not believe online counseling will become a permanent type of service.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7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Psikolojik danışma hizmetini çevrimiçi ortamlarda sunmak planlarım arasında yer alır.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Delivering counseling services in online settings is part of my plans.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8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hizmeti sunabilmek için eğitim alma fikri beni heyecanlandırmıyor.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The idea of receiving training to deliver online counseling services does not excite me.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9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hizmeti sunmak, yüz yüze psikolojik danışmaya göre daha kullanışlıdır.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Delivering online counseling is more practical than face-to-face counseling.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10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Psikolojik danışma hizmetini çevrimiçi yollarla etkili biçimde yerine getirebilirim.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can effectively deliver counseling services through online means.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11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ortamlarda, farklı şekillerde psikolojik danışma yardımı verilebilir.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Different forms of counseling support can be provided in online settings.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12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danışmayı yüz yüze psikolojik danışmaya tercih ederim.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prefer online counseling over face-to-face counseling.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13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Psikolojik danışma yardımını çevrimiçi sunma düşüncesi motivasyonumu artırıyor.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The idea of delivering counseling support online increases my motivation.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14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hizmetleri sayesinde zamandan tasarruf edebilirim.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can save time through online counseling services.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15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hizmeti sunmak için kendimi yeterli hissetmiyorum.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do not feel competent to deliver online counseling services.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16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ortamlarda, psikolojik danışma yapılması uygun değildir.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Conducting counseling in online settings is not appropriate.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17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Yüz yüze psikolojik danışma yapmak varken çevrimiçi psikolojik danışmayı tercih etmem.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would not prefer online counseling when face-to-face counseling is available.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18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Psikolojik danışma hizmeti sırasında fiziksel olarak aynı ortamda olmamak isteğimi azaltır.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Not being physically in the same setting during counseling reduces my willingness.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19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hizmeti sunmak için eğitim almaktan mutluluk duyarım.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would be glad to receive training to deliver online counseling services.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20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güvenilir bir hizmettir.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Online counseling is a trustworthy service.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21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ortamlarda verilen psikolojik danışma hizmeti yüz yüze kadar etkilidir.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Counseling provided in online settings is as effective as face-to-face counseling.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22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Teknolojik araçlarla çok ilgili olmadığım için çevrimiçi psikolojik danışma hizmeti sunabileceğimi düşünmüyorum.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Because I am not particularly interested in technological tools, I do not think I can deliver online counseling services.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23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platformları psikolojik danışma hizmeti sunmak için kullanmaya istekli değilim.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am not willing to use online platforms to deliver counseling services.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24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sayesinde daha fazla kişi için ulaşılabilir olmayı önemli görüyorum.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consider it important to be accessible to more people through online counseling.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25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ortamlarda danışanla terapötik bağ kurmak mümkün değildir.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Establishing a therapeutic bond with the client in online settings is not possible.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26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Teknolojik araçlarla psikolojik danışma hizmeti sunmak işimi kolaylaştırır.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Delivering counseling services with technological tools makes my work easier.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27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Teknoloji destekli uygulamaları nasıl kullanacağımı bildiğim için psikolojik danışma hizmeti sunma konusunda rahatım.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Because I know how to use technology-assisted applications, I am comfortable delivering counseling services.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28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ortamlarda danışan ile danışman arasında terapötik işbirliği sağlanabilir.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A therapeutic alliance between client and counselor can be established in online settings.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29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platformlarda psikolojik danışma hizmeti sunabilmek için eğitim almayı isterim.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would like to receive training to deliver counseling services on online platforms.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30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hizmetini güvenilir bulmuyorum.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do not find online counseling services trustworthy.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31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Psikolojik danışma hizmetini çevrimiçi ortamlarda sunabilmek için eğitim almaya sıcak bakmıyorum.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do not warm to the idea of receiving training to deliver counseling services in online settings.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32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günümüzde yaygınlaşıyor olsa da bunun için yeterli motivasyonum yok.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Although online counseling is becoming more widespread, I do not have sufficient motivation for it.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33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Psikolojik danışma hizmeti sunmak için çevrimiçi ortamın düzenlenmesi benim için zordur.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Arranging the online environment for delivering counseling services is difficult for me.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34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danışmanın yüz yüze yapılan kadar etkili olabileceğine inanmıyorum.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do not believe online counseling can be as effective as face-to-face counseling.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35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danışmanın giderek yaygınlaşması, bu hizmeti sunma motivasyonumu artırıyor.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The increasing prevalence of online counseling motivates me to deliver this service.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36</w:t>
            </w:r>
          </w:p>
        </w:tc>
        <w:tc>
          <w:tcPr>
            <w:tcW w:type="dxa" w:w="95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Psikolojik danışma hizmetini çevrimiçi yerine yüz yüze sunmak beni daha çok mutlu eder.</w:t>
            </w:r>
          </w:p>
        </w:tc>
        <w:tc>
          <w:tcPr>
            <w:tcW w:type="dxa" w:w="3738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Delivering counseling face-to-face rather than online makes me happier.</w:t>
            </w:r>
          </w:p>
        </w:tc>
      </w:tr>
    </w:tbl>
    <w:p>
      <w:pPr>
        <w:spacing w:after="240" w:before="80"/>
      </w:pPr>
      <w:r>
        <w:rPr>
          <w:i/>
          <w:iCs/>
        </w:rPr>
        <w:t xml:space="preserve">Note. </w:t>
      </w:r>
      <w:r>
        <w:t xml:space="preserve">+ = retained, positively worded; − = retained, negatively worded; — = eliminated during scale development. Item numbers reflect positions in the original 36-item pool.</w:t>
      </w:r>
    </w:p>
    <w:p>
      <w:pPr>
        <w:spacing w:after="60" w:before="360"/>
      </w:pPr>
      <w:r>
        <w:rPr>
          <w:b/>
          <w:bCs/>
        </w:rPr>
        <w:t xml:space="preserve">Table S2</w:t>
      </w:r>
    </w:p>
    <w:p>
      <w:pPr>
        <w:spacing w:after="120"/>
      </w:pPr>
      <w:r>
        <w:rPr>
          <w:i/>
          <w:iCs/>
        </w:rPr>
        <w:t xml:space="preserve">The Final 15-Item DOCAS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100"/>
        <w:gridCol w:w="1000"/>
        <w:gridCol w:w="3163"/>
        <w:gridCol w:w="3163"/>
      </w:tblGrid>
      <w:tr>
        <w:trPr>
          <w:tblHeader/>
        </w:trPr>
        <w:tc>
          <w:tcPr>
            <w:tcW w:type="dxa" w:w="6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No</w:t>
            </w:r>
          </w:p>
        </w:tc>
        <w:tc>
          <w:tcPr>
            <w:tcW w:type="dxa" w:w="11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Original no</w:t>
            </w:r>
          </w:p>
        </w:tc>
        <w:tc>
          <w:tcPr>
            <w:tcW w:type="dxa" w:w="10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Wording</w:t>
            </w:r>
          </w:p>
        </w:tc>
        <w:tc>
          <w:tcPr>
            <w:tcW w:type="dxa" w:w="3163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Turkish</w:t>
            </w:r>
          </w:p>
        </w:tc>
        <w:tc>
          <w:tcPr>
            <w:tcW w:type="dxa" w:w="3163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English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M4 / I4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danışma, danışanların hizmete erişimini elverişli hale getirir.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Online counseling makes services more accessible to clients.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2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M10 / I10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Psikolojik danışma hizmetini çevrimiçi yollarla etkili biçimde yerine getirebilirim.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can effectively deliver counseling services through online means.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3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M24 / I24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sayesinde daha fazla kişi için ulaşılabilir olmayı önemli görüyorum.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consider it important to be accessible to more people through online counseling.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4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M1 / I1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gereksiniminin gün geçtikçe artacağına inanıyorum.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believe the need for online counseling will continue to grow over time.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5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M14 / I14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hizmetleri sayesinde zamandan tasarruf edebilirim.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can save time through online counseling services.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6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M29 / I29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platformlarda psikolojik danışma hizmeti sunabilmek için eğitim almayı isterim.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would like to receive training to deliver counseling services on online platforms.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7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M28 / I28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ortamlarda danışan ile danışman arasında terapötik işbirliği sağlanabilir.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A therapeutic alliance between client and counselor can be established in online settings.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8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M35 / I35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+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danışmanın giderek yaygınlaşması, bu hizmeti sunma motivasyonumu artırıyor.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The increasing prevalence of online counseling motivates me to deliver this service.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9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M34 / I34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danışmanın yüz yüze yapılan kadar etkili olabileceğine inanmıyorum.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do not believe online counseling can be as effective as face-to-face counseling.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10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M30 / I30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hizmetini güvenilir bulmuyorum.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do not find online counseling services trustworthy.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11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M23 / I23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platformları psikolojik danışma hizmeti sunmak için kullanmaya istekli değilim.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am not willing to use online platforms to deliver counseling services.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12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M16 / I16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ortamlarda, psikolojik danışma yapılması uygun değildir.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Conducting counseling in online settings is not appropriate.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13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M3 / I3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ortamlarda psikolojik danışma hizmeti verebilmek için istekli değilim.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am not willing to deliver counseling services in online settings.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14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M33 / I33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Psikolojik danışma hizmeti sunmak için çevrimiçi ortamın düzenlenmesi benim için zordur.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Arranging the online environment for delivering counseling services is difficult for me.</w:t>
            </w:r>
          </w:p>
        </w:tc>
      </w:tr>
      <w:tr>
        <w:tc>
          <w:tcPr>
            <w:tcW w:type="dxa" w:w="6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15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M15 / I15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Çevrimiçi psikolojik danışma hizmeti sunmak için kendimi yeterli hissetmiyorum.</w:t>
            </w:r>
          </w:p>
        </w:tc>
        <w:tc>
          <w:tcPr>
            <w:tcW w:type="dxa" w:w="3163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I do not feel competent to deliver online counseling services.</w:t>
            </w:r>
          </w:p>
        </w:tc>
      </w:tr>
    </w:tbl>
    <w:p>
      <w:pPr>
        <w:spacing w:after="240" w:before="80"/>
      </w:pPr>
      <w:r>
        <w:rPr>
          <w:i/>
          <w:iCs/>
        </w:rPr>
        <w:t xml:space="preserve">Note. </w:t>
      </w:r>
      <w:r>
        <w:t xml:space="preserve">+ = positively worded; − = negatively worded (reverse-coded for the total score). Original no refers to the item's position in the 36-item pool (M = Turkish form, I = English translation).</w:t>
      </w:r>
    </w:p>
    <w:p>
      <w:pPr>
        <w:spacing w:after="60" w:before="360"/>
      </w:pPr>
      <w:r>
        <w:rPr>
          <w:b/>
          <w:bCs/>
        </w:rPr>
        <w:t xml:space="preserve">Table S3</w:t>
      </w:r>
    </w:p>
    <w:p>
      <w:pPr>
        <w:spacing w:after="120"/>
      </w:pPr>
      <w:r>
        <w:rPr>
          <w:i/>
          <w:iCs/>
        </w:rPr>
        <w:t xml:space="preserve">Items Eliminated During Exploratory Factor Analysis, With Loadings and Reasons (n = 210)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00"/>
        <w:gridCol w:w="800"/>
        <w:gridCol w:w="6626"/>
      </w:tblGrid>
      <w:tr>
        <w:trPr>
          <w:tblHeader/>
        </w:trPr>
        <w:tc>
          <w:tcPr>
            <w:tcW w:type="dxa" w:w="8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Item</w:t>
            </w:r>
          </w:p>
        </w:tc>
        <w:tc>
          <w:tcPr>
            <w:tcW w:type="dxa" w:w="8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F1</w:t>
            </w:r>
          </w:p>
        </w:tc>
        <w:tc>
          <w:tcPr>
            <w:tcW w:type="dxa" w:w="8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F2</w:t>
            </w:r>
          </w:p>
        </w:tc>
        <w:tc>
          <w:tcPr>
            <w:tcW w:type="dxa" w:w="6626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Reason for elimination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.77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−.06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content overlap with M10 (effective delivery of the service)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M5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.83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.33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overlap with M10 on the technical competence theme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M6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.11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.64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semantic proximity to M30 (trustworthiness/permanence theme)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M7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.64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−.28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overlap with M29 on the intention/planning theme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M8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−.23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.56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semantic proximity to M3 (motivation/reluctance theme)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M9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.36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−.45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S – cross-loading (difference &lt; .20)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M11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.79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−.08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overlap with M28 on the feasibility theme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M12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.23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−.49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semantic proximity to M34 (comparison theme); low primary loading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M13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.34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−.55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overlap with M35 on the motivation theme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M17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.10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.90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overlap with M16 on the rejection-of-suitability theme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M18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−.09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.76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semantic proximity to M3 (reluctance theme)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M19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.63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−.26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overlap with M29 on the training-demand theme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M20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.58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−.32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overlap with M30 (reverse direction) on the trustworthiness theme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M21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.46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−.43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S – cross-loading (difference &lt; .20)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M22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−.27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.38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S – low loading (&lt; .40)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M25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−.08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.81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overlap with M28 (reverse direction) on the therapeutic relationship theme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M26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.68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−.18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semantic proximity to M14 (convenience/time-saving theme)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M27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.82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.12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overlap with M10 on the competence theme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M31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−.28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.58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semantic proximity to M3 and M29 (reverse direction, training-demand theme)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M32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−.19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.72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semantic proximity to M15 (competence/motivation theme)</w:t>
            </w:r>
          </w:p>
        </w:tc>
      </w:tr>
      <w:tr>
        <w:tc>
          <w:tcPr>
            <w:tcW w:type="dxa" w:w="8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M36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.25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.83</w:t>
            </w:r>
          </w:p>
        </w:tc>
        <w:tc>
          <w:tcPr>
            <w:tcW w:type="dxa" w:w="6626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C – overlap with M34 on the comparison theme</w:t>
            </w:r>
          </w:p>
        </w:tc>
      </w:tr>
    </w:tbl>
    <w:p>
      <w:pPr>
        <w:spacing w:after="240" w:before="80"/>
      </w:pPr>
      <w:r>
        <w:rPr>
          <w:i/>
          <w:iCs/>
        </w:rPr>
        <w:t xml:space="preserve">Note. </w:t>
      </w:r>
      <w:r>
        <w:t xml:space="preserve">Elimination criteria: S (statistical) = loading &lt; .40, or cross-loading with a between-factor difference &lt; .20; C (conceptual) = content redundancy or semantic proximity to a retained item, or item-pool balance. Item wordings are given in Table S1. Loadings were obtained with maximum likelihood estimation and oblimin rotation; positive F2 loadings reflect that negatively worded items were analyzed without reverse-coding.</w:t>
      </w:r>
    </w:p>
    <w:p>
      <w:pPr>
        <w:spacing w:after="60" w:before="360"/>
      </w:pPr>
      <w:r>
        <w:rPr>
          <w:b/>
          <w:bCs/>
        </w:rPr>
        <w:t xml:space="preserve">Table S4</w:t>
      </w:r>
    </w:p>
    <w:p>
      <w:pPr>
        <w:spacing w:after="120"/>
      </w:pPr>
      <w:r>
        <w:rPr>
          <w:i/>
          <w:iCs/>
        </w:rPr>
        <w:t xml:space="preserve">Full EFA Loading Matrix of the 36-Item Pool (n = 210)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900"/>
        <w:gridCol w:w="1900"/>
        <w:gridCol w:w="1900"/>
        <w:gridCol w:w="1926"/>
      </w:tblGrid>
      <w:tr>
        <w:trPr>
          <w:tblHeader/>
        </w:trPr>
        <w:tc>
          <w:tcPr>
            <w:tcW w:type="dxa" w:w="14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Item</w:t>
            </w:r>
          </w:p>
        </w:tc>
        <w:tc>
          <w:tcPr>
            <w:tcW w:type="dxa" w:w="19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F1</w:t>
            </w:r>
          </w:p>
        </w:tc>
        <w:tc>
          <w:tcPr>
            <w:tcW w:type="dxa" w:w="19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F2</w:t>
            </w:r>
          </w:p>
        </w:tc>
        <w:tc>
          <w:tcPr>
            <w:tcW w:type="dxa" w:w="19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</w:rPr>
              <w:t xml:space="preserve">h</w:t>
            </w:r>
            <w:r>
              <w:rPr>
                <w:vertAlign w:val="superscript"/>
              </w:rPr>
              <w:t xml:space="preserve">2</w:t>
            </w:r>
          </w:p>
        </w:tc>
        <w:tc>
          <w:tcPr>
            <w:tcW w:type="dxa" w:w="1926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Final form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.75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.05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.52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✓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.77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−.06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.65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−.20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.65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.62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✓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M4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.85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.13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.61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✓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M5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.83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.33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.46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M6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.11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.64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.33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M7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.64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−.28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.71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M8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−.23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.56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.53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M9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.36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−.45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.53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M10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.80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−.01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.65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✓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M11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.79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−.08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.70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M12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.23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−.49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.43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M13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.34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−.55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.64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M14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.70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−.16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.66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✓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M15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−.24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.44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.38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✓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M16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−.14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.68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.60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✓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M17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.10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.90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.71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M18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−.09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.76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.67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M19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.63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−.26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.67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M20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.58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−.32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.66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M21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.46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−.43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.64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M22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−.27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.38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.35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M23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−.23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.70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.75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✓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M24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.79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−.08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.71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✓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M25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−.08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.81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.73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M26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.68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−.18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.64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M27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.82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.12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.57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M28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.69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−.22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.72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✓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M29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.70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−.20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.69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✓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M30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.01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.84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.70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✓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M31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−.28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.58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.62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M32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−.19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.72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.73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M33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−.22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.57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.53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✓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M34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.06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.91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.76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✓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M35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.56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−.29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.60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✓</w:t>
            </w:r>
          </w:p>
        </w:tc>
      </w:tr>
      <w:tr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M36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.25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.83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.50</w:t>
            </w:r>
          </w:p>
        </w:tc>
        <w:tc>
          <w:tcPr>
            <w:tcW w:type="dxa" w:w="1926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—</w:t>
            </w:r>
          </w:p>
        </w:tc>
      </w:tr>
    </w:tbl>
    <w:p>
      <w:pPr>
        <w:spacing w:after="240" w:before="80"/>
      </w:pPr>
      <w:r>
        <w:rPr>
          <w:i/>
          <w:iCs/>
        </w:rPr>
        <w:t xml:space="preserve">Note. </w:t>
      </w:r>
      <w:r>
        <w:t xml:space="preserve">Loadings were obtained with maximum likelihood estimation and oblimin rotation. </w:t>
      </w:r>
      <w:r>
        <w:rPr>
          <w:i/>
          <w:iCs/>
        </w:rPr>
        <w:t xml:space="preserve">h</w:t>
      </w:r>
      <w:r>
        <w:rPr>
          <w:vertAlign w:val="superscript"/>
        </w:rPr>
        <w:t xml:space="preserve">2</w:t>
      </w:r>
      <w:r>
        <w:t xml:space="preserve"> = communality. ✓ = item retained in the final 15-item form. F1 = positively worded cluster; F2 = negatively worded cluster (analyzed without reverse-coding). In the confirmatory analyses reported in the manuscript, these two wording-based clusters were shown to reflect a single bipolar attitude dimension accompanied by wording-related method variance rather than two substantive factors.</w:t>
      </w:r>
    </w:p>
    <w:p>
      <w:pPr>
        <w:spacing w:after="60" w:before="360"/>
      </w:pPr>
      <w:r>
        <w:rPr>
          <w:b/>
          <w:bCs/>
        </w:rPr>
        <w:t xml:space="preserve">Table S5</w:t>
      </w:r>
    </w:p>
    <w:p>
      <w:pPr>
        <w:spacing w:after="120"/>
      </w:pPr>
      <w:r>
        <w:rPr>
          <w:i/>
          <w:iCs/>
        </w:rPr>
        <w:t xml:space="preserve">Comparison of the 1- to 4-Factor EFA Solutions (36-Item Pool, n = 210)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100"/>
        <w:gridCol w:w="2100"/>
        <w:gridCol w:w="2100"/>
        <w:gridCol w:w="1226"/>
      </w:tblGrid>
      <w:tr>
        <w:trPr>
          <w:tblHeader/>
        </w:trPr>
        <w:tc>
          <w:tcPr>
            <w:tcW w:type="dxa" w:w="15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Solution</w:t>
            </w:r>
          </w:p>
        </w:tc>
        <w:tc>
          <w:tcPr>
            <w:tcW w:type="dxa" w:w="21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Total variance (%)</w:t>
            </w:r>
          </w:p>
        </w:tc>
        <w:tc>
          <w:tcPr>
            <w:tcW w:type="dxa" w:w="21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Smallest factor (items)</w:t>
            </w:r>
          </w:p>
        </w:tc>
        <w:tc>
          <w:tcPr>
            <w:tcW w:type="dxa" w:w="21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Factors with ≥ 3 salient items</w:t>
            </w:r>
          </w:p>
        </w:tc>
        <w:tc>
          <w:tcPr>
            <w:tcW w:type="dxa" w:w="1226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Unassigned items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1-factor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57.7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36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dxa" w:w="12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0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2-factor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66.3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17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dxa" w:w="12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0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3-factor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70.1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dxa" w:w="12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0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4-factor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73.1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dxa" w:w="1226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1</w:t>
            </w:r>
          </w:p>
        </w:tc>
      </w:tr>
    </w:tbl>
    <w:p>
      <w:pPr>
        <w:spacing w:after="240" w:before="80"/>
      </w:pPr>
      <w:r>
        <w:rPr>
          <w:i/>
          <w:iCs/>
        </w:rPr>
        <w:t xml:space="preserve">Note. </w:t>
      </w:r>
      <w:r>
        <w:t xml:space="preserve">Salient loading ≥ .40. 'Factors with ≥ 3 salient items' counts well-defined factors. The three- and four-factor solutions fragmented the structure: the additional factors were defined by only one or two items or left items unassigned.</w:t>
      </w:r>
    </w:p>
    <w:p>
      <w:pPr>
        <w:spacing w:after="60" w:before="360"/>
      </w:pPr>
      <w:r>
        <w:rPr>
          <w:b/>
          <w:bCs/>
        </w:rPr>
        <w:t xml:space="preserve">Table S6</w:t>
      </w:r>
    </w:p>
    <w:p>
      <w:pPr>
        <w:spacing w:after="120"/>
      </w:pPr>
      <w:r>
        <w:rPr>
          <w:i/>
          <w:iCs/>
        </w:rPr>
        <w:t xml:space="preserve">Standardized Loadings From the Bifactor Model (M3; Validation Subsample, n = 210)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26"/>
        <w:gridCol w:w="2300"/>
        <w:gridCol w:w="2300"/>
        <w:gridCol w:w="2300"/>
      </w:tblGrid>
      <w:tr>
        <w:trPr>
          <w:tblHeader/>
        </w:trPr>
        <w:tc>
          <w:tcPr>
            <w:tcW w:type="dxa" w:w="2126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Item</w:t>
            </w:r>
          </w:p>
        </w:tc>
        <w:tc>
          <w:tcPr>
            <w:tcW w:type="dxa" w:w="23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</w:rPr>
              <w:t xml:space="preserve">g</w:t>
            </w:r>
            <w:r>
              <w:t xml:space="preserve"> (general factor)</w:t>
            </w:r>
          </w:p>
        </w:tc>
        <w:tc>
          <w:tcPr>
            <w:tcW w:type="dxa" w:w="23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POS</w:t>
            </w:r>
          </w:p>
        </w:tc>
        <w:tc>
          <w:tcPr>
            <w:tcW w:type="dxa" w:w="23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NEG</w:t>
            </w:r>
          </w:p>
        </w:tc>
      </w:tr>
      <w:tr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.776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.274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M4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.709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.634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M10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.803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.214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M14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.801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.241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M24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.789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.129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M28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.822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.231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M29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.968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.019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M35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.906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.124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</w:tr>
      <w:tr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.734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.462</w:t>
            </w:r>
          </w:p>
        </w:tc>
      </w:tr>
      <w:tr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M15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.613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.373</w:t>
            </w:r>
          </w:p>
        </w:tc>
      </w:tr>
      <w:tr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M16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.761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.301</w:t>
            </w:r>
          </w:p>
        </w:tc>
      </w:tr>
      <w:tr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M23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.776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.510</w:t>
            </w:r>
          </w:p>
        </w:tc>
      </w:tr>
      <w:tr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M30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.694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.462</w:t>
            </w:r>
          </w:p>
        </w:tc>
      </w:tr>
      <w:tr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M33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.732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.375</w:t>
            </w:r>
          </w:p>
        </w:tc>
      </w:tr>
      <w:tr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t xml:space="preserve">M34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.738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/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t xml:space="preserve">.554</w:t>
            </w:r>
          </w:p>
        </w:tc>
      </w:tr>
    </w:tbl>
    <w:p>
      <w:pPr>
        <w:spacing w:after="240" w:before="80"/>
      </w:pPr>
      <w:r>
        <w:rPr>
          <w:i/>
          <w:iCs/>
        </w:rPr>
        <w:t xml:space="preserve">Note. </w:t>
      </w:r>
      <w:r>
        <w:rPr>
          <w:i/>
          <w:iCs/>
        </w:rPr>
        <w:t xml:space="preserve">g</w:t>
      </w:r>
      <w:r>
        <w:t xml:space="preserve"> = general attitude factor; POS/NEG = positively/negatively worded group factors (orthogonal to </w:t>
      </w:r>
      <w:r>
        <w:rPr>
          <w:i/>
          <w:iCs/>
        </w:rPr>
        <w:t xml:space="preserve">g</w:t>
      </w:r>
      <w:r>
        <w:t xml:space="preserve">). Negatively worded items were reverse-coded. General-factor loadings range from .613 to .968.</w:t>
      </w:r>
    </w:p>
    <w:p>
      <w:pPr>
        <w:spacing w:after="120" w:before="360"/>
      </w:pPr>
      <w:r>
        <w:rPr>
          <w:b/>
          <w:bCs/>
        </w:rPr>
        <w:t xml:space="preserve">Data and code availability</w:t>
      </w:r>
    </w:p>
    <w:p>
      <w:pPr>
        <w:spacing w:after="120"/>
      </w:pPr>
      <w:r>
        <w:t xml:space="preserve">All analyses were conducted in R 4.4 using the lavaan (Rosseel, 2012), psych (Revelle, 2024), and semTools (Jorgensen et al., 2024) packages. The R analysis scripts and the anonymized dataset are available from the corresponding author on reasonable request.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2026-07-09T17:11:23.898Z</dcterms:created>
  <dcterms:modified xsi:type="dcterms:W3CDTF">2026-07-09T17:11:23.899Z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