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78037" w14:textId="77777777" w:rsidR="00334EE3" w:rsidRPr="00D059C1" w:rsidRDefault="00000000">
      <w:pPr>
        <w:spacing w:after="120" w:line="259" w:lineRule="auto"/>
        <w:jc w:val="center"/>
        <w:rPr>
          <w:rFonts w:ascii="Calibri" w:hAnsi="Calibri" w:cs="Calibri"/>
          <w:color w:val="000000" w:themeColor="text1"/>
        </w:rPr>
      </w:pPr>
      <w:r>
        <w:rPr>
          <w:rFonts w:ascii="Calibri" w:hAnsi="Calibri" w:cs="Calibri"/>
          <w:b/>
          <w:color w:val="000000" w:themeColor="text1"/>
          <w:sz w:val="32"/>
        </w:rPr>
        <w:t>Supplementary Methods and Supplementary Results</w:t>
      </w:r>
    </w:p>
    <w:p w14:paraId="696EA202" w14:textId="77777777" w:rsidR="00334EE3" w:rsidRPr="00D059C1" w:rsidRDefault="00000000">
      <w:pPr>
        <w:pStyle w:val="Balk1"/>
        <w:spacing w:after="120" w:line="259" w:lineRule="auto"/>
        <w:rPr>
          <w:rFonts w:ascii="Calibri" w:hAnsi="Calibri" w:cs="Calibri"/>
          <w:color w:val="000000" w:themeColor="text1"/>
        </w:rPr>
      </w:pPr>
      <w:r>
        <w:rPr>
          <w:rFonts w:ascii="Calibri" w:eastAsia="Times New Roman" w:hAnsi="Calibri" w:cs="Calibri"/>
          <w:color w:val="000000" w:themeColor="text1"/>
          <w:sz w:val="22"/>
        </w:rPr>
        <w:t>Supplementary Methods</w:t>
      </w:r>
    </w:p>
    <w:p w14:paraId="544A135F" w14:textId="77777777" w:rsidR="00334EE3" w:rsidRPr="00D059C1" w:rsidRDefault="00000000">
      <w:pPr>
        <w:pStyle w:val="Balk2"/>
        <w:spacing w:after="120" w:line="259" w:lineRule="auto"/>
        <w:rPr>
          <w:rFonts w:ascii="Calibri" w:hAnsi="Calibri" w:cs="Calibri"/>
          <w:color w:val="000000" w:themeColor="text1"/>
        </w:rPr>
      </w:pPr>
      <w:r>
        <w:rPr>
          <w:rFonts w:ascii="Calibri" w:eastAsia="Times New Roman" w:hAnsi="Calibri" w:cs="Calibri"/>
          <w:color w:val="000000" w:themeColor="text1"/>
          <w:sz w:val="22"/>
        </w:rPr>
        <w:t>1. WGS variant mapping and exposure-level preprocessing</w:t>
      </w:r>
    </w:p>
    <w:p w14:paraId="38D60BE3" w14:textId="77777777" w:rsidR="00334EE3" w:rsidRPr="00D059C1" w:rsidRDefault="00000000">
      <w:pPr>
        <w:spacing w:after="120" w:line="259" w:lineRule="auto"/>
        <w:rPr>
          <w:rFonts w:ascii="Calibri" w:hAnsi="Calibri" w:cs="Calibri"/>
          <w:color w:val="000000" w:themeColor="text1"/>
        </w:rPr>
      </w:pPr>
      <w:r>
        <w:rPr>
          <w:rFonts w:ascii="Calibri" w:hAnsi="Calibri" w:cs="Calibri"/>
          <w:color w:val="000000" w:themeColor="text1"/>
        </w:rPr>
        <w:t>The Gupta et al. WGS summary statistics were released without dbSNP rsIDs. A chromosome-base-pair-allele lookup table was therefore constructed from the 1000 Genomes Phase 3 European reference panel, comprising 19 994 462 unique chr_bp_a1_a2 keys after counting both allele orderings. Bidirectional allele matching and palindromic-aware strand resolution were then used to harmonize the Gupta WGS variants to dbSNP rsIDs. This procedure successfully mapped 9 091 558 variants per Gupta dataset, representing 45.5% of the lookup space and more than 99% of common variants. The Longchamps meta-analysis was filtered to imputation quality INFO ≥ 0.8. Across all mtDNA-CN exposures, analyses were restricted to autosomal chromosomes. The X chromosome, mitochondrial contigs and the major histocompatibility complex region (chr6:28 477 797–33 448 354, GRCh37) were excluded to minimize complex LD and mapping artefacts. Where summary statistics contained multiple records at the same genomic position, duplicate records were collapsed by retaining the variant with the smallest reported p value; tri-allelic sites were discarded.</w:t>
      </w:r>
    </w:p>
    <w:p w14:paraId="0692DE48" w14:textId="77777777" w:rsidR="00334EE3" w:rsidRPr="00D059C1" w:rsidRDefault="00000000">
      <w:pPr>
        <w:pStyle w:val="Balk2"/>
        <w:spacing w:after="120" w:line="259" w:lineRule="auto"/>
        <w:rPr>
          <w:rFonts w:ascii="Calibri" w:hAnsi="Calibri" w:cs="Calibri"/>
          <w:color w:val="000000" w:themeColor="text1"/>
        </w:rPr>
      </w:pPr>
      <w:r>
        <w:rPr>
          <w:rFonts w:ascii="Calibri" w:eastAsia="Times New Roman" w:hAnsi="Calibri" w:cs="Calibri"/>
          <w:color w:val="000000" w:themeColor="text1"/>
          <w:sz w:val="22"/>
        </w:rPr>
        <w:t>2. Instrument selection, clumping and proxy replacement</w:t>
      </w:r>
    </w:p>
    <w:p w14:paraId="4B662953" w14:textId="77777777" w:rsidR="00334EE3" w:rsidRPr="00D059C1" w:rsidRDefault="00000000">
      <w:pPr>
        <w:spacing w:after="120" w:line="259" w:lineRule="auto"/>
        <w:rPr>
          <w:rFonts w:ascii="Calibri" w:hAnsi="Calibri" w:cs="Calibri"/>
          <w:color w:val="000000" w:themeColor="text1"/>
        </w:rPr>
      </w:pPr>
      <w:r>
        <w:rPr>
          <w:rFonts w:ascii="Calibri" w:hAnsi="Calibri" w:cs="Calibri"/>
          <w:color w:val="000000" w:themeColor="text1"/>
        </w:rPr>
        <w:t>Genome-wide significant variants (p &lt; 5 × 10⁻⁸) were selected as candidate instrumental variables for each mtDNA-CN exposure panel. LD clumping was performed with PLINK v1.90b6.21 using the 1000 Genomes Phase 3 European reference panel, a 10 000-kb clumping window and r² &lt; 0.001, retaining the lead variant per independent locus. Per-SNP F-statistics were computed as F = (β/SE)², and variants with F &lt; 10 were excluded. The complete harmonized per-pair instrument list, including effect estimates and Steiger-filter status, is provided in Supplementary Table 3, and per-panel/per-pair weak-instrument diagnostics are provided in Supplementary Table 4. Where an instrument was unavailable in the outcome GWAS, a European LD proxy at r² ≥ 0.8 was sought using LDlinkR; proxy alleles were aligned to the target effect allele, and variants without suitable proxies were dropped.</w:t>
      </w:r>
    </w:p>
    <w:p w14:paraId="294C45B2" w14:textId="77777777" w:rsidR="00334EE3" w:rsidRPr="00D059C1" w:rsidRDefault="00000000">
      <w:pPr>
        <w:pStyle w:val="Balk2"/>
        <w:spacing w:after="120" w:line="259" w:lineRule="auto"/>
        <w:rPr>
          <w:rFonts w:ascii="Calibri" w:hAnsi="Calibri" w:cs="Calibri"/>
          <w:color w:val="000000" w:themeColor="text1"/>
        </w:rPr>
      </w:pPr>
      <w:r>
        <w:rPr>
          <w:rFonts w:ascii="Calibri" w:eastAsia="Times New Roman" w:hAnsi="Calibri" w:cs="Calibri"/>
          <w:color w:val="000000" w:themeColor="text1"/>
          <w:sz w:val="22"/>
        </w:rPr>
        <w:t>3. Allele harmonization, Steiger filtering and PTSD effect-size reconstruction</w:t>
      </w:r>
    </w:p>
    <w:p w14:paraId="6E1A90C2" w14:textId="77777777" w:rsidR="00334EE3" w:rsidRPr="00D059C1" w:rsidRDefault="00000000">
      <w:pPr>
        <w:spacing w:after="120" w:line="259" w:lineRule="auto"/>
        <w:rPr>
          <w:rFonts w:ascii="Calibri" w:hAnsi="Calibri" w:cs="Calibri"/>
          <w:color w:val="000000" w:themeColor="text1"/>
        </w:rPr>
      </w:pPr>
      <w:r>
        <w:rPr>
          <w:rFonts w:ascii="Calibri" w:hAnsi="Calibri" w:cs="Calibri"/>
          <w:color w:val="000000" w:themeColor="text1"/>
        </w:rPr>
        <w:t>Forward MR analyses used TwoSampleMR v0.7.6. For each exposure-outcome pair, exposure and outcome alleles were harmonized with TwoSampleMR::harmonise_data(action = 2), which infers positive strands using allele frequencies and removes ambiguous palindromic variants with intermediate allele frequency. Steiger filtering retained SNPs explaining more variance in mtDNA-CN than in the outcome, thereby supporting the intended exposure-to-outcome direction. The PTSD outcome was supplied in Z-score VCF format; effect sizes and standard errors were reconstructed from the Z statistics using the conventional Z-to-beta/SE transformation before harmonization and MR estimation.</w:t>
      </w:r>
    </w:p>
    <w:p w14:paraId="0C304D2E" w14:textId="77777777" w:rsidR="00334EE3" w:rsidRPr="00D059C1" w:rsidRDefault="00000000">
      <w:pPr>
        <w:pStyle w:val="Balk2"/>
        <w:spacing w:after="120" w:line="259" w:lineRule="auto"/>
        <w:rPr>
          <w:rFonts w:ascii="Calibri" w:hAnsi="Calibri" w:cs="Calibri"/>
          <w:color w:val="000000" w:themeColor="text1"/>
        </w:rPr>
      </w:pPr>
      <w:r>
        <w:rPr>
          <w:rFonts w:ascii="Calibri" w:eastAsia="Times New Roman" w:hAnsi="Calibri" w:cs="Calibri"/>
          <w:color w:val="000000" w:themeColor="text1"/>
          <w:sz w:val="22"/>
        </w:rPr>
        <w:t>4. Primary MR estimators and pleiotropy diagnostics</w:t>
      </w:r>
    </w:p>
    <w:p w14:paraId="340D8400" w14:textId="77777777" w:rsidR="00334EE3" w:rsidRPr="00D059C1" w:rsidRDefault="00000000">
      <w:pPr>
        <w:spacing w:after="120" w:line="259" w:lineRule="auto"/>
        <w:rPr>
          <w:rFonts w:ascii="Calibri" w:hAnsi="Calibri" w:cs="Calibri"/>
          <w:color w:val="000000" w:themeColor="text1"/>
        </w:rPr>
      </w:pPr>
      <w:r>
        <w:rPr>
          <w:rFonts w:ascii="Calibri" w:hAnsi="Calibri" w:cs="Calibri"/>
          <w:color w:val="000000" w:themeColor="text1"/>
        </w:rPr>
        <w:t>The inverse-variance-weighted estimator was the primary MR method. MR-Egger, weighted median and MR-RAPS were used as complementary estimators under different assumptions about invalid instruments. Before estimation, a Radial-MR outlier screen (RadialMR ivw_radial, modified second-order weights, per-pair outlier threshold α = 0.05/n) was applied to each instrument set; it removed no ASD instruments, and recomputing IVW on the full Steiger-filtered set reproduces the reported ASD per-panel and pooled estimates exactly. Directional pleiotropy was assessed with the MR-Egger intercept, outlier and global heterogeneity were assessed with MR-PRESSO, heterogeneity was summarized with Cochran’s Q, and influential variants were screened by leave-one-out IVW analyses. After excluding the substance-use-disorder GWAS from forward MR because per-variant standard errors were unavailable, 100 forward exposure-outcome tests were evaluable across four exposure panels and 25 outcomes.</w:t>
      </w:r>
    </w:p>
    <w:p w14:paraId="058DC6E0" w14:textId="77777777" w:rsidR="00334EE3" w:rsidRPr="00D059C1" w:rsidRDefault="00000000">
      <w:pPr>
        <w:pStyle w:val="Balk2"/>
        <w:spacing w:after="120" w:line="259" w:lineRule="auto"/>
        <w:rPr>
          <w:rFonts w:ascii="Calibri" w:hAnsi="Calibri" w:cs="Calibri"/>
          <w:color w:val="000000" w:themeColor="text1"/>
        </w:rPr>
      </w:pPr>
      <w:r>
        <w:rPr>
          <w:rFonts w:ascii="Calibri" w:eastAsia="Times New Roman" w:hAnsi="Calibri" w:cs="Calibri"/>
          <w:color w:val="000000" w:themeColor="text1"/>
          <w:sz w:val="22"/>
        </w:rPr>
        <w:lastRenderedPageBreak/>
        <w:t>5. Design-effect-corrected cross-panel synthesis</w:t>
      </w:r>
    </w:p>
    <w:p w14:paraId="2B132ECE" w14:textId="77777777" w:rsidR="00334EE3" w:rsidRPr="00D059C1" w:rsidRDefault="00000000">
      <w:pPr>
        <w:spacing w:after="120" w:line="259" w:lineRule="auto"/>
        <w:rPr>
          <w:rFonts w:ascii="Calibri" w:hAnsi="Calibri" w:cs="Calibri"/>
          <w:color w:val="000000" w:themeColor="text1"/>
        </w:rPr>
      </w:pPr>
      <w:r>
        <w:rPr>
          <w:rFonts w:ascii="Calibri" w:hAnsi="Calibri" w:cs="Calibri"/>
          <w:color w:val="000000" w:themeColor="text1"/>
        </w:rPr>
        <w:t>All four mtDNA-CN exposure panels include UK Biobank participants, so panel-level IVW estimates are positively correlated rather than independent replications. Across evaluable forward outcomes (Supplementary Table 1), pairwise Pearson correlations of pooled IVW beta values ranged from r = 0.55–0.90, with a mean r = 0.70. Primary cross-panel synthesis therefore used an equicorrelation covariance structure with off-diagonal entries Σᵢⱼ = ρ × SEᵢ × SEⱼ and diagonal entries SEᵢ². With ρ = 0.70 and k = 4 exposure panels, the inverse-variance pooled variance is inflated by the design effect 1 + (k - 1)rho = 3.10, corresponding to an effective number of independent panels k_eff of approximately 1.3. This correction leaves the pooled point estimate unchanged but inflates its standard error and p value. Sensitivity analyses repeated the synthesis across ρ = 0.55–0.90 and at the bivariate LDSC exposure-side estimate ρ_LDSC = 0.49 using GenomicSEM.</w:t>
      </w:r>
    </w:p>
    <w:p w14:paraId="19F76DDA" w14:textId="77777777" w:rsidR="00334EE3" w:rsidRPr="00D059C1" w:rsidRDefault="00000000">
      <w:pPr>
        <w:pStyle w:val="Balk2"/>
        <w:spacing w:after="120" w:line="259" w:lineRule="auto"/>
        <w:rPr>
          <w:rFonts w:ascii="Calibri" w:hAnsi="Calibri" w:cs="Calibri"/>
          <w:color w:val="000000" w:themeColor="text1"/>
        </w:rPr>
      </w:pPr>
      <w:r>
        <w:rPr>
          <w:rFonts w:ascii="Calibri" w:eastAsia="Times New Roman" w:hAnsi="Calibri" w:cs="Calibri"/>
          <w:color w:val="000000" w:themeColor="text1"/>
          <w:sz w:val="22"/>
        </w:rPr>
        <w:t>6. Naïve random-effects meta-analysis as sensitivity analysis</w:t>
      </w:r>
    </w:p>
    <w:p w14:paraId="443E15F1" w14:textId="77777777" w:rsidR="00334EE3" w:rsidRPr="00D059C1" w:rsidRDefault="00000000">
      <w:pPr>
        <w:spacing w:after="120" w:line="259" w:lineRule="auto"/>
        <w:rPr>
          <w:rFonts w:ascii="Calibri" w:hAnsi="Calibri" w:cs="Calibri"/>
          <w:color w:val="000000" w:themeColor="text1"/>
        </w:rPr>
      </w:pPr>
      <w:r>
        <w:rPr>
          <w:rFonts w:ascii="Calibri" w:hAnsi="Calibri" w:cs="Calibri"/>
          <w:color w:val="000000" w:themeColor="text1"/>
        </w:rPr>
        <w:t>A conventional random-effects meta-analysis was retained only as a sensitivity comparison. For each outcome, a REML random-effects model was fitted in metafor, reporting pooled IVW beta, 95% confidence intervals, Cochran’s Q, I² and τ². A conventional I² &gt; 50% criterion was retained as a descriptive flag for cross-exposure inconsistency. Because the four exposure panels are correlated through shared UK Biobank participation, Q and I2 were interpreted descriptively rather than as evidence from independent replications. All primary significance claims used the design-effect-corrected synthesis.</w:t>
      </w:r>
    </w:p>
    <w:p w14:paraId="1CDC9EE9" w14:textId="77777777" w:rsidR="00334EE3" w:rsidRPr="00D059C1" w:rsidRDefault="00000000">
      <w:pPr>
        <w:pStyle w:val="Balk2"/>
        <w:spacing w:after="120" w:line="259" w:lineRule="auto"/>
        <w:rPr>
          <w:rFonts w:ascii="Calibri" w:hAnsi="Calibri" w:cs="Calibri"/>
          <w:color w:val="000000" w:themeColor="text1"/>
        </w:rPr>
      </w:pPr>
      <w:r>
        <w:rPr>
          <w:rFonts w:ascii="Calibri" w:eastAsia="Times New Roman" w:hAnsi="Calibri" w:cs="Calibri"/>
          <w:color w:val="000000" w:themeColor="text1"/>
          <w:sz w:val="22"/>
        </w:rPr>
        <w:t>7. Cross-disorder factor analyses</w:t>
      </w:r>
    </w:p>
    <w:p w14:paraId="56C91ABF" w14:textId="77777777" w:rsidR="00334EE3" w:rsidRPr="00D059C1" w:rsidRDefault="00000000">
      <w:pPr>
        <w:spacing w:after="120" w:line="259" w:lineRule="auto"/>
        <w:rPr>
          <w:rFonts w:ascii="Calibri" w:hAnsi="Calibri" w:cs="Calibri"/>
          <w:color w:val="000000" w:themeColor="text1"/>
        </w:rPr>
      </w:pPr>
      <w:r>
        <w:rPr>
          <w:rFonts w:ascii="Calibri" w:hAnsi="Calibri" w:cs="Calibri"/>
          <w:color w:val="000000" w:themeColor="text1"/>
        </w:rPr>
        <w:t>To test whether mtDNA-CN effects aggregated along latent transdiagnostic dimensions rather than diagnostic categories, the full MR pipeline was re-run against the six cross-disorder GWASs from the 14-disorder genomic structural-equation model: the general psychopathology pFactor and five domain factors (F1 compulsive, F2 schizo-bipolar, F3 neurodevelopmental, F4 internalizing and F5 substance/externalizing). Instrument selection, allele harmonization, Steiger filtering, IVW estimation, secondary estimators, pleiotropy screens and BH-FDR correction followed the protocol used for the individual psychiatric outcomes.</w:t>
      </w:r>
    </w:p>
    <w:p w14:paraId="7C1403E0" w14:textId="77777777" w:rsidR="00334EE3" w:rsidRPr="00D059C1" w:rsidRDefault="00000000">
      <w:pPr>
        <w:pStyle w:val="Balk2"/>
        <w:spacing w:after="120" w:line="259" w:lineRule="auto"/>
        <w:rPr>
          <w:rFonts w:ascii="Calibri" w:hAnsi="Calibri" w:cs="Calibri"/>
          <w:color w:val="000000" w:themeColor="text1"/>
        </w:rPr>
      </w:pPr>
      <w:r>
        <w:rPr>
          <w:rFonts w:ascii="Calibri" w:eastAsia="Times New Roman" w:hAnsi="Calibri" w:cs="Calibri"/>
          <w:color w:val="000000" w:themeColor="text1"/>
          <w:sz w:val="22"/>
        </w:rPr>
        <w:t>8. MitoCarta3.0 and MAGMA enrichment</w:t>
      </w:r>
    </w:p>
    <w:p w14:paraId="26E59732" w14:textId="77777777" w:rsidR="00334EE3" w:rsidRPr="00D059C1" w:rsidRDefault="00000000">
      <w:pPr>
        <w:spacing w:after="120" w:line="259" w:lineRule="auto"/>
        <w:rPr>
          <w:rFonts w:ascii="Calibri" w:hAnsi="Calibri" w:cs="Calibri"/>
          <w:color w:val="000000" w:themeColor="text1"/>
        </w:rPr>
      </w:pPr>
      <w:r>
        <w:rPr>
          <w:rFonts w:ascii="Calibri" w:hAnsi="Calibri" w:cs="Calibri"/>
          <w:color w:val="000000" w:themeColor="text1"/>
        </w:rPr>
        <w:t>To assess whether mtDNA-CN instruments captured mitochondrial biological signal, mtDNA-CN GWAS statistics were tested for enrichment in MitoCarta3.0 genes using MAGMA. Gene-level statistics were computed with a SNP-wise mean model, 1000 Genomes European LD reference and NCBI build-37 gene coordinates, using 35-kb upstream and 10-kb downstream gene windows. Competitive one-sided enrichment of the canonical 1 076-gene MitoCarta3.0 set was estimated against the genome-wide gene background, and 143 individual MitoCarta3.0 sub-pathways were tested in parallel. The same pipeline was applied to ASD, ADHD and F3 outcome GWASs to assess whether neurodevelopmental outcome loci showed corresponding mitochondrial enrichment.</w:t>
      </w:r>
    </w:p>
    <w:p w14:paraId="50E62584" w14:textId="77777777" w:rsidR="00334EE3" w:rsidRPr="00D059C1" w:rsidRDefault="00000000">
      <w:pPr>
        <w:pStyle w:val="Balk2"/>
        <w:spacing w:after="120" w:line="259" w:lineRule="auto"/>
        <w:rPr>
          <w:rFonts w:ascii="Calibri" w:hAnsi="Calibri" w:cs="Calibri"/>
          <w:color w:val="000000" w:themeColor="text1"/>
        </w:rPr>
      </w:pPr>
      <w:r>
        <w:rPr>
          <w:rFonts w:ascii="Calibri" w:eastAsia="Times New Roman" w:hAnsi="Calibri" w:cs="Calibri"/>
          <w:color w:val="000000" w:themeColor="text1"/>
          <w:sz w:val="22"/>
        </w:rPr>
        <w:t>9. MRlap sample-overlap correction</w:t>
      </w:r>
    </w:p>
    <w:p w14:paraId="283A1651" w14:textId="77777777" w:rsidR="00334EE3" w:rsidRPr="00D059C1" w:rsidRDefault="00000000">
      <w:pPr>
        <w:spacing w:after="120" w:line="259" w:lineRule="auto"/>
        <w:rPr>
          <w:rFonts w:ascii="Calibri" w:hAnsi="Calibri" w:cs="Calibri"/>
          <w:color w:val="000000" w:themeColor="text1"/>
        </w:rPr>
      </w:pPr>
      <w:r>
        <w:rPr>
          <w:rFonts w:ascii="Calibri" w:hAnsi="Calibri" w:cs="Calibri"/>
          <w:color w:val="000000" w:themeColor="text1"/>
        </w:rPr>
        <w:t>MRlap was used as a sensitivity analysis addressing potential sample overlap. MRlap couples bivariate cross-trait LD-score regression to the IVW estimator using 1000 Genomes Phase 3 European LD scores and the HapMap3 SNP list. It uses the genetic-covariance intercept to correct IVW estimates for cross-trait Z-score correlation induced by shared samples. MRlap was applied to all 4 x 6 pairs spanning the four mtDNA-CN exposures and the five primary psychiatric disorders plus F3. For every pair, observed and corrected IVW estimates and the cross-trait Z-difference test were tabulated in Supplementary Table 8. These analyses were interpreted as sensitivity analyses and not as independent confirmation of the primary findings.</w:t>
      </w:r>
    </w:p>
    <w:p w14:paraId="5776E157" w14:textId="77777777" w:rsidR="00334EE3" w:rsidRPr="00D059C1" w:rsidRDefault="00000000">
      <w:pPr>
        <w:pStyle w:val="Balk2"/>
        <w:spacing w:after="120" w:line="259" w:lineRule="auto"/>
        <w:rPr>
          <w:rFonts w:ascii="Calibri" w:hAnsi="Calibri" w:cs="Calibri"/>
          <w:color w:val="000000" w:themeColor="text1"/>
        </w:rPr>
      </w:pPr>
      <w:r>
        <w:rPr>
          <w:rFonts w:ascii="Calibri" w:eastAsia="Times New Roman" w:hAnsi="Calibri" w:cs="Calibri"/>
          <w:color w:val="000000" w:themeColor="text1"/>
          <w:sz w:val="22"/>
        </w:rPr>
        <w:lastRenderedPageBreak/>
        <w:t>10. Reverse-direction MR</w:t>
      </w:r>
    </w:p>
    <w:p w14:paraId="06AF9E20" w14:textId="77777777" w:rsidR="00334EE3" w:rsidRPr="00D059C1" w:rsidRDefault="00000000">
      <w:pPr>
        <w:spacing w:after="120" w:line="259" w:lineRule="auto"/>
        <w:rPr>
          <w:rFonts w:ascii="Calibri" w:hAnsi="Calibri" w:cs="Calibri"/>
          <w:color w:val="000000" w:themeColor="text1"/>
        </w:rPr>
      </w:pPr>
      <w:r>
        <w:rPr>
          <w:rFonts w:ascii="Calibri" w:hAnsi="Calibri" w:cs="Calibri"/>
          <w:color w:val="000000" w:themeColor="text1"/>
        </w:rPr>
        <w:t>Reverse-direction MR tested whether psychiatric liability influenced mtDNA-CN. The five primary disorders, F3, anxiety and OCD were promoted to the exposure role and tested against each of the four mtDNA-CN panels, yielding 32 reverse-direction pairs. Outcome instruments were selected at p &lt; 5 × 10⁻⁸, except where fewer than five genome-wide loci were available, in which case a relaxed threshold of p &lt; 1 × 10⁻⁵ was used. The relaxed threshold was applied for ASD, F3 and OCD. Reverse-direction IVW results were evaluated against a Bonferroni threshold of 0.05/32 and are reported in Supplementary Table 9.</w:t>
      </w:r>
    </w:p>
    <w:p w14:paraId="1A51EB19" w14:textId="77777777" w:rsidR="00334EE3" w:rsidRPr="00D059C1" w:rsidRDefault="00000000">
      <w:pPr>
        <w:pStyle w:val="Balk2"/>
        <w:spacing w:after="120" w:line="259" w:lineRule="auto"/>
        <w:rPr>
          <w:rFonts w:ascii="Calibri" w:hAnsi="Calibri" w:cs="Calibri"/>
          <w:color w:val="000000" w:themeColor="text1"/>
        </w:rPr>
      </w:pPr>
      <w:r>
        <w:rPr>
          <w:rFonts w:ascii="Calibri" w:eastAsia="Times New Roman" w:hAnsi="Calibri" w:cs="Calibri"/>
          <w:color w:val="000000" w:themeColor="text1"/>
          <w:sz w:val="22"/>
        </w:rPr>
        <w:t>11. Negative controls and biological contrast</w:t>
      </w:r>
    </w:p>
    <w:p w14:paraId="53B4DDC5" w14:textId="77777777" w:rsidR="00334EE3" w:rsidRPr="00D059C1" w:rsidRDefault="00000000">
      <w:pPr>
        <w:spacing w:after="120" w:line="259" w:lineRule="auto"/>
        <w:rPr>
          <w:rFonts w:ascii="Calibri" w:hAnsi="Calibri" w:cs="Calibri"/>
          <w:color w:val="000000" w:themeColor="text1"/>
        </w:rPr>
      </w:pPr>
      <w:r>
        <w:rPr>
          <w:rFonts w:ascii="Calibri" w:hAnsi="Calibri" w:cs="Calibri"/>
          <w:color w:val="000000" w:themeColor="text1"/>
        </w:rPr>
        <w:t>Standing height and BMI from Yengo et al. were evaluated outside the FDR framework as specificity benchmarks. The full MR pipeline, including instrument selection, harmonization, Steiger filtering, IVW, MR-Egger, weighted median, MR-RAPS, MR-PRESSO and leave-one-out analyses, was applied across the four exposure panels and both anthropometric outcomes. Standing height was treated as the primary negative control, whereas BMI was treated as a biological contrast because adiposity-mtDNA-CN associations may plausibly vary with mitochondrial biology and blood-cell-composition adjustment.</w:t>
      </w:r>
    </w:p>
    <w:p w14:paraId="5CACB78A" w14:textId="77777777" w:rsidR="000A2D09" w:rsidRPr="00D059C1" w:rsidRDefault="00000000">
      <w:pPr>
        <w:spacing w:after="120" w:line="259" w:lineRule="auto"/>
        <w:rPr>
          <w:rFonts w:ascii="Calibri" w:hAnsi="Calibri" w:cs="Calibri"/>
          <w:color w:val="000000" w:themeColor="text1"/>
        </w:rPr>
      </w:pPr>
      <w:r>
        <w:rPr>
          <w:rFonts w:ascii="Calibri" w:hAnsi="Calibri" w:cs="Calibri"/>
          <w:color w:val="000000" w:themeColor="text1"/>
        </w:rPr>
        <w:t>Yengo et al. combined GIANT and UK Biobank data (total N ≈ 700 000); these outcome GWASs therefore share the same UK Biobank component as the mtDNA-CN exposure panels and are subject to the same overlap structure as the psychiatric outcomes. The standing-height negative control is thus conservative: any residual inflation from shared-sample correlation would be expected to produce false-positive associations, not false-negative ones. The absence of a height association therefore strengthens rather than undermines its role as a specificity check.</w:t>
      </w:r>
    </w:p>
    <w:p w14:paraId="690A1554" w14:textId="77777777" w:rsidR="00334EE3" w:rsidRPr="00D059C1" w:rsidRDefault="00000000">
      <w:pPr>
        <w:pStyle w:val="Balk2"/>
        <w:spacing w:after="120" w:line="259" w:lineRule="auto"/>
        <w:rPr>
          <w:rFonts w:ascii="Calibri" w:hAnsi="Calibri" w:cs="Calibri"/>
          <w:color w:val="000000" w:themeColor="text1"/>
        </w:rPr>
      </w:pPr>
      <w:r>
        <w:rPr>
          <w:rFonts w:ascii="Calibri" w:eastAsia="Times New Roman" w:hAnsi="Calibri" w:cs="Calibri"/>
          <w:color w:val="000000" w:themeColor="text1"/>
          <w:sz w:val="22"/>
        </w:rPr>
        <w:t>12. Multiple-testing framework and analytic decisions</w:t>
      </w:r>
    </w:p>
    <w:p w14:paraId="42E11C72" w14:textId="77777777" w:rsidR="00334EE3" w:rsidRPr="00D059C1" w:rsidRDefault="00000000">
      <w:pPr>
        <w:spacing w:after="120" w:line="259" w:lineRule="auto"/>
        <w:rPr>
          <w:rFonts w:ascii="Calibri" w:hAnsi="Calibri" w:cs="Calibri"/>
          <w:color w:val="000000" w:themeColor="text1"/>
        </w:rPr>
      </w:pPr>
      <w:r>
        <w:rPr>
          <w:rFonts w:ascii="Calibri" w:hAnsi="Calibri" w:cs="Calibri"/>
          <w:color w:val="000000" w:themeColor="text1"/>
        </w:rPr>
        <w:t>A hierarchical BH-FDR framework was applied across three separate families: the five primary psychiatric disorders; the six cross-disorder constructs; and the secondary outcome family comprising anxiety, OCD, PTSD, anorexia nervosa, BPD, Tourette syndrome, postpartum depression and the two antidepressant-response phenotypes. Standing height and BMI were evaluated outside this FDR framework. Three analytic decisions are reported transparently. First, the substance-use-disorder GWAS was excluded from forward MR because the source statistics lacked a per-variant standard-error column. Second, MRlap and bidirectional MR were added as sensitivity analyses. Third, the design-effect-corrected synthesis was adopted as the primary cross-panel analysis because the observed shared-sample correlation among exposure panels made naïve random-effects meta-analysis anti-conservative. No analysis plan was preregistered.</w:t>
      </w:r>
    </w:p>
    <w:p>
      <w:pPr>
        <w:pStyle w:val="NormalWeb"/>
        <w:rPr>
          <w:rFonts w:ascii="Calibri" w:hAnsi="Calibri" w:cs="Calibri"/>
          <w:b/>
          <w:bCs/>
          <w:color w:val="000000" w:themeColor="text1"/>
        </w:rPr>
      </w:pPr>
      <w:r>
        <w:rPr>
          <w:rFonts w:ascii="Calibri" w:hAnsi="Calibri" w:cs="Calibri"/>
          <w:b/>
          <w:bCs/>
          <w:color w:val="000000" w:themeColor="text1"/>
        </w:rPr>
        <w:t>13. Brain eQTL colocalization</w:t>
      </w:r>
    </w:p>
    <w:p>
      <w:pPr>
        <w:spacing w:after="120" w:line="259" w:lineRule="auto"/>
        <w:rPr>
          <w:rFonts w:ascii="Calibri" w:hAnsi="Calibri" w:cs="Calibri"/>
          <w:color w:val="000000" w:themeColor="text1"/>
        </w:rPr>
      </w:pPr>
      <w:r>
        <w:rPr>
          <w:rFonts w:ascii="Calibri" w:hAnsi="Calibri" w:cs="Calibri"/>
          <w:color w:val="000000" w:themeColor="text1"/>
        </w:rPr>
        <w:t>Exploratory brain cis-eQTL colocalization tested whether disorder-associated mtDNA-CN instrument loci shared a causal variant with brain expression signals. For each disorder (ASD, ADHD and the F3 neurodevelopmental factor), ±500-kb windows were defined around mtDNA-CN instruments nominally associated (p ≤ 0.05) with that disorder, and coloc.abf was applied across 13 GTEx v10 brain tissues. GTEx v10 eQTL positions were lifted from GRCh38 to GRCh37 with pyliftover and matched to the GWAS by chromosome and position. coloc.abf assumes a single causal variant per locus; a posterior probability of a shared causal variant (PP4) ≥ 0.50 defined a hypothesis-generating candidate. Because windows were selected on disorder association, a genome-wide false-positive rate could not be estimated and a high eQTL–disorder PP4 does not establish mtDNA-CN mediation. Two mediation probes were added: three-way colocalization, in which a candidate was additionally required to colocalize with the mtDNA-CN exposure signal (PP4 ≥ 0.50 in at least one exposure panel); and SuSiE conditional fine-mapping of the mtDNA-CN × disorder GWAS pair at ±250 kb, testing whether each candidate lead eQTL fell within both the mtDNA-CN and disorder credible sets. Colocalization results, three-way flags and SuSiE credible-set membership are reported in Supplementary Tables 14, 15 and 16.</w:t>
      </w:r>
    </w:p>
    <w:p w14:paraId="510D0E97" w14:textId="77777777" w:rsidR="00E40E35" w:rsidRPr="00D059C1" w:rsidRDefault="00E40E35" w:rsidP="00E40E35">
      <w:pPr>
        <w:pStyle w:val="NormalWeb"/>
        <w:rPr>
          <w:rFonts w:ascii="Calibri" w:hAnsi="Calibri" w:cs="Calibri"/>
          <w:b/>
          <w:bCs/>
          <w:color w:val="000000" w:themeColor="text1"/>
        </w:rPr>
      </w:pPr>
      <w:r>
        <w:rPr>
          <w:rFonts w:ascii="Calibri" w:hAnsi="Calibri" w:cs="Calibri"/>
          <w:b/>
          <w:bCs/>
          <w:color w:val="000000" w:themeColor="text1"/>
        </w:rPr>
        <w:t>Supplementary Results</w:t>
      </w:r>
    </w:p>
    <w:p w14:paraId="7CF59423" w14:textId="6BCE5E21" w:rsidR="00E40E35" w:rsidRPr="00D059C1" w:rsidRDefault="00D059C1" w:rsidP="00D059C1">
      <w:pPr>
        <w:pStyle w:val="NormalWeb"/>
        <w:rPr>
          <w:rFonts w:ascii="Calibri" w:hAnsi="Calibri" w:cs="Calibri"/>
          <w:b/>
          <w:bCs/>
          <w:color w:val="000000" w:themeColor="text1"/>
        </w:rPr>
      </w:pPr>
      <w:r>
        <w:rPr>
          <w:rFonts w:ascii="Calibri" w:hAnsi="Calibri" w:cs="Calibri"/>
          <w:b/>
          <w:bCs/>
          <w:color w:val="000000" w:themeColor="text1"/>
        </w:rPr>
        <w:t>1. MR-RAPS sensitivity estimates for ASD and related neurodevelopmental outcomes</w:t>
      </w:r>
    </w:p>
    <w:p w14:paraId="74410862" w14:textId="77777777" w:rsidR="00E40E35" w:rsidRPr="00D059C1" w:rsidRDefault="00E40E35" w:rsidP="00E40E35">
      <w:pPr>
        <w:pStyle w:val="NormalWeb"/>
        <w:rPr>
          <w:rFonts w:ascii="Calibri" w:hAnsi="Calibri" w:cs="Calibri"/>
          <w:color w:val="000000" w:themeColor="text1"/>
        </w:rPr>
      </w:pPr>
      <w:r>
        <w:rPr>
          <w:rFonts w:ascii="Calibri" w:hAnsi="Calibri" w:cs="Calibri"/>
          <w:color w:val="000000" w:themeColor="text1"/>
        </w:rPr>
        <w:t>MR-RAPS reproduced the negative ASD direction across exposure panels. Nominal MR-RAPS effects were observed for Chong × ASD (β_RAPS = −0.283, p = 4.6 × 10−³), Gupta raw × ASD (β_RAPS = −0.193, p = 2.5 × 10−³) and Gupta adjusted × ASD (β_RAPS = −0.149, p = 3.8 × 10−²). The F3 neurodevelopmental factor showed directionally concordant MR-RAPS estimates, with nominal evidence in three of four panels, whereas ADHD MR-RAPS estimates were directionally concordant but individually underpowered. These sensitivity-estimator results support directional robustness of the ASD-led signal but do not constitute independent replication of the primary IVW result.</w:t>
      </w:r>
    </w:p>
    <w:p w14:paraId="7DEB9999" w14:textId="25FDFF3E" w:rsidR="00E40E35" w:rsidRPr="00D059C1" w:rsidRDefault="00D059C1" w:rsidP="00D059C1">
      <w:pPr>
        <w:pStyle w:val="NormalWeb"/>
        <w:rPr>
          <w:rFonts w:ascii="Calibri" w:hAnsi="Calibri" w:cs="Calibri"/>
          <w:b/>
          <w:bCs/>
          <w:color w:val="000000" w:themeColor="text1"/>
        </w:rPr>
      </w:pPr>
      <w:r>
        <w:rPr>
          <w:rFonts w:ascii="Calibri" w:hAnsi="Calibri" w:cs="Calibri"/>
          <w:b/>
          <w:bCs/>
          <w:color w:val="000000" w:themeColor="text1"/>
        </w:rPr>
        <w:lastRenderedPageBreak/>
        <w:t>3. Naïve REML sensitivity results and descriptive heterogeneity statistics</w:t>
      </w:r>
    </w:p>
    <w:p w14:paraId="5270887A" w14:textId="77777777" w:rsidR="00E40E35" w:rsidRPr="00D059C1" w:rsidRDefault="00E40E35" w:rsidP="00E40E35">
      <w:pPr>
        <w:pStyle w:val="NormalWeb"/>
        <w:rPr>
          <w:rFonts w:ascii="Calibri" w:hAnsi="Calibri" w:cs="Calibri"/>
          <w:color w:val="000000" w:themeColor="text1"/>
        </w:rPr>
      </w:pPr>
      <w:r>
        <w:rPr>
          <w:rFonts w:ascii="Calibri" w:hAnsi="Calibri" w:cs="Calibri"/>
          <w:color w:val="000000" w:themeColor="text1"/>
        </w:rPr>
        <w:t>The naïve random-effects meta-analysis was retained for comparison with the design-effect-corrected synthesis. Across the five primary disorders, Cochran’s Q ranged from 0.91 for ASD to 2.27 for MDD, below the expectation under homogeneity for k = 4 panels; point-estimate I² was 0% for every primary disorder. The naïve synthesis produced smaller p values than the design-effect-corrected synthesis, including ADHD p = 0.019. Because the four exposure panels share UK Biobank participants, the low Q and I² values should be interpreted as descriptive consequences of correlated sampling rather than evidence of independent replication.</w:t>
      </w:r>
    </w:p>
    <w:p w14:paraId="4230A0F0" w14:textId="26727543" w:rsidR="00E40E35" w:rsidRPr="00D059C1" w:rsidRDefault="00D059C1" w:rsidP="00D059C1">
      <w:pPr>
        <w:pStyle w:val="NormalWeb"/>
        <w:rPr>
          <w:rFonts w:ascii="Calibri" w:hAnsi="Calibri" w:cs="Calibri"/>
          <w:b/>
          <w:bCs/>
          <w:color w:val="000000" w:themeColor="text1"/>
        </w:rPr>
      </w:pPr>
      <w:r>
        <w:rPr>
          <w:rFonts w:ascii="Calibri" w:hAnsi="Calibri" w:cs="Calibri"/>
          <w:b/>
          <w:bCs/>
          <w:color w:val="000000" w:themeColor="text1"/>
        </w:rPr>
        <w:t>4. Secondary outcomes: nominal estimates that did not survive correction</w:t>
      </w:r>
    </w:p>
    <w:p w14:paraId="5E9AF140" w14:textId="77777777" w:rsidR="00E40E35" w:rsidRPr="00D059C1" w:rsidRDefault="00E40E35" w:rsidP="00E40E35">
      <w:pPr>
        <w:pStyle w:val="NormalWeb"/>
        <w:rPr>
          <w:rFonts w:ascii="Calibri" w:hAnsi="Calibri" w:cs="Calibri"/>
          <w:color w:val="000000" w:themeColor="text1"/>
        </w:rPr>
      </w:pPr>
      <w:r>
        <w:rPr>
          <w:rFonts w:ascii="Calibri" w:hAnsi="Calibri" w:cs="Calibri"/>
          <w:color w:val="000000" w:themeColor="text1"/>
        </w:rPr>
        <w:t>No secondary psychiatric outcome or antidepressant-response phenotype survived correction. Effect estimates were near zero for anxiety, OCD, PTSD, anorexia nervosa, BPD, postpartum depression and antidepressant non-remission. Antidepressant percentage improvement showed only a nominal trend. Tourette syndrome showed a nominal risk-direction estimate under the naïve synthesis (β = +0.143, naïve p = 0.047) that was non-significant after design-effect correction (p = 0.252). This result should be reported only as exploratory because the case count was limited and the effect did not survive the primary correction framework.</w:t>
      </w:r>
    </w:p>
    <w:p w14:paraId="79260AD3" w14:textId="49E52B77" w:rsidR="00E40E35" w:rsidRPr="00D059C1" w:rsidRDefault="00D059C1" w:rsidP="00D059C1">
      <w:pPr>
        <w:pStyle w:val="NormalWeb"/>
        <w:rPr>
          <w:rFonts w:ascii="Calibri" w:hAnsi="Calibri" w:cs="Calibri"/>
          <w:b/>
          <w:bCs/>
          <w:color w:val="000000" w:themeColor="text1"/>
        </w:rPr>
      </w:pPr>
      <w:r>
        <w:rPr>
          <w:rFonts w:ascii="Calibri" w:hAnsi="Calibri" w:cs="Calibri"/>
          <w:b/>
          <w:bCs/>
          <w:color w:val="000000" w:themeColor="text1"/>
        </w:rPr>
        <w:t>5. Cross-panel concordance and instrument-quality metrics</w:t>
      </w:r>
    </w:p>
    <w:p w14:paraId="437A340B" w14:textId="77777777" w:rsidR="00E40E35" w:rsidRPr="00D059C1" w:rsidRDefault="00E40E35" w:rsidP="00E40E35">
      <w:pPr>
        <w:pStyle w:val="NormalWeb"/>
        <w:rPr>
          <w:rFonts w:ascii="Calibri" w:hAnsi="Calibri" w:cs="Calibri"/>
          <w:color w:val="000000" w:themeColor="text1"/>
        </w:rPr>
      </w:pPr>
      <w:r>
        <w:rPr>
          <w:rFonts w:ascii="Calibri" w:hAnsi="Calibri" w:cs="Calibri"/>
          <w:color w:val="000000" w:themeColor="text1"/>
        </w:rPr>
        <w:t>Across outcomes included in the cross-panel concordance analysis, pairwise inter-panel correlations of panel-specific IVW β estimates ranged from r = 0.55–0.90, with a mean r = 0.70. The Longchamps qPCR panel carried the highest mean instrument count and the lowest MR-PRESSO global-test pleiotropy-screen rate, whereas the Gupta blood-cell-composition-adjusted WGS panel carried fewer instruments and a higher pleiotropy-screen rate. Within-dataset Gupta raw versus Gupta adjusted concordance was incomplete, consistent with blood-cell-composition adjustment capturing a partly distinct component of the mtDNA-CN phenotype. Directional concordance was observed in all four panels for a subset of outcomes, including ASD, ADHD and F3, but concordance alone was not treated as evidence of independent replication.</w:t>
      </w:r>
    </w:p>
    <w:p w14:paraId="422B5958" w14:textId="773539EF" w:rsidR="00E40E35" w:rsidRPr="00D059C1" w:rsidRDefault="00D059C1" w:rsidP="00D059C1">
      <w:pPr>
        <w:pStyle w:val="NormalWeb"/>
        <w:rPr>
          <w:rFonts w:ascii="Calibri" w:hAnsi="Calibri" w:cs="Calibri"/>
          <w:b/>
          <w:bCs/>
          <w:color w:val="000000" w:themeColor="text1"/>
        </w:rPr>
      </w:pPr>
      <w:r>
        <w:rPr>
          <w:rFonts w:ascii="Calibri" w:hAnsi="Calibri" w:cs="Calibri"/>
          <w:b/>
          <w:bCs/>
          <w:color w:val="000000" w:themeColor="text1"/>
        </w:rPr>
        <w:t>6. MitoCarta3.0 enrichment details</w:t>
      </w:r>
    </w:p>
    <w:p w14:paraId="140F6C86" w14:textId="77777777" w:rsidR="00E40E35" w:rsidRPr="00D059C1" w:rsidRDefault="00E40E35" w:rsidP="00E40E35">
      <w:pPr>
        <w:pStyle w:val="NormalWeb"/>
        <w:rPr>
          <w:rFonts w:ascii="Calibri" w:hAnsi="Calibri" w:cs="Calibri"/>
          <w:color w:val="000000" w:themeColor="text1"/>
        </w:rPr>
      </w:pPr>
      <w:r>
        <w:rPr>
          <w:rFonts w:ascii="Calibri" w:hAnsi="Calibri" w:cs="Calibri"/>
          <w:color w:val="000000" w:themeColor="text1"/>
        </w:rPr>
        <w:t>The canonical MitoCarta3.0 set showed positive enrichment in three exposure GWASs: Gupta adjusted (β = +0.099, p = 2.71 × 10−⁴), Longchamps (β = +0.076, p = 9.35 × 10−³) and Gupta raw (β = +0.067, p = 1.44 × 10−²). Chong did not reach nominal significance. In contrast, ASD, ADHD and F3 outcome GWASs did not show positive mitochondrial enrichment. Several sub-pathways related to mtDNA replication, maintenance and fusion were enriched in exposure panels. These annotations support the mitochondrial relevance of exposure instruments but do not establish mediation.</w:t>
      </w:r>
    </w:p>
    <w:p w14:paraId="2EC30535" w14:textId="756A7949" w:rsidR="00E40E35" w:rsidRPr="00D059C1" w:rsidRDefault="00D059C1" w:rsidP="00D059C1">
      <w:pPr>
        <w:pStyle w:val="NormalWeb"/>
        <w:rPr>
          <w:rFonts w:ascii="Calibri" w:hAnsi="Calibri" w:cs="Calibri"/>
          <w:b/>
          <w:bCs/>
          <w:color w:val="000000" w:themeColor="text1"/>
        </w:rPr>
      </w:pPr>
      <w:r>
        <w:rPr>
          <w:rFonts w:ascii="Calibri" w:hAnsi="Calibri" w:cs="Calibri"/>
          <w:b/>
          <w:bCs/>
          <w:color w:val="000000" w:themeColor="text1"/>
        </w:rPr>
        <w:t>7. Reverse-direction MR: nominal estimates that did not survive correction</w:t>
      </w:r>
    </w:p>
    <w:p w14:paraId="0AAB8265" w14:textId="77777777" w:rsidR="00E40E35" w:rsidRPr="00D059C1" w:rsidRDefault="00E40E35" w:rsidP="00E40E35">
      <w:pPr>
        <w:pStyle w:val="NormalWeb"/>
        <w:rPr>
          <w:rFonts w:ascii="Calibri" w:hAnsi="Calibri" w:cs="Calibri"/>
          <w:color w:val="000000" w:themeColor="text1"/>
        </w:rPr>
      </w:pPr>
      <w:r>
        <w:rPr>
          <w:rFonts w:ascii="Calibri" w:hAnsi="Calibri" w:cs="Calibri"/>
          <w:color w:val="000000" w:themeColor="text1"/>
        </w:rPr>
        <w:t xml:space="preserve">Across 32 reverse-direction pairs, no psychiatric-liability-to-mtDNA-CN estimate survived the Bonferroni threshold of 0.05/32. Two pairs were nominal only: anxiety to Chong (β = +0.027, p = 9.9 × </w:t>
        <w:lastRenderedPageBreak/>
        <w:t>10−³) and MDD to Gupta raw (β = −0.038, p = 2.0 × 10−²). Neither involved the primary ASD, ADHD or F3 signal, and neither survived correction.</w:t>
      </w:r>
    </w:p>
    <w:p w14:paraId="70B622BF" w14:textId="3D40B4DA" w:rsidR="00E40E35" w:rsidRPr="00D059C1" w:rsidRDefault="00D059C1" w:rsidP="00D059C1">
      <w:pPr>
        <w:pStyle w:val="NormalWeb"/>
        <w:rPr>
          <w:rFonts w:ascii="Calibri" w:hAnsi="Calibri" w:cs="Calibri"/>
          <w:b/>
          <w:bCs/>
          <w:color w:val="000000" w:themeColor="text1"/>
        </w:rPr>
      </w:pPr>
      <w:r>
        <w:rPr>
          <w:rFonts w:ascii="Calibri" w:hAnsi="Calibri" w:cs="Calibri"/>
          <w:b/>
          <w:bCs/>
          <w:color w:val="000000" w:themeColor="text1"/>
        </w:rPr>
        <w:t>8. Negative-control and biological-contrast analyses</w:t>
      </w:r>
    </w:p>
    <w:p w14:paraId="165FF339" w14:textId="77777777" w:rsidR="00E40E35" w:rsidRPr="00D059C1" w:rsidRDefault="00E40E35" w:rsidP="00E40E35">
      <w:pPr>
        <w:pStyle w:val="NormalWeb"/>
        <w:rPr>
          <w:rFonts w:ascii="Calibri" w:hAnsi="Calibri" w:cs="Calibri"/>
          <w:color w:val="000000" w:themeColor="text1"/>
        </w:rPr>
      </w:pPr>
      <w:r>
        <w:rPr>
          <w:rFonts w:ascii="Calibri" w:hAnsi="Calibri" w:cs="Calibri"/>
          <w:color w:val="000000" w:themeColor="text1"/>
        </w:rPr>
        <w:t>Standing height showed no association and no cross-panel heterogeneity, supporting specificity of the primary psychiatric signal. BMI showed a non-significant pooled estimate but cross-panel heterogeneity: Longchamps β = −0.068 (p = 0.022), Chong β = −0.051 (p = 0.25), Gupta adjusted β = +0.046 (p = 0.037) and Gupta raw β = +0.004 (p = 0.87), with pooled β = −0.012 (p = 0.66), Cochran’s Q = 10.88 (p = 0.012) and I² = 73.3%. This heterogeneity is consistent with BMI behaving as a biological contrast sensitive to cell-composition adjustment rather than as a clean negative control. Note that Yengo et al. includes UK Biobank participants, so this null result is a conservative specificity check rather than a fully orthogonal null: shared-sample inflation, if present, would tend to inflate rather than suppress spurious associations.</w:t>
      </w:r>
    </w:p>
    <w:p w14:paraId="7A029284" w14:textId="77777777" w:rsidR="00334EE3" w:rsidRPr="00D059C1" w:rsidRDefault="00334EE3" w:rsidP="00E40E35">
      <w:pPr>
        <w:pStyle w:val="Balk1"/>
        <w:spacing w:after="120" w:line="259" w:lineRule="auto"/>
        <w:rPr>
          <w:rFonts w:ascii="Calibri" w:hAnsi="Calibri" w:cs="Calibri"/>
          <w:color w:val="000000" w:themeColor="text1"/>
        </w:rPr>
      </w:pPr>
    </w:p>
    <w:sectPr w:rsidR="00334EE3" w:rsidRPr="00D059C1">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A526305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20883A1A"/>
    <w:multiLevelType w:val="multilevel"/>
    <w:tmpl w:val="8978587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761639D"/>
    <w:multiLevelType w:val="multilevel"/>
    <w:tmpl w:val="75721E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0EA4AF9"/>
    <w:multiLevelType w:val="multilevel"/>
    <w:tmpl w:val="E47892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A57BC7"/>
    <w:multiLevelType w:val="multilevel"/>
    <w:tmpl w:val="99861F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7CD5F4D"/>
    <w:multiLevelType w:val="multilevel"/>
    <w:tmpl w:val="95E86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9C7994"/>
    <w:multiLevelType w:val="multilevel"/>
    <w:tmpl w:val="D12411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BF06C83"/>
    <w:multiLevelType w:val="multilevel"/>
    <w:tmpl w:val="42701C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03599687">
    <w:abstractNumId w:val="8"/>
  </w:num>
  <w:num w:numId="2" w16cid:durableId="1139349003">
    <w:abstractNumId w:val="6"/>
  </w:num>
  <w:num w:numId="3" w16cid:durableId="2033994877">
    <w:abstractNumId w:val="5"/>
  </w:num>
  <w:num w:numId="4" w16cid:durableId="1075128875">
    <w:abstractNumId w:val="4"/>
  </w:num>
  <w:num w:numId="5" w16cid:durableId="1565875861">
    <w:abstractNumId w:val="7"/>
  </w:num>
  <w:num w:numId="6" w16cid:durableId="1599361332">
    <w:abstractNumId w:val="3"/>
  </w:num>
  <w:num w:numId="7" w16cid:durableId="745033025">
    <w:abstractNumId w:val="2"/>
  </w:num>
  <w:num w:numId="8" w16cid:durableId="1422868735">
    <w:abstractNumId w:val="1"/>
  </w:num>
  <w:num w:numId="9" w16cid:durableId="63257339">
    <w:abstractNumId w:val="0"/>
  </w:num>
  <w:num w:numId="10" w16cid:durableId="1568540120">
    <w:abstractNumId w:val="13"/>
  </w:num>
  <w:num w:numId="11" w16cid:durableId="954485027">
    <w:abstractNumId w:val="10"/>
  </w:num>
  <w:num w:numId="12" w16cid:durableId="1190921795">
    <w:abstractNumId w:val="15"/>
  </w:num>
  <w:num w:numId="13" w16cid:durableId="1550651715">
    <w:abstractNumId w:val="12"/>
  </w:num>
  <w:num w:numId="14" w16cid:durableId="544803840">
    <w:abstractNumId w:val="14"/>
  </w:num>
  <w:num w:numId="15" w16cid:durableId="253058032">
    <w:abstractNumId w:val="9"/>
  </w:num>
  <w:num w:numId="16" w16cid:durableId="5456796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A2D09"/>
    <w:rsid w:val="0015074B"/>
    <w:rsid w:val="0029639D"/>
    <w:rsid w:val="00326F90"/>
    <w:rsid w:val="00334EE3"/>
    <w:rsid w:val="00A61AFA"/>
    <w:rsid w:val="00AA1D8D"/>
    <w:rsid w:val="00B47730"/>
    <w:rsid w:val="00CB0664"/>
    <w:rsid w:val="00D059C1"/>
    <w:rsid w:val="00E32872"/>
    <w:rsid w:val="00E40E35"/>
    <w:rsid w:val="00E46EA7"/>
    <w:rsid w:val="00E9351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2EB2C1"/>
  <w14:defaultImageDpi w14:val="300"/>
  <w15:docId w15:val="{807139B1-B617-2141-B5B9-9D9EDA9E8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3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E40E35"/>
    <w:pPr>
      <w:spacing w:before="100" w:beforeAutospacing="1" w:after="100" w:afterAutospacing="1" w:line="240" w:lineRule="auto"/>
    </w:pPr>
    <w:rPr>
      <w:rFonts w:cs="Times New Roman"/>
      <w:sz w:val="24"/>
      <w:szCs w:val="24"/>
      <w:lang w:val="tr-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553671">
      <w:bodyDiv w:val="1"/>
      <w:marLeft w:val="0"/>
      <w:marRight w:val="0"/>
      <w:marTop w:val="0"/>
      <w:marBottom w:val="0"/>
      <w:divBdr>
        <w:top w:val="none" w:sz="0" w:space="0" w:color="auto"/>
        <w:left w:val="none" w:sz="0" w:space="0" w:color="auto"/>
        <w:bottom w:val="none" w:sz="0" w:space="0" w:color="auto"/>
        <w:right w:val="none" w:sz="0" w:space="0" w:color="auto"/>
      </w:divBdr>
    </w:div>
    <w:div w:id="8459475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2273</Words>
  <Characters>12960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d</dc:creator>
  <cp:keywords/>
  <dc:description>generated by python-docx</dc:description>
  <cp:lastModifiedBy>d d</cp:lastModifiedBy>
  <cp:revision>2</cp:revision>
  <dcterms:created xsi:type="dcterms:W3CDTF">2026-06-05T12:35:00Z</dcterms:created>
  <dcterms:modified xsi:type="dcterms:W3CDTF">2026-06-05T12:35:00Z</dcterms:modified>
  <cp:category/>
</cp:coreProperties>
</file>