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1"/>
        <w:tblW w:w="10916" w:type="dxa"/>
        <w:jc w:val="center"/>
        <w:tblLook w:val="04A0" w:firstRow="1" w:lastRow="0" w:firstColumn="1" w:lastColumn="0" w:noHBand="0" w:noVBand="1"/>
      </w:tblPr>
      <w:tblGrid>
        <w:gridCol w:w="2405"/>
        <w:gridCol w:w="1990"/>
        <w:gridCol w:w="1417"/>
        <w:gridCol w:w="5104"/>
      </w:tblGrid>
      <w:tr w:rsidR="00FB0062" w:rsidRPr="00FB0062" w:rsidTr="00E10D1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916" w:type="dxa"/>
            <w:gridSpan w:val="4"/>
            <w:tcBorders>
              <w:top w:val="nil"/>
              <w:left w:val="nil"/>
              <w:bottom w:val="single" w:sz="4" w:space="0" w:color="auto"/>
              <w:right w:val="nil"/>
            </w:tcBorders>
            <w:noWrap/>
          </w:tcPr>
          <w:p w:rsidR="00FB0062" w:rsidRPr="009621D6" w:rsidRDefault="00FB0062" w:rsidP="00E10D13">
            <w:pPr>
              <w:pStyle w:val="NormalWeb"/>
              <w:spacing w:before="0" w:beforeAutospacing="0" w:after="240" w:afterAutospacing="0"/>
              <w:rPr>
                <w:lang w:val="en-US"/>
              </w:rPr>
            </w:pPr>
            <w:r>
              <w:rPr>
                <w:lang w:val="en-US"/>
              </w:rPr>
              <w:t>Table S1</w:t>
            </w:r>
            <w:r w:rsidRPr="009621D6">
              <w:rPr>
                <w:lang w:val="en-US"/>
              </w:rPr>
              <w:t>: Administrative Division of Tétouan Province</w:t>
            </w:r>
            <w:r>
              <w:rPr>
                <w:lang w:val="en-US"/>
              </w:rPr>
              <w:t xml:space="preserve">, </w:t>
            </w:r>
            <w:r w:rsidRPr="009621D6">
              <w:rPr>
                <w:lang w:val="en-US"/>
              </w:rPr>
              <w:t>by the High Commission for Planning</w:t>
            </w:r>
            <w:r>
              <w:rPr>
                <w:lang w:val="en-US"/>
              </w:rPr>
              <w:t>,</w:t>
            </w:r>
            <w:r w:rsidRPr="009621D6">
              <w:rPr>
                <w:lang w:val="en-US"/>
              </w:rPr>
              <w:t xml:space="preserve"> Tangier-Tétouan-Al Hoceima Regional Directorate</w:t>
            </w:r>
            <w:r>
              <w:rPr>
                <w:lang w:val="en-US"/>
              </w:rPr>
              <w:t>,</w:t>
            </w:r>
            <w:r w:rsidRPr="009621D6">
              <w:rPr>
                <w:lang w:val="en-US"/>
              </w:rPr>
              <w:t xml:space="preserve"> 2018</w:t>
            </w:r>
          </w:p>
        </w:tc>
      </w:tr>
      <w:tr w:rsidR="00FB0062" w:rsidRPr="00B73579" w:rsidTr="00E10D1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noWrap/>
          </w:tcPr>
          <w:p w:rsidR="00FB0062" w:rsidRPr="004C04A1" w:rsidRDefault="00FB0062" w:rsidP="00E10D13">
            <w:pPr>
              <w:spacing w:line="240" w:lineRule="auto"/>
              <w:jc w:val="center"/>
              <w:rPr>
                <w:rFonts w:eastAsia="Times New Roman"/>
                <w:lang w:eastAsia="fr-FR"/>
              </w:rPr>
            </w:pPr>
            <w:r w:rsidRPr="004C04A1">
              <w:rPr>
                <w:rFonts w:eastAsia="Times New Roman"/>
                <w:lang w:eastAsia="fr-FR"/>
              </w:rPr>
              <w:t>Area</w:t>
            </w:r>
          </w:p>
        </w:tc>
        <w:tc>
          <w:tcPr>
            <w:tcW w:w="1990" w:type="dxa"/>
            <w:tcBorders>
              <w:top w:val="single" w:sz="4" w:space="0" w:color="auto"/>
            </w:tcBorders>
            <w:noWrap/>
          </w:tcPr>
          <w:p w:rsidR="00FB0062" w:rsidRPr="00B73579" w:rsidRDefault="00FB0062" w:rsidP="00E10D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fr-FR"/>
              </w:rPr>
            </w:pPr>
            <w:r w:rsidRPr="00B73579">
              <w:rPr>
                <w:rFonts w:eastAsia="Times New Roman"/>
                <w:b/>
                <w:bCs/>
                <w:lang w:eastAsia="fr-FR"/>
              </w:rPr>
              <w:t>Commune/ Municipality (Mu.)</w:t>
            </w:r>
          </w:p>
        </w:tc>
        <w:tc>
          <w:tcPr>
            <w:tcW w:w="6521" w:type="dxa"/>
            <w:gridSpan w:val="2"/>
            <w:tcBorders>
              <w:top w:val="single" w:sz="4" w:space="0" w:color="auto"/>
            </w:tcBorders>
          </w:tcPr>
          <w:p w:rsidR="00FB0062" w:rsidRPr="00B73579" w:rsidRDefault="00FB0062" w:rsidP="00E10D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fr-FR"/>
              </w:rPr>
            </w:pPr>
            <w:r w:rsidRPr="00B73579">
              <w:rPr>
                <w:rFonts w:eastAsia="Times New Roman"/>
                <w:b/>
                <w:bCs/>
                <w:lang w:eastAsia="fr-FR"/>
              </w:rPr>
              <w:t>District</w:t>
            </w:r>
          </w:p>
        </w:tc>
      </w:tr>
      <w:tr w:rsidR="00FB0062" w:rsidRPr="00FB0062" w:rsidTr="00E10D13">
        <w:trPr>
          <w:trHeight w:val="991"/>
          <w:jc w:val="center"/>
        </w:trPr>
        <w:tc>
          <w:tcPr>
            <w:cnfStyle w:val="001000000000" w:firstRow="0" w:lastRow="0" w:firstColumn="1" w:lastColumn="0" w:oddVBand="0" w:evenVBand="0" w:oddHBand="0" w:evenHBand="0" w:firstRowFirstColumn="0" w:firstRowLastColumn="0" w:lastRowFirstColumn="0" w:lastRowLastColumn="0"/>
            <w:tcW w:w="2405" w:type="dxa"/>
            <w:vMerge w:val="restart"/>
            <w:noWrap/>
            <w:hideMark/>
          </w:tcPr>
          <w:p w:rsidR="00FB0062" w:rsidRPr="00030512" w:rsidRDefault="00FB0062" w:rsidP="00E10D13">
            <w:pPr>
              <w:rPr>
                <w:rFonts w:eastAsia="Times New Roman"/>
                <w:b w:val="0"/>
                <w:bCs w:val="0"/>
                <w:lang w:eastAsia="fr-FR"/>
              </w:rPr>
            </w:pPr>
          </w:p>
          <w:p w:rsidR="00FB0062" w:rsidRPr="00030512" w:rsidRDefault="00FB0062" w:rsidP="00E10D13">
            <w:pPr>
              <w:rPr>
                <w:rFonts w:eastAsia="Times New Roman"/>
                <w:b w:val="0"/>
                <w:bCs w:val="0"/>
                <w:lang w:eastAsia="fr-FR"/>
              </w:rPr>
            </w:pPr>
          </w:p>
          <w:p w:rsidR="00FB0062" w:rsidRPr="00030512" w:rsidRDefault="00FB0062" w:rsidP="00E10D13">
            <w:pPr>
              <w:rPr>
                <w:rFonts w:eastAsia="Times New Roman"/>
                <w:b w:val="0"/>
                <w:bCs w:val="0"/>
                <w:lang w:eastAsia="fr-FR"/>
              </w:rPr>
            </w:pPr>
            <w:r w:rsidRPr="00030512">
              <w:rPr>
                <w:rFonts w:eastAsia="Times New Roman"/>
                <w:b w:val="0"/>
                <w:bCs w:val="0"/>
                <w:lang w:eastAsia="fr-FR"/>
              </w:rPr>
              <w:t xml:space="preserve">Urban </w:t>
            </w:r>
          </w:p>
          <w:p w:rsidR="00FB0062" w:rsidRPr="00030512" w:rsidRDefault="00FB0062" w:rsidP="00E10D13">
            <w:pPr>
              <w:rPr>
                <w:rFonts w:eastAsia="Times New Roman"/>
                <w:b w:val="0"/>
                <w:bCs w:val="0"/>
                <w:lang w:eastAsia="fr-FR"/>
              </w:rPr>
            </w:pPr>
            <w:r w:rsidRPr="00030512">
              <w:rPr>
                <w:rFonts w:eastAsia="Times New Roman"/>
                <w:b w:val="0"/>
                <w:bCs w:val="0"/>
                <w:lang w:eastAsia="fr-FR"/>
              </w:rPr>
              <w:t>(two Municipalities )</w:t>
            </w:r>
          </w:p>
        </w:tc>
        <w:tc>
          <w:tcPr>
            <w:tcW w:w="1990" w:type="dxa"/>
            <w:vMerge w:val="restart"/>
            <w:noWrap/>
            <w:hideMark/>
          </w:tcPr>
          <w:p w:rsidR="00FB0062" w:rsidRPr="00B73579" w:rsidRDefault="00FB0062" w:rsidP="00E10D13">
            <w:pPr>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eastAsia="fr-FR"/>
              </w:rPr>
            </w:pPr>
            <w:r>
              <w:rPr>
                <w:rFonts w:eastAsia="Times New Roman"/>
                <w:b/>
                <w:bCs/>
                <w:lang w:val="en-US" w:eastAsia="fr-FR"/>
              </w:rPr>
              <w:t>Mu. of Te</w:t>
            </w:r>
            <w:r w:rsidRPr="00B73579">
              <w:rPr>
                <w:rFonts w:eastAsia="Times New Roman"/>
                <w:b/>
                <w:bCs/>
                <w:lang w:val="en-US" w:eastAsia="fr-FR"/>
              </w:rPr>
              <w:t>touan</w:t>
            </w:r>
            <w:r>
              <w:rPr>
                <w:rFonts w:eastAsia="Times New Roman"/>
                <w:b/>
                <w:bCs/>
                <w:lang w:val="en-US" w:eastAsia="fr-FR"/>
              </w:rPr>
              <w:t>*</w:t>
            </w:r>
          </w:p>
          <w:p w:rsidR="00FB0062" w:rsidRPr="00B73579" w:rsidRDefault="00FB0062" w:rsidP="00E10D13">
            <w:pPr>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eastAsia="fr-FR"/>
              </w:rPr>
            </w:pPr>
          </w:p>
        </w:tc>
        <w:tc>
          <w:tcPr>
            <w:tcW w:w="1417" w:type="dxa"/>
          </w:tcPr>
          <w:p w:rsidR="00FB0062" w:rsidRPr="00B73579" w:rsidRDefault="00FB0062" w:rsidP="00E10D13">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eastAsia="fr-FR"/>
              </w:rPr>
            </w:pPr>
            <w:r w:rsidRPr="00B73579">
              <w:rPr>
                <w:rFonts w:eastAsia="Times New Roman"/>
                <w:b/>
                <w:bCs/>
                <w:lang w:val="en-US" w:eastAsia="fr-FR"/>
              </w:rPr>
              <w:t>Old medina</w:t>
            </w:r>
          </w:p>
          <w:p w:rsidR="00FB0062" w:rsidRPr="00B73579" w:rsidRDefault="00FB0062" w:rsidP="00E10D13">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eastAsia="fr-FR"/>
              </w:rPr>
            </w:pPr>
            <w:r w:rsidRPr="00B73579">
              <w:rPr>
                <w:rFonts w:eastAsia="Times New Roman"/>
                <w:b/>
                <w:bCs/>
                <w:lang w:val="en-US" w:eastAsia="fr-FR"/>
              </w:rPr>
              <w:t>(Slums)</w:t>
            </w:r>
          </w:p>
        </w:tc>
        <w:tc>
          <w:tcPr>
            <w:tcW w:w="5104" w:type="dxa"/>
            <w:noWrap/>
            <w:hideMark/>
          </w:tcPr>
          <w:p w:rsidR="00FB0062" w:rsidRPr="00AC72DE" w:rsidRDefault="00FB0062" w:rsidP="00E10D13">
            <w:pPr>
              <w:cnfStyle w:val="000000000000" w:firstRow="0" w:lastRow="0" w:firstColumn="0" w:lastColumn="0" w:oddVBand="0" w:evenVBand="0" w:oddHBand="0" w:evenHBand="0" w:firstRowFirstColumn="0" w:firstRowLastColumn="0" w:lastRowFirstColumn="0" w:lastRowLastColumn="0"/>
              <w:rPr>
                <w:rFonts w:eastAsia="Times New Roman"/>
                <w:lang w:eastAsia="fr-FR"/>
              </w:rPr>
            </w:pPr>
            <w:r w:rsidRPr="00AC72DE">
              <w:rPr>
                <w:rFonts w:eastAsia="Times New Roman"/>
                <w:lang w:eastAsia="fr-FR"/>
              </w:rPr>
              <w:t>Bab Tout</w:t>
            </w:r>
            <w:r>
              <w:rPr>
                <w:rFonts w:eastAsia="Times New Roman"/>
                <w:lang w:eastAsia="fr-FR"/>
              </w:rPr>
              <w:t>,</w:t>
            </w:r>
            <w:r w:rsidRPr="00AC72DE">
              <w:rPr>
                <w:rFonts w:eastAsia="Times New Roman"/>
                <w:lang w:eastAsia="fr-FR"/>
              </w:rPr>
              <w:t xml:space="preserve"> Mellah</w:t>
            </w:r>
            <w:r>
              <w:rPr>
                <w:rFonts w:eastAsia="Times New Roman"/>
                <w:lang w:eastAsia="fr-FR"/>
              </w:rPr>
              <w:t>,</w:t>
            </w:r>
          </w:p>
          <w:p w:rsidR="00FB0062" w:rsidRPr="004C04A1" w:rsidRDefault="00FB0062" w:rsidP="00E10D13">
            <w:pPr>
              <w:cnfStyle w:val="000000000000" w:firstRow="0" w:lastRow="0" w:firstColumn="0" w:lastColumn="0" w:oddVBand="0" w:evenVBand="0" w:oddHBand="0" w:evenHBand="0" w:firstRowFirstColumn="0" w:firstRowLastColumn="0" w:lastRowFirstColumn="0" w:lastRowLastColumn="0"/>
              <w:rPr>
                <w:rFonts w:eastAsia="Times New Roman"/>
                <w:lang w:eastAsia="fr-FR"/>
              </w:rPr>
            </w:pPr>
            <w:r w:rsidRPr="00AC72DE">
              <w:rPr>
                <w:rFonts w:eastAsia="Times New Roman"/>
                <w:lang w:eastAsia="fr-FR"/>
              </w:rPr>
              <w:t>Dersa III</w:t>
            </w:r>
            <w:r>
              <w:rPr>
                <w:rFonts w:eastAsia="Times New Roman"/>
                <w:lang w:eastAsia="fr-FR"/>
              </w:rPr>
              <w:t>,</w:t>
            </w:r>
            <w:r w:rsidRPr="00AC72DE">
              <w:rPr>
                <w:rFonts w:eastAsia="Times New Roman"/>
                <w:lang w:eastAsia="fr-FR"/>
              </w:rPr>
              <w:t xml:space="preserve"> </w:t>
            </w:r>
            <w:r w:rsidRPr="004C04A1">
              <w:rPr>
                <w:rFonts w:eastAsia="Times New Roman"/>
                <w:lang w:eastAsia="fr-FR"/>
              </w:rPr>
              <w:t xml:space="preserve">Sidi Frij, </w:t>
            </w:r>
          </w:p>
          <w:p w:rsidR="00FB0062" w:rsidRPr="00F90324" w:rsidRDefault="00FB0062" w:rsidP="00E10D13">
            <w:pPr>
              <w:cnfStyle w:val="000000000000" w:firstRow="0" w:lastRow="0" w:firstColumn="0" w:lastColumn="0" w:oddVBand="0" w:evenVBand="0" w:oddHBand="0" w:evenHBand="0" w:firstRowFirstColumn="0" w:firstRowLastColumn="0" w:lastRowFirstColumn="0" w:lastRowLastColumn="0"/>
              <w:rPr>
                <w:rFonts w:eastAsia="Times New Roman"/>
                <w:lang w:val="es-AR" w:eastAsia="fr-FR"/>
              </w:rPr>
            </w:pPr>
            <w:r w:rsidRPr="00030512">
              <w:rPr>
                <w:rFonts w:eastAsia="Times New Roman"/>
                <w:lang w:val="es-AR" w:eastAsia="fr-FR"/>
              </w:rPr>
              <w:t>Samsa</w:t>
            </w:r>
            <w:r>
              <w:rPr>
                <w:rFonts w:eastAsia="Times New Roman"/>
                <w:lang w:val="es-AR" w:eastAsia="fr-FR"/>
              </w:rPr>
              <w:t>,</w:t>
            </w:r>
            <w:r w:rsidRPr="00030512">
              <w:rPr>
                <w:rFonts w:eastAsia="Times New Roman"/>
                <w:lang w:val="es-AR" w:eastAsia="fr-FR"/>
              </w:rPr>
              <w:t xml:space="preserve"> El Kassaba</w:t>
            </w:r>
            <w:r>
              <w:rPr>
                <w:rFonts w:eastAsia="Times New Roman"/>
                <w:lang w:val="es-AR" w:eastAsia="fr-FR"/>
              </w:rPr>
              <w:t>,</w:t>
            </w:r>
            <w:r w:rsidRPr="00030512">
              <w:rPr>
                <w:rFonts w:eastAsia="Times New Roman"/>
                <w:lang w:val="es-AR" w:eastAsia="fr-FR"/>
              </w:rPr>
              <w:t xml:space="preserve"> Dersa I</w:t>
            </w:r>
            <w:r>
              <w:rPr>
                <w:rFonts w:eastAsia="Times New Roman"/>
                <w:lang w:val="es-AR" w:eastAsia="fr-FR"/>
              </w:rPr>
              <w:t>.</w:t>
            </w:r>
          </w:p>
        </w:tc>
      </w:tr>
      <w:tr w:rsidR="00FB0062" w:rsidRPr="004C04A1" w:rsidTr="00E10D13">
        <w:trPr>
          <w:cnfStyle w:val="000000100000" w:firstRow="0" w:lastRow="0" w:firstColumn="0" w:lastColumn="0" w:oddVBand="0" w:evenVBand="0" w:oddHBand="1" w:evenHBand="0" w:firstRowFirstColumn="0" w:firstRowLastColumn="0" w:lastRowFirstColumn="0" w:lastRowLastColumn="0"/>
          <w:trHeight w:val="1365"/>
          <w:jc w:val="center"/>
        </w:trPr>
        <w:tc>
          <w:tcPr>
            <w:cnfStyle w:val="001000000000" w:firstRow="0" w:lastRow="0" w:firstColumn="1" w:lastColumn="0" w:oddVBand="0" w:evenVBand="0" w:oddHBand="0" w:evenHBand="0" w:firstRowFirstColumn="0" w:firstRowLastColumn="0" w:lastRowFirstColumn="0" w:lastRowLastColumn="0"/>
            <w:tcW w:w="2405" w:type="dxa"/>
            <w:vMerge/>
            <w:noWrap/>
            <w:hideMark/>
          </w:tcPr>
          <w:p w:rsidR="00FB0062" w:rsidRPr="00030512" w:rsidRDefault="00FB0062" w:rsidP="00E10D13">
            <w:pPr>
              <w:rPr>
                <w:rFonts w:eastAsia="Times New Roman"/>
                <w:b w:val="0"/>
                <w:bCs w:val="0"/>
                <w:lang w:val="es-AR" w:eastAsia="fr-FR"/>
              </w:rPr>
            </w:pPr>
          </w:p>
        </w:tc>
        <w:tc>
          <w:tcPr>
            <w:tcW w:w="1990" w:type="dxa"/>
            <w:vMerge/>
            <w:noWrap/>
            <w:hideMark/>
          </w:tcPr>
          <w:p w:rsidR="00FB0062" w:rsidRPr="00030512" w:rsidRDefault="00FB0062" w:rsidP="00E10D13">
            <w:pPr>
              <w:jc w:val="center"/>
              <w:cnfStyle w:val="000000100000" w:firstRow="0" w:lastRow="0" w:firstColumn="0" w:lastColumn="0" w:oddVBand="0" w:evenVBand="0" w:oddHBand="1" w:evenHBand="0" w:firstRowFirstColumn="0" w:firstRowLastColumn="0" w:lastRowFirstColumn="0" w:lastRowLastColumn="0"/>
              <w:rPr>
                <w:rFonts w:eastAsia="Times New Roman"/>
                <w:b/>
                <w:bCs/>
                <w:lang w:val="es-AR" w:eastAsia="fr-FR"/>
              </w:rPr>
            </w:pPr>
          </w:p>
        </w:tc>
        <w:tc>
          <w:tcPr>
            <w:tcW w:w="1417" w:type="dxa"/>
          </w:tcPr>
          <w:p w:rsidR="00FB0062" w:rsidRPr="00B73579" w:rsidRDefault="00FB0062" w:rsidP="00E10D1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eastAsia="fr-FR"/>
              </w:rPr>
            </w:pPr>
            <w:r w:rsidRPr="00B73579">
              <w:rPr>
                <w:rFonts w:eastAsia="Times New Roman"/>
                <w:b/>
                <w:bCs/>
                <w:lang w:val="en-US" w:eastAsia="fr-FR"/>
              </w:rPr>
              <w:t>New medina</w:t>
            </w:r>
          </w:p>
          <w:p w:rsidR="00FB0062" w:rsidRPr="00B73579" w:rsidRDefault="00FB0062" w:rsidP="00E10D1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eastAsia="fr-FR"/>
              </w:rPr>
            </w:pPr>
            <w:r w:rsidRPr="00B73579">
              <w:rPr>
                <w:rFonts w:eastAsia="Times New Roman"/>
                <w:b/>
                <w:bCs/>
                <w:lang w:val="en-US" w:eastAsia="fr-FR"/>
              </w:rPr>
              <w:t>(Modern area)</w:t>
            </w:r>
          </w:p>
        </w:tc>
        <w:tc>
          <w:tcPr>
            <w:tcW w:w="5104" w:type="dxa"/>
            <w:noWrap/>
          </w:tcPr>
          <w:p w:rsidR="00FB0062" w:rsidRPr="004C04A1" w:rsidRDefault="00FB0062" w:rsidP="00E10D13">
            <w:pPr>
              <w:cnfStyle w:val="000000100000" w:firstRow="0" w:lastRow="0" w:firstColumn="0" w:lastColumn="0" w:oddVBand="0" w:evenVBand="0" w:oddHBand="1" w:evenHBand="0" w:firstRowFirstColumn="0" w:firstRowLastColumn="0" w:lastRowFirstColumn="0" w:lastRowLastColumn="0"/>
              <w:rPr>
                <w:rFonts w:eastAsia="Times New Roman"/>
                <w:lang w:val="en-US" w:eastAsia="fr-FR"/>
              </w:rPr>
            </w:pPr>
            <w:r>
              <w:rPr>
                <w:rFonts w:eastAsia="Times New Roman"/>
                <w:lang w:val="en-US" w:eastAsia="fr-FR"/>
              </w:rPr>
              <w:t xml:space="preserve">M'hannech, </w:t>
            </w:r>
            <w:r w:rsidRPr="004C04A1">
              <w:rPr>
                <w:rFonts w:eastAsia="Times New Roman"/>
                <w:lang w:val="en-US" w:eastAsia="fr-FR"/>
              </w:rPr>
              <w:t xml:space="preserve">Boujarrah, C.Scolaire. </w:t>
            </w:r>
          </w:p>
          <w:p w:rsidR="00FB0062" w:rsidRPr="004C04A1" w:rsidRDefault="00FB0062" w:rsidP="00E10D13">
            <w:pPr>
              <w:cnfStyle w:val="000000100000" w:firstRow="0" w:lastRow="0" w:firstColumn="0" w:lastColumn="0" w:oddVBand="0" w:evenVBand="0" w:oddHBand="1" w:evenHBand="0" w:firstRowFirstColumn="0" w:firstRowLastColumn="0" w:lastRowFirstColumn="0" w:lastRowLastColumn="0"/>
              <w:rPr>
                <w:rFonts w:eastAsia="Times New Roman"/>
                <w:lang w:val="es-AR" w:eastAsia="fr-FR"/>
              </w:rPr>
            </w:pPr>
            <w:r w:rsidRPr="006468B4">
              <w:rPr>
                <w:rFonts w:eastAsia="Times New Roman"/>
                <w:lang w:val="en-US" w:eastAsia="fr-FR"/>
              </w:rPr>
              <w:t xml:space="preserve">My Hassan, Tabola, Nakata, Sidi Talha, Coelma, Dar Murcia, Korrat Sbaa. </w:t>
            </w:r>
            <w:r>
              <w:rPr>
                <w:rFonts w:eastAsia="Times New Roman"/>
                <w:lang w:val="es-AR" w:eastAsia="fr-FR"/>
              </w:rPr>
              <w:t>Touilaa.</w:t>
            </w:r>
          </w:p>
        </w:tc>
      </w:tr>
      <w:tr w:rsidR="00FB0062" w:rsidRPr="004C04A1" w:rsidTr="00E10D13">
        <w:trPr>
          <w:trHeight w:val="315"/>
          <w:jc w:val="center"/>
        </w:trPr>
        <w:tc>
          <w:tcPr>
            <w:cnfStyle w:val="001000000000" w:firstRow="0" w:lastRow="0" w:firstColumn="1" w:lastColumn="0" w:oddVBand="0" w:evenVBand="0" w:oddHBand="0" w:evenHBand="0" w:firstRowFirstColumn="0" w:firstRowLastColumn="0" w:lastRowFirstColumn="0" w:lastRowLastColumn="0"/>
            <w:tcW w:w="2405" w:type="dxa"/>
            <w:vMerge/>
            <w:noWrap/>
            <w:hideMark/>
          </w:tcPr>
          <w:p w:rsidR="00FB0062" w:rsidRPr="004C04A1" w:rsidRDefault="00FB0062" w:rsidP="00E10D13">
            <w:pPr>
              <w:rPr>
                <w:rFonts w:eastAsia="Times New Roman"/>
                <w:b w:val="0"/>
                <w:bCs w:val="0"/>
                <w:lang w:val="es-AR" w:eastAsia="fr-FR"/>
              </w:rPr>
            </w:pPr>
          </w:p>
        </w:tc>
        <w:tc>
          <w:tcPr>
            <w:tcW w:w="1990" w:type="dxa"/>
            <w:noWrap/>
            <w:hideMark/>
          </w:tcPr>
          <w:p w:rsidR="00FB0062" w:rsidRPr="004C04A1" w:rsidRDefault="00FB0062" w:rsidP="00E10D13">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eastAsia="fr-FR"/>
              </w:rPr>
            </w:pPr>
            <w:r>
              <w:rPr>
                <w:rFonts w:eastAsia="Times New Roman"/>
                <w:b/>
                <w:bCs/>
                <w:lang w:val="en-US" w:eastAsia="fr-FR"/>
              </w:rPr>
              <w:t xml:space="preserve">Mu. of Oued </w:t>
            </w:r>
            <w:r w:rsidRPr="004C04A1">
              <w:rPr>
                <w:rFonts w:eastAsia="Times New Roman"/>
                <w:b/>
                <w:bCs/>
                <w:lang w:val="en-US" w:eastAsia="fr-FR"/>
              </w:rPr>
              <w:t>Laou</w:t>
            </w:r>
            <w:r>
              <w:rPr>
                <w:rFonts w:eastAsia="Times New Roman"/>
                <w:b/>
                <w:bCs/>
                <w:lang w:val="en-US" w:eastAsia="fr-FR"/>
              </w:rPr>
              <w:t>**</w:t>
            </w:r>
          </w:p>
        </w:tc>
        <w:tc>
          <w:tcPr>
            <w:tcW w:w="6521" w:type="dxa"/>
            <w:gridSpan w:val="2"/>
          </w:tcPr>
          <w:p w:rsidR="00FB0062" w:rsidRPr="004C04A1" w:rsidRDefault="00FB0062" w:rsidP="00E10D13">
            <w:pPr>
              <w:cnfStyle w:val="000000000000" w:firstRow="0" w:lastRow="0" w:firstColumn="0" w:lastColumn="0" w:oddVBand="0" w:evenVBand="0" w:oddHBand="0" w:evenHBand="0" w:firstRowFirstColumn="0" w:firstRowLastColumn="0" w:lastRowFirstColumn="0" w:lastRowLastColumn="0"/>
              <w:rPr>
                <w:rFonts w:eastAsia="Times New Roman"/>
                <w:b/>
                <w:bCs/>
                <w:lang w:val="en-US" w:eastAsia="fr-FR"/>
              </w:rPr>
            </w:pPr>
          </w:p>
        </w:tc>
      </w:tr>
      <w:tr w:rsidR="00FB0062" w:rsidRPr="00FB0062" w:rsidTr="00E10D13">
        <w:trPr>
          <w:cnfStyle w:val="000000100000" w:firstRow="0" w:lastRow="0" w:firstColumn="0" w:lastColumn="0" w:oddVBand="0" w:evenVBand="0" w:oddHBand="1" w:evenHBand="0" w:firstRowFirstColumn="0" w:firstRowLastColumn="0" w:lastRowFirstColumn="0" w:lastRowLastColumn="0"/>
          <w:trHeight w:val="136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B0062" w:rsidRPr="004C04A1" w:rsidRDefault="00FB0062" w:rsidP="00E10D13">
            <w:pPr>
              <w:rPr>
                <w:rFonts w:eastAsia="Times New Roman"/>
                <w:b w:val="0"/>
                <w:bCs w:val="0"/>
                <w:lang w:val="en-US" w:eastAsia="fr-FR"/>
              </w:rPr>
            </w:pPr>
            <w:r w:rsidRPr="004C04A1">
              <w:rPr>
                <w:rFonts w:eastAsia="Times New Roman"/>
                <w:b w:val="0"/>
                <w:bCs w:val="0"/>
                <w:lang w:val="en-US" w:eastAsia="fr-FR"/>
              </w:rPr>
              <w:t xml:space="preserve">Rural </w:t>
            </w:r>
          </w:p>
          <w:p w:rsidR="00FB0062" w:rsidRPr="004C04A1" w:rsidRDefault="00FB0062" w:rsidP="00E10D13">
            <w:pPr>
              <w:rPr>
                <w:rFonts w:eastAsia="Times New Roman"/>
                <w:b w:val="0"/>
                <w:bCs w:val="0"/>
                <w:lang w:val="en-US" w:eastAsia="fr-FR"/>
              </w:rPr>
            </w:pPr>
            <w:r w:rsidRPr="004C04A1">
              <w:rPr>
                <w:rFonts w:eastAsia="Times New Roman"/>
                <w:b w:val="0"/>
                <w:bCs w:val="0"/>
                <w:lang w:val="en-US" w:eastAsia="fr-FR"/>
              </w:rPr>
              <w:t>(20 commune)</w:t>
            </w:r>
          </w:p>
        </w:tc>
        <w:tc>
          <w:tcPr>
            <w:tcW w:w="8511" w:type="dxa"/>
            <w:gridSpan w:val="3"/>
            <w:noWrap/>
            <w:hideMark/>
          </w:tcPr>
          <w:p w:rsidR="00FB0062" w:rsidRPr="004C04A1" w:rsidRDefault="00FB0062" w:rsidP="00E10D13">
            <w:pPr>
              <w:cnfStyle w:val="000000100000" w:firstRow="0" w:lastRow="0" w:firstColumn="0" w:lastColumn="0" w:oddVBand="0" w:evenVBand="0" w:oddHBand="1" w:evenHBand="0" w:firstRowFirstColumn="0" w:firstRowLastColumn="0" w:lastRowFirstColumn="0" w:lastRowLastColumn="0"/>
              <w:rPr>
                <w:rFonts w:eastAsia="Times New Roman"/>
                <w:lang w:val="en-US" w:eastAsia="fr-FR"/>
              </w:rPr>
            </w:pPr>
            <w:r w:rsidRPr="004C04A1">
              <w:rPr>
                <w:rFonts w:eastAsia="Times New Roman"/>
                <w:lang w:val="en-US" w:eastAsia="fr-FR"/>
              </w:rPr>
              <w:t>Ben Karrich</w:t>
            </w:r>
            <w:r>
              <w:rPr>
                <w:rFonts w:eastAsia="Times New Roman"/>
                <w:lang w:val="en-US" w:eastAsia="fr-FR"/>
              </w:rPr>
              <w:t>,</w:t>
            </w:r>
            <w:r w:rsidRPr="004C04A1">
              <w:rPr>
                <w:rFonts w:eastAsia="Times New Roman"/>
                <w:lang w:val="en-US" w:eastAsia="fr-FR"/>
              </w:rPr>
              <w:t xml:space="preserve"> Zinat</w:t>
            </w:r>
            <w:r>
              <w:rPr>
                <w:rFonts w:eastAsia="Times New Roman"/>
                <w:lang w:val="en-US" w:eastAsia="fr-FR"/>
              </w:rPr>
              <w:t>,</w:t>
            </w:r>
            <w:r w:rsidRPr="004C04A1">
              <w:rPr>
                <w:rFonts w:eastAsia="Times New Roman"/>
                <w:lang w:val="en-US" w:eastAsia="fr-FR"/>
              </w:rPr>
              <w:t xml:space="preserve"> Ben Idder</w:t>
            </w:r>
            <w:r>
              <w:rPr>
                <w:rFonts w:eastAsia="Times New Roman"/>
                <w:lang w:val="en-US" w:eastAsia="fr-FR"/>
              </w:rPr>
              <w:t>,</w:t>
            </w:r>
            <w:r w:rsidRPr="004C04A1">
              <w:rPr>
                <w:rFonts w:eastAsia="Times New Roman"/>
                <w:lang w:val="en-US" w:eastAsia="fr-FR"/>
              </w:rPr>
              <w:t xml:space="preserve"> Sahtriyine</w:t>
            </w:r>
            <w:r>
              <w:rPr>
                <w:rFonts w:eastAsia="Times New Roman"/>
                <w:lang w:val="en-US" w:eastAsia="fr-FR"/>
              </w:rPr>
              <w:t>,</w:t>
            </w:r>
            <w:r w:rsidRPr="004C04A1">
              <w:rPr>
                <w:rFonts w:eastAsia="Times New Roman"/>
                <w:lang w:val="en-US" w:eastAsia="fr-FR"/>
              </w:rPr>
              <w:t xml:space="preserve"> Bghaghza</w:t>
            </w:r>
            <w:r>
              <w:rPr>
                <w:rFonts w:eastAsia="Times New Roman"/>
                <w:lang w:val="en-US" w:eastAsia="fr-FR"/>
              </w:rPr>
              <w:t>,</w:t>
            </w:r>
            <w:r w:rsidRPr="004C04A1">
              <w:rPr>
                <w:rFonts w:eastAsia="Times New Roman"/>
                <w:lang w:val="en-US" w:eastAsia="fr-FR"/>
              </w:rPr>
              <w:t xml:space="preserve"> Alhamra</w:t>
            </w:r>
            <w:r>
              <w:rPr>
                <w:rFonts w:eastAsia="Times New Roman"/>
                <w:lang w:val="en-US" w:eastAsia="fr-FR"/>
              </w:rPr>
              <w:t>,</w:t>
            </w:r>
            <w:r w:rsidRPr="004C04A1">
              <w:rPr>
                <w:rFonts w:eastAsia="Times New Roman"/>
                <w:lang w:val="en-US" w:eastAsia="fr-FR"/>
              </w:rPr>
              <w:t xml:space="preserve"> Bni Lait</w:t>
            </w:r>
            <w:r>
              <w:rPr>
                <w:rFonts w:eastAsia="Times New Roman"/>
                <w:lang w:val="en-US" w:eastAsia="fr-FR"/>
              </w:rPr>
              <w:t>,</w:t>
            </w:r>
            <w:r w:rsidRPr="004C04A1">
              <w:rPr>
                <w:rFonts w:eastAsia="Times New Roman"/>
                <w:lang w:val="en-US" w:eastAsia="fr-FR"/>
              </w:rPr>
              <w:t xml:space="preserve"> O</w:t>
            </w:r>
            <w:r>
              <w:rPr>
                <w:rFonts w:eastAsia="Times New Roman"/>
                <w:lang w:val="en-US" w:eastAsia="fr-FR"/>
              </w:rPr>
              <w:t xml:space="preserve">ulad Ali </w:t>
            </w:r>
            <w:r w:rsidRPr="004C04A1">
              <w:rPr>
                <w:rFonts w:eastAsia="Times New Roman"/>
                <w:lang w:val="en-US" w:eastAsia="fr-FR"/>
              </w:rPr>
              <w:t>Mansour</w:t>
            </w:r>
            <w:r>
              <w:rPr>
                <w:rFonts w:eastAsia="Times New Roman"/>
                <w:lang w:val="en-US" w:eastAsia="fr-FR"/>
              </w:rPr>
              <w:t>,</w:t>
            </w:r>
            <w:r w:rsidRPr="004C04A1">
              <w:rPr>
                <w:rFonts w:eastAsia="Times New Roman"/>
                <w:lang w:val="en-US" w:eastAsia="fr-FR"/>
              </w:rPr>
              <w:t xml:space="preserve"> El Oued</w:t>
            </w:r>
            <w:r>
              <w:rPr>
                <w:rFonts w:eastAsia="Times New Roman"/>
                <w:lang w:val="en-US" w:eastAsia="fr-FR"/>
              </w:rPr>
              <w:t>,</w:t>
            </w:r>
            <w:r w:rsidRPr="004C04A1">
              <w:rPr>
                <w:rFonts w:eastAsia="Times New Roman"/>
                <w:lang w:val="en-US" w:eastAsia="fr-FR"/>
              </w:rPr>
              <w:t xml:space="preserve">  Malaliyene</w:t>
            </w:r>
            <w:r>
              <w:rPr>
                <w:rFonts w:eastAsia="Times New Roman"/>
                <w:lang w:val="en-US" w:eastAsia="fr-FR"/>
              </w:rPr>
              <w:t>,</w:t>
            </w:r>
            <w:r w:rsidRPr="004C04A1">
              <w:rPr>
                <w:rFonts w:eastAsia="Times New Roman"/>
                <w:lang w:val="en-US" w:eastAsia="fr-FR"/>
              </w:rPr>
              <w:t xml:space="preserve"> Saddina</w:t>
            </w:r>
            <w:r>
              <w:rPr>
                <w:rFonts w:eastAsia="Times New Roman"/>
                <w:lang w:val="en-US" w:eastAsia="fr-FR"/>
              </w:rPr>
              <w:t>,</w:t>
            </w:r>
            <w:r w:rsidRPr="004C04A1">
              <w:rPr>
                <w:rFonts w:eastAsia="Times New Roman"/>
                <w:lang w:val="en-US" w:eastAsia="fr-FR"/>
              </w:rPr>
              <w:t xml:space="preserve"> Sebt Kdim/souk kdim</w:t>
            </w:r>
            <w:r>
              <w:rPr>
                <w:rFonts w:eastAsia="Times New Roman"/>
                <w:lang w:val="en-US" w:eastAsia="fr-FR"/>
              </w:rPr>
              <w:t>,</w:t>
            </w:r>
            <w:r w:rsidRPr="004C04A1">
              <w:rPr>
                <w:rFonts w:eastAsia="Times New Roman"/>
                <w:lang w:val="en-US" w:eastAsia="fr-FR"/>
              </w:rPr>
              <w:t xml:space="preserve"> Fondaq/Ain Lahsan</w:t>
            </w:r>
            <w:r>
              <w:rPr>
                <w:rFonts w:eastAsia="Times New Roman"/>
                <w:lang w:val="en-US" w:eastAsia="fr-FR"/>
              </w:rPr>
              <w:t>,</w:t>
            </w:r>
            <w:r w:rsidRPr="004C04A1">
              <w:rPr>
                <w:rFonts w:eastAsia="Times New Roman"/>
                <w:lang w:val="en-US" w:eastAsia="fr-FR"/>
              </w:rPr>
              <w:t xml:space="preserve"> Bni Harchane</w:t>
            </w:r>
            <w:r>
              <w:rPr>
                <w:rFonts w:eastAsia="Times New Roman"/>
                <w:lang w:val="en-US" w:eastAsia="fr-FR"/>
              </w:rPr>
              <w:t>,</w:t>
            </w:r>
            <w:r w:rsidRPr="004C04A1">
              <w:rPr>
                <w:rFonts w:eastAsia="Times New Roman"/>
                <w:lang w:val="en-US" w:eastAsia="fr-FR"/>
              </w:rPr>
              <w:t xml:space="preserve"> Jbel Hbib</w:t>
            </w:r>
            <w:r>
              <w:rPr>
                <w:rFonts w:eastAsia="Times New Roman"/>
                <w:lang w:val="en-US" w:eastAsia="fr-FR"/>
              </w:rPr>
              <w:t>,</w:t>
            </w:r>
            <w:r w:rsidRPr="004C04A1">
              <w:rPr>
                <w:rFonts w:eastAsia="Times New Roman"/>
                <w:lang w:val="en-US" w:eastAsia="fr-FR"/>
              </w:rPr>
              <w:t xml:space="preserve"> El Kharoub</w:t>
            </w:r>
            <w:r>
              <w:rPr>
                <w:rFonts w:eastAsia="Times New Roman"/>
                <w:lang w:val="en-US" w:eastAsia="fr-FR"/>
              </w:rPr>
              <w:t>,</w:t>
            </w:r>
            <w:r w:rsidRPr="004C04A1">
              <w:rPr>
                <w:rFonts w:eastAsia="Times New Roman"/>
                <w:lang w:val="en-US" w:eastAsia="fr-FR"/>
              </w:rPr>
              <w:t xml:space="preserve"> Beni Said</w:t>
            </w:r>
            <w:r>
              <w:rPr>
                <w:rFonts w:eastAsia="Times New Roman"/>
                <w:lang w:val="en-US" w:eastAsia="fr-FR"/>
              </w:rPr>
              <w:t>,</w:t>
            </w:r>
            <w:r w:rsidRPr="004C04A1">
              <w:rPr>
                <w:rFonts w:eastAsia="Times New Roman"/>
                <w:lang w:val="en-US" w:eastAsia="fr-FR"/>
              </w:rPr>
              <w:t xml:space="preserve"> Z.S.Kacem</w:t>
            </w:r>
            <w:r>
              <w:rPr>
                <w:rFonts w:eastAsia="Times New Roman"/>
                <w:lang w:val="en-US" w:eastAsia="fr-FR"/>
              </w:rPr>
              <w:t>,</w:t>
            </w:r>
            <w:r w:rsidRPr="004C04A1">
              <w:rPr>
                <w:rFonts w:eastAsia="Times New Roman"/>
                <w:lang w:val="en-US" w:eastAsia="fr-FR"/>
              </w:rPr>
              <w:t xml:space="preserve"> Zaitoune</w:t>
            </w:r>
            <w:r>
              <w:rPr>
                <w:rFonts w:eastAsia="Times New Roman"/>
                <w:lang w:val="en-US" w:eastAsia="fr-FR"/>
              </w:rPr>
              <w:t>,</w:t>
            </w:r>
            <w:r w:rsidRPr="004C04A1">
              <w:rPr>
                <w:rFonts w:eastAsia="Times New Roman"/>
                <w:lang w:val="en-US" w:eastAsia="fr-FR"/>
              </w:rPr>
              <w:t xml:space="preserve"> Azla.</w:t>
            </w:r>
          </w:p>
        </w:tc>
      </w:tr>
      <w:tr w:rsidR="00FB0062" w:rsidRPr="00FB0062" w:rsidTr="00E10D13">
        <w:trPr>
          <w:trHeight w:val="1365"/>
          <w:jc w:val="center"/>
        </w:trPr>
        <w:tc>
          <w:tcPr>
            <w:cnfStyle w:val="001000000000" w:firstRow="0" w:lastRow="0" w:firstColumn="1" w:lastColumn="0" w:oddVBand="0" w:evenVBand="0" w:oddHBand="0" w:evenHBand="0" w:firstRowFirstColumn="0" w:firstRowLastColumn="0" w:lastRowFirstColumn="0" w:lastRowLastColumn="0"/>
            <w:tcW w:w="10916" w:type="dxa"/>
            <w:gridSpan w:val="4"/>
            <w:noWrap/>
          </w:tcPr>
          <w:p w:rsidR="00FB0062" w:rsidRPr="00E920E7" w:rsidRDefault="00FB0062" w:rsidP="00E10D13">
            <w:pPr>
              <w:spacing w:line="276" w:lineRule="auto"/>
              <w:rPr>
                <w:rFonts w:eastAsia="Times New Roman"/>
                <w:b w:val="0"/>
                <w:bCs w:val="0"/>
                <w:sz w:val="22"/>
                <w:szCs w:val="22"/>
                <w:lang w:val="en-US" w:eastAsia="fr-FR"/>
              </w:rPr>
            </w:pPr>
            <w:r w:rsidRPr="00E920E7">
              <w:rPr>
                <w:rFonts w:eastAsia="Times New Roman"/>
                <w:b w:val="0"/>
                <w:bCs w:val="0"/>
                <w:sz w:val="22"/>
                <w:szCs w:val="22"/>
                <w:lang w:val="en-US" w:eastAsia="fr-FR"/>
              </w:rPr>
              <w:t>* Tétouan remains partially enclosed by its historic wall with seven gates. Districts located within the wall correspond to the Old Medina, characterized by older, high-density neighborhoods, including informal and slum-like areas. Districts located outside the wall constitute the New (or Modern) Medina, which developed later and is characterized by more recent urban planning and comparatively improved housing and hygienic conditions.</w:t>
            </w:r>
          </w:p>
          <w:p w:rsidR="00FB0062" w:rsidRPr="00E920E7" w:rsidRDefault="00FB0062" w:rsidP="00E10D13">
            <w:pPr>
              <w:spacing w:line="276" w:lineRule="auto"/>
              <w:rPr>
                <w:rFonts w:eastAsia="Times New Roman"/>
                <w:b w:val="0"/>
                <w:bCs w:val="0"/>
                <w:sz w:val="22"/>
                <w:szCs w:val="22"/>
                <w:lang w:val="en-US" w:eastAsia="fr-FR"/>
              </w:rPr>
            </w:pPr>
            <w:r>
              <w:rPr>
                <w:rFonts w:eastAsia="Times New Roman"/>
                <w:b w:val="0"/>
                <w:bCs w:val="0"/>
                <w:sz w:val="22"/>
                <w:szCs w:val="22"/>
                <w:lang w:val="en-US" w:eastAsia="fr-FR"/>
              </w:rPr>
              <w:t>**</w:t>
            </w:r>
            <w:r w:rsidRPr="00E920E7">
              <w:rPr>
                <w:rFonts w:eastAsia="Times New Roman"/>
                <w:b w:val="0"/>
                <w:bCs w:val="0"/>
                <w:sz w:val="22"/>
                <w:szCs w:val="22"/>
                <w:lang w:val="en-US" w:eastAsia="fr-FR"/>
              </w:rPr>
              <w:t xml:space="preserve"> Oued Laou is administratively classified as an urban municipality but has a small population (11,690</w:t>
            </w:r>
            <w:r w:rsidRPr="00E920E7">
              <w:rPr>
                <w:lang w:val="en-US"/>
              </w:rPr>
              <w:t xml:space="preserve"> </w:t>
            </w:r>
            <w:r w:rsidRPr="00E920E7">
              <w:rPr>
                <w:rFonts w:eastAsia="Times New Roman"/>
                <w:b w:val="0"/>
                <w:bCs w:val="0"/>
                <w:sz w:val="22"/>
                <w:szCs w:val="22"/>
                <w:lang w:val="en-US" w:eastAsia="fr-FR"/>
              </w:rPr>
              <w:t>inhabitants according to the 2014 national census), limited area (≈32.8 km²), no district subdivision, and a single primary healthcare center, and</w:t>
            </w:r>
            <w:r>
              <w:rPr>
                <w:rFonts w:eastAsia="Times New Roman"/>
                <w:b w:val="0"/>
                <w:bCs w:val="0"/>
                <w:sz w:val="22"/>
                <w:szCs w:val="22"/>
                <w:lang w:val="en-US" w:eastAsia="fr-FR"/>
              </w:rPr>
              <w:t xml:space="preserve"> it</w:t>
            </w:r>
            <w:r w:rsidRPr="00E920E7">
              <w:rPr>
                <w:rFonts w:eastAsia="Times New Roman"/>
                <w:b w:val="0"/>
                <w:bCs w:val="0"/>
                <w:sz w:val="22"/>
                <w:szCs w:val="22"/>
                <w:lang w:val="en-US" w:eastAsia="fr-FR"/>
              </w:rPr>
              <w:t xml:space="preserve"> is located 44.2 km from Tétouan.</w:t>
            </w:r>
          </w:p>
        </w:tc>
      </w:tr>
    </w:tbl>
    <w:p w:rsidR="00FB0062" w:rsidRDefault="00FB0062">
      <w:pPr>
        <w:spacing w:line="259" w:lineRule="auto"/>
        <w:jc w:val="left"/>
        <w:rPr>
          <w:lang w:val="en-US"/>
        </w:rPr>
      </w:pPr>
    </w:p>
    <w:p w:rsidR="00FB0062" w:rsidRDefault="00FB0062" w:rsidP="00FB0062">
      <w:pPr>
        <w:spacing w:line="259" w:lineRule="auto"/>
        <w:jc w:val="left"/>
        <w:rPr>
          <w:lang w:val="en-US"/>
        </w:rPr>
      </w:pPr>
      <w:r>
        <w:rPr>
          <w:lang w:val="en-US"/>
        </w:rPr>
        <w:br w:type="page"/>
      </w:r>
    </w:p>
    <w:p w:rsidR="00FB0062" w:rsidRDefault="00FB0062">
      <w:pPr>
        <w:spacing w:line="259" w:lineRule="auto"/>
        <w:jc w:val="left"/>
        <w:rPr>
          <w:lang w:val="en-US"/>
        </w:rPr>
      </w:pPr>
    </w:p>
    <w:tbl>
      <w:tblPr>
        <w:tblStyle w:val="TableGrid"/>
        <w:tblW w:w="10916" w:type="dxa"/>
        <w:jc w:val="center"/>
        <w:tblLook w:val="04A0" w:firstRow="1" w:lastRow="0" w:firstColumn="1" w:lastColumn="0" w:noHBand="0" w:noVBand="1"/>
      </w:tblPr>
      <w:tblGrid>
        <w:gridCol w:w="1271"/>
        <w:gridCol w:w="992"/>
        <w:gridCol w:w="3975"/>
        <w:gridCol w:w="4678"/>
      </w:tblGrid>
      <w:tr w:rsidR="006D5374" w:rsidRPr="00FB0062" w:rsidTr="00521A17">
        <w:trPr>
          <w:trHeight w:val="410"/>
          <w:jc w:val="center"/>
        </w:trPr>
        <w:tc>
          <w:tcPr>
            <w:tcW w:w="10916" w:type="dxa"/>
            <w:gridSpan w:val="4"/>
            <w:tcBorders>
              <w:top w:val="nil"/>
              <w:left w:val="nil"/>
              <w:right w:val="nil"/>
            </w:tcBorders>
          </w:tcPr>
          <w:p w:rsidR="006D5374" w:rsidRDefault="00FB0062" w:rsidP="00521A17">
            <w:pPr>
              <w:spacing w:before="100" w:beforeAutospacing="1" w:after="100" w:afterAutospacing="1" w:line="240" w:lineRule="auto"/>
              <w:rPr>
                <w:rFonts w:eastAsia="Times New Roman"/>
                <w:b/>
                <w:bCs/>
                <w:lang w:val="en-US" w:eastAsia="fr-FR"/>
              </w:rPr>
            </w:pPr>
            <w:r>
              <w:rPr>
                <w:b/>
                <w:bCs/>
                <w:lang w:val="en-US"/>
              </w:rPr>
              <w:t>Table S2</w:t>
            </w:r>
            <w:r w:rsidR="00521A17" w:rsidRPr="00521A17">
              <w:rPr>
                <w:b/>
                <w:bCs/>
                <w:lang w:val="en-US"/>
              </w:rPr>
              <w:t>. Primer sequences used for MIRU-VNTR typing of Mycobacterium tuberculosis complex isolates</w:t>
            </w:r>
            <w:r w:rsidR="006D5374" w:rsidRPr="00521A17">
              <w:rPr>
                <w:rFonts w:eastAsia="Times New Roman"/>
                <w:b/>
                <w:bCs/>
                <w:lang w:val="en-US" w:eastAsia="fr-FR"/>
              </w:rPr>
              <w:t xml:space="preserve"> Table of Primers used for MIRU-VNTR typing</w:t>
            </w:r>
          </w:p>
          <w:p w:rsidR="00521A17" w:rsidRPr="00521A17" w:rsidRDefault="00521A17" w:rsidP="00521A17">
            <w:pPr>
              <w:spacing w:before="100" w:beforeAutospacing="1" w:after="100" w:afterAutospacing="1" w:line="240" w:lineRule="auto"/>
              <w:rPr>
                <w:rFonts w:eastAsia="Times New Roman"/>
                <w:b/>
                <w:bCs/>
                <w:lang w:val="en-US" w:eastAsia="fr-FR"/>
              </w:rPr>
            </w:pPr>
          </w:p>
        </w:tc>
      </w:tr>
      <w:tr w:rsidR="006D5374" w:rsidRPr="00521A17" w:rsidTr="00521A17">
        <w:trPr>
          <w:trHeight w:val="230"/>
          <w:jc w:val="center"/>
        </w:trPr>
        <w:tc>
          <w:tcPr>
            <w:tcW w:w="1271" w:type="dxa"/>
          </w:tcPr>
          <w:p w:rsidR="006D5374" w:rsidRPr="00521A17" w:rsidRDefault="006D5374" w:rsidP="00B01C9F">
            <w:pPr>
              <w:jc w:val="center"/>
              <w:rPr>
                <w:rFonts w:eastAsia="Times New Roman"/>
                <w:b/>
                <w:bCs/>
                <w:lang w:eastAsia="fr-FR"/>
              </w:rPr>
            </w:pPr>
            <w:r w:rsidRPr="00521A17">
              <w:rPr>
                <w:rFonts w:eastAsia="Times New Roman"/>
                <w:b/>
                <w:bCs/>
                <w:lang w:eastAsia="fr-FR"/>
              </w:rPr>
              <w:t>No.</w:t>
            </w:r>
          </w:p>
        </w:tc>
        <w:tc>
          <w:tcPr>
            <w:tcW w:w="992" w:type="dxa"/>
          </w:tcPr>
          <w:p w:rsidR="006D5374" w:rsidRPr="00521A17" w:rsidRDefault="006D5374" w:rsidP="00B01C9F">
            <w:pPr>
              <w:jc w:val="center"/>
              <w:rPr>
                <w:rFonts w:eastAsia="Times New Roman"/>
                <w:b/>
                <w:bCs/>
                <w:lang w:eastAsia="fr-FR"/>
              </w:rPr>
            </w:pPr>
            <w:r w:rsidRPr="00521A17">
              <w:rPr>
                <w:rFonts w:eastAsia="Times New Roman"/>
                <w:b/>
                <w:bCs/>
                <w:lang w:eastAsia="fr-FR"/>
              </w:rPr>
              <w:t>Locus</w:t>
            </w:r>
          </w:p>
        </w:tc>
        <w:tc>
          <w:tcPr>
            <w:tcW w:w="3975" w:type="dxa"/>
          </w:tcPr>
          <w:p w:rsidR="006D5374" w:rsidRPr="00521A17" w:rsidRDefault="006D5374" w:rsidP="00B01C9F">
            <w:pPr>
              <w:jc w:val="center"/>
              <w:rPr>
                <w:rFonts w:eastAsia="Times New Roman"/>
                <w:b/>
                <w:bCs/>
                <w:lang w:eastAsia="fr-FR"/>
              </w:rPr>
            </w:pPr>
            <w:r w:rsidRPr="00521A17">
              <w:rPr>
                <w:rFonts w:eastAsia="Times New Roman"/>
                <w:b/>
                <w:bCs/>
                <w:lang w:eastAsia="fr-FR"/>
              </w:rPr>
              <w:t>Name</w:t>
            </w:r>
          </w:p>
        </w:tc>
        <w:tc>
          <w:tcPr>
            <w:tcW w:w="4678" w:type="dxa"/>
          </w:tcPr>
          <w:p w:rsidR="006D5374" w:rsidRPr="00521A17" w:rsidRDefault="006D5374" w:rsidP="00B01C9F">
            <w:pPr>
              <w:jc w:val="center"/>
              <w:rPr>
                <w:rFonts w:eastAsia="Times New Roman"/>
                <w:b/>
                <w:bCs/>
                <w:lang w:eastAsia="fr-FR"/>
              </w:rPr>
            </w:pPr>
            <w:r w:rsidRPr="00521A17">
              <w:rPr>
                <w:rFonts w:eastAsia="Times New Roman"/>
                <w:b/>
                <w:bCs/>
                <w:lang w:eastAsia="fr-FR"/>
              </w:rPr>
              <w:t>Sequence (5’–3’)</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154</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TACTCGGCGGCCCTAGCAAAT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154</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TGGACCTGAAGCATGGACACT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580</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MIRU-4F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GCGCGTAGAAGTAGGCAACC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580</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MIRU-4R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CGGCCGTCGCTTTCAAGC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5</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960</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MIRU-10F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GGCACCTTGACGGTCCACACT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6</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960</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MIRU-10R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CGCCGGTTGCGGTGCACT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7</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1644</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MIRU-16F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GCCTGTGAGCGCCGATTTG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8</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1644</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MIRU-16R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CGGCGCTGAGGTTCCGCTG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9</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2059</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MIRU-20F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TCGATCAGGCGAATCTGAGC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10</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2059</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MIRU-20R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CGCGTTCCAGCGTAGCTTAG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11</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2531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MIRU-23F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CTGTGCGATCGCCGTTCC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12</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2531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MIRU-23R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CGACGGGTTGGCAGGACAT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13</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2687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MIRU-24F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GCGACAGCGTCGACGCCG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14</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2687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MIRU-24R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TGCGAGAGTGGGTCGAGGTC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15</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2996</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MIRU-26F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CATAGTGACGTGGTTTGCGC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16</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2996</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MIRU-26R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GCGTCGAGCCGGTGCGATGTA</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17</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3007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MIRU-27F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TGATGCGCTGGGTAGGTGGG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18</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3007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MIRU-27R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CGAACGTTTGCGTGTTTGGT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19</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3192</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MIRU-31F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ACTGAGTCGACGGCCGATG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20</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3192</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MIRU-31R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CGGAACGTGCGTCGCAGCAT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21</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4348</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MIRU-39F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GCGGGCTTGTGTGGTGTGAC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22</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4348</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MIRU-39R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CGCTTGACGGTGTGTTGACT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23</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802</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MIRU-40F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GCCTCGGTCGCGCTGGTGTTG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24</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802</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MIRU-40R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TGCGGCTGTGGCTTGTGACT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25</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2165</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ETR-AF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CGGCGCTGTGACGCGTAGGTG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26</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2165</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ETR-AR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TGCGGCCGTGCTCGTCCCTTAC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27</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2461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ETR-BF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AGGCCGCGGTGCTGATGTGT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28</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2461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ETR-BR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CGCGGCCGCTGTCCAGTAGAC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29</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577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ETR-CF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GGACGTGGCGCGGCTGCT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30</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577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ETR-CR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GCGCTGGGCGTCGGGTTG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31</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424</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Mtub-04F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CTGGCGCGTGGCTCCGTATT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32</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424</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Mtub-04R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TGCGGGGTCGCGCTGGGTT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33</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1955</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Mtub-21F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AGTACCGCGTCGGCTGATGGT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lastRenderedPageBreak/>
              <w:t>34</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1955</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Mtub-21R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CAACGTTGCTCGGTCTTGTTG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35</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2401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Mtub-30F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CTGGTGGCGCGCTGCACTGT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36</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2401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Mtub-30R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ACTGAGCGCGGTGTTTGCTGT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37</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3690</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Mtub-39F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CGGTAGCGCGTTGTGACATGTA</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38</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3690</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Mtub-39R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TGACGCCGATGTGTCGACCTTT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39</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2347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Mtub-29F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GCGCCGATGTCGGGTGTAGGT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40</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2347</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Mtub-29R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TGCGGCCGCGTGTGACATTTG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41</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3171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Mtub-34F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CTGCACGGCTGCGTGGCGTTG</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42</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3171</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Mtub-34R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GCCTCGGTCCGGTCTTCCTTAC</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43</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2163b</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QUB-11bF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AGCGCTCGTGCAGCTCGGATT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44</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2163b</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QUB-11bR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TGCGCGCCCTTGCTGGCTGAT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45</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4052</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QUB-26F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ACCTCGGCGTGTGTCGACTGT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46</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4052</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QUB-26R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TGCGGGCTCCGACGCGCTGT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47</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4156</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QUB-4156cF</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GCGCAGCTGACCGTCGCTGTT</w:t>
            </w:r>
          </w:p>
        </w:tc>
      </w:tr>
      <w:tr w:rsidR="006D5374" w:rsidRPr="00162B88" w:rsidTr="00521A17">
        <w:trPr>
          <w:trHeight w:val="230"/>
          <w:jc w:val="center"/>
        </w:trPr>
        <w:tc>
          <w:tcPr>
            <w:tcW w:w="1271"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48</w:t>
            </w:r>
          </w:p>
        </w:tc>
        <w:tc>
          <w:tcPr>
            <w:tcW w:w="992"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4156</w:t>
            </w:r>
          </w:p>
        </w:tc>
        <w:tc>
          <w:tcPr>
            <w:tcW w:w="3975" w:type="dxa"/>
            <w:hideMark/>
          </w:tcPr>
          <w:p w:rsidR="006D5374" w:rsidRPr="00162B88" w:rsidRDefault="006D5374" w:rsidP="00B01C9F">
            <w:pPr>
              <w:rPr>
                <w:rFonts w:eastAsia="Times New Roman"/>
                <w:sz w:val="20"/>
                <w:szCs w:val="20"/>
                <w:lang w:eastAsia="fr-FR"/>
              </w:rPr>
            </w:pPr>
            <w:r w:rsidRPr="00162B88">
              <w:rPr>
                <w:rFonts w:eastAsia="Times New Roman"/>
                <w:sz w:val="20"/>
                <w:szCs w:val="20"/>
                <w:lang w:eastAsia="fr-FR"/>
              </w:rPr>
              <w:t>QUB-4156cR</w:t>
            </w:r>
          </w:p>
        </w:tc>
        <w:tc>
          <w:tcPr>
            <w:tcW w:w="4678" w:type="dxa"/>
            <w:hideMark/>
          </w:tcPr>
          <w:p w:rsidR="006D5374" w:rsidRPr="00162B88" w:rsidRDefault="006D5374" w:rsidP="00B01C9F">
            <w:pPr>
              <w:ind w:left="461"/>
              <w:rPr>
                <w:rFonts w:eastAsia="Times New Roman"/>
                <w:sz w:val="20"/>
                <w:szCs w:val="20"/>
                <w:lang w:eastAsia="fr-FR"/>
              </w:rPr>
            </w:pPr>
            <w:r w:rsidRPr="00162B88">
              <w:rPr>
                <w:rFonts w:eastAsia="Times New Roman"/>
                <w:sz w:val="20"/>
                <w:szCs w:val="20"/>
                <w:lang w:eastAsia="fr-FR"/>
              </w:rPr>
              <w:t>TGACGACCAGCTGTCGTCTAGT</w:t>
            </w:r>
          </w:p>
        </w:tc>
      </w:tr>
    </w:tbl>
    <w:p w:rsidR="00FB0062" w:rsidRDefault="00FB0062">
      <w:pPr>
        <w:rPr>
          <w:lang w:val="en-US"/>
        </w:rPr>
      </w:pPr>
    </w:p>
    <w:p w:rsidR="002C454B" w:rsidRDefault="00FB0062" w:rsidP="00FB0062">
      <w:pPr>
        <w:spacing w:line="259" w:lineRule="auto"/>
        <w:jc w:val="left"/>
        <w:rPr>
          <w:lang w:val="en-US"/>
        </w:rPr>
      </w:pPr>
      <w:r>
        <w:rPr>
          <w:lang w:val="en-US"/>
        </w:rPr>
        <w:br w:type="page"/>
      </w:r>
      <w:bookmarkStart w:id="0" w:name="_GoBack"/>
      <w:bookmarkEnd w:id="0"/>
    </w:p>
    <w:p w:rsidR="005055DE" w:rsidRDefault="002C454B">
      <w:pPr>
        <w:rPr>
          <w:b/>
          <w:bCs/>
          <w:lang w:val="en-US"/>
        </w:rPr>
      </w:pPr>
      <w:r w:rsidRPr="002C454B">
        <w:rPr>
          <w:b/>
          <w:bCs/>
          <w:lang w:val="en-US"/>
        </w:rPr>
        <w:lastRenderedPageBreak/>
        <w:t>Table S3. Comparison of Demographic and Clinical Characteristics across Nested Cohorts to Assess Selection Bias, Tétouan Province, Morocco, 2020–2023</w:t>
      </w:r>
    </w:p>
    <w:tbl>
      <w:tblPr>
        <w:tblStyle w:val="TableGrid"/>
        <w:tblW w:w="8552" w:type="dxa"/>
        <w:tblLook w:val="04A0" w:firstRow="1" w:lastRow="0" w:firstColumn="1" w:lastColumn="0" w:noHBand="0" w:noVBand="1"/>
      </w:tblPr>
      <w:tblGrid>
        <w:gridCol w:w="2140"/>
        <w:gridCol w:w="1170"/>
        <w:gridCol w:w="1052"/>
        <w:gridCol w:w="960"/>
        <w:gridCol w:w="1060"/>
        <w:gridCol w:w="1210"/>
        <w:gridCol w:w="960"/>
      </w:tblGrid>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Variable</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val="en-US" w:eastAsia="fr-FR"/>
              </w:rPr>
            </w:pPr>
            <w:r w:rsidRPr="002C454B">
              <w:rPr>
                <w:rFonts w:ascii="Calibri" w:eastAsia="Times New Roman" w:hAnsi="Calibri" w:cs="Calibri"/>
                <w:color w:val="000000"/>
                <w:sz w:val="22"/>
                <w:szCs w:val="22"/>
                <w:lang w:val="en-US" w:eastAsia="fr-FR"/>
              </w:rPr>
              <w:t>All Registered TB Patients (n=1,434)</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val="en-US" w:eastAsia="fr-FR"/>
              </w:rPr>
            </w:pPr>
            <w:r w:rsidRPr="002C454B">
              <w:rPr>
                <w:rFonts w:ascii="Calibri" w:eastAsia="Times New Roman" w:hAnsi="Calibri" w:cs="Calibri"/>
                <w:color w:val="000000"/>
                <w:sz w:val="22"/>
                <w:szCs w:val="22"/>
                <w:lang w:val="en-US" w:eastAsia="fr-FR"/>
              </w:rPr>
              <w:t>Patients with Sputum Collected (n=609)</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Culture-Positive Isolates (n=450)</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Isolates with Sufficient DNA (n=175)</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Final Genotyped Cohort (n=103)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p-value</w:t>
            </w:r>
          </w:p>
        </w:tc>
      </w:tr>
      <w:tr w:rsidR="002C454B" w:rsidRPr="002C454B" w:rsidTr="002C454B">
        <w:trPr>
          <w:trHeight w:val="300"/>
        </w:trPr>
        <w:tc>
          <w:tcPr>
            <w:tcW w:w="3310" w:type="dxa"/>
            <w:gridSpan w:val="2"/>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Age group (years)</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c>
          <w:tcPr>
            <w:tcW w:w="1060" w:type="dxa"/>
            <w:noWrap/>
            <w:hideMark/>
          </w:tcPr>
          <w:p w:rsidR="002C454B" w:rsidRPr="002C454B" w:rsidRDefault="002C454B" w:rsidP="002C454B">
            <w:pPr>
              <w:spacing w:line="240" w:lineRule="auto"/>
              <w:jc w:val="left"/>
              <w:rPr>
                <w:rFonts w:eastAsia="Times New Roman"/>
                <w:sz w:val="20"/>
                <w:szCs w:val="20"/>
                <w:lang w:eastAsia="fr-FR"/>
              </w:rPr>
            </w:pPr>
          </w:p>
        </w:tc>
        <w:tc>
          <w:tcPr>
            <w:tcW w:w="1210" w:type="dxa"/>
            <w:noWrap/>
            <w:hideMark/>
          </w:tcPr>
          <w:p w:rsidR="002C454B" w:rsidRPr="002C454B" w:rsidRDefault="002C454B" w:rsidP="002C454B">
            <w:pPr>
              <w:spacing w:line="240" w:lineRule="auto"/>
              <w:jc w:val="left"/>
              <w:rPr>
                <w:rFonts w:eastAsia="Times New Roman"/>
                <w:sz w:val="20"/>
                <w:szCs w:val="20"/>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 18</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42 (2.9)</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18 (3.0)</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12 (2.7)</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 (2.9)</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 (2.9)</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19–30</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389 (27.1)</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168 (27.6)</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128 (28.4)</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48 (27.4)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28 (27.2)</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31–50</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518 (36.1)</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220 (36.1)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162 (36.0)</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64 (36.6)</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38 (36.9)</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51–64</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253 (17.6)</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105 (17.2)</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78 (17.3)</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30 (17.1)</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18 (17.5)</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 65</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232 (16.2)</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98 (16.1)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70 (15.6)</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28 (16.0)</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16 (15.5)</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Mean age ± SD</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42.8 ± 17.9</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43.1 ± 17.6</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42.9 ± 17.4</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43.3 ± 17.2</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43.1 ± 17.5</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0.98ᵃ</w:t>
            </w: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Gender</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c>
          <w:tcPr>
            <w:tcW w:w="1052" w:type="dxa"/>
            <w:noWrap/>
            <w:hideMark/>
          </w:tcPr>
          <w:p w:rsidR="002C454B" w:rsidRPr="002C454B" w:rsidRDefault="002C454B" w:rsidP="002C454B">
            <w:pPr>
              <w:spacing w:line="240" w:lineRule="auto"/>
              <w:jc w:val="left"/>
              <w:rPr>
                <w:rFonts w:eastAsia="Times New Roman"/>
                <w:sz w:val="20"/>
                <w:szCs w:val="20"/>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c>
          <w:tcPr>
            <w:tcW w:w="1060" w:type="dxa"/>
            <w:noWrap/>
            <w:hideMark/>
          </w:tcPr>
          <w:p w:rsidR="002C454B" w:rsidRPr="002C454B" w:rsidRDefault="002C454B" w:rsidP="002C454B">
            <w:pPr>
              <w:spacing w:line="240" w:lineRule="auto"/>
              <w:jc w:val="left"/>
              <w:rPr>
                <w:rFonts w:eastAsia="Times New Roman"/>
                <w:sz w:val="20"/>
                <w:szCs w:val="20"/>
                <w:lang w:eastAsia="fr-FR"/>
              </w:rPr>
            </w:pPr>
          </w:p>
        </w:tc>
        <w:tc>
          <w:tcPr>
            <w:tcW w:w="1210" w:type="dxa"/>
            <w:noWrap/>
            <w:hideMark/>
          </w:tcPr>
          <w:p w:rsidR="002C454B" w:rsidRPr="002C454B" w:rsidRDefault="002C454B" w:rsidP="002C454B">
            <w:pPr>
              <w:spacing w:line="240" w:lineRule="auto"/>
              <w:jc w:val="left"/>
              <w:rPr>
                <w:rFonts w:eastAsia="Times New Roman"/>
                <w:sz w:val="20"/>
                <w:szCs w:val="20"/>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Male</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1,102 (76.8)</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468 (76.8)</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346 (76.9)</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134 (76.6)</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79 (76.7)</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Female</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332 (23.2)</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141 (23.2)</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104 (23.1)</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41 (23.4)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24 (23.3)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Male:Female ratio</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3.32:1</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3.32:1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3.33:1</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3.27:1</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3.29:1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0.99ᵇ</w:t>
            </w:r>
          </w:p>
        </w:tc>
      </w:tr>
      <w:tr w:rsidR="002C454B" w:rsidRPr="002C454B" w:rsidTr="002C454B">
        <w:trPr>
          <w:trHeight w:val="300"/>
        </w:trPr>
        <w:tc>
          <w:tcPr>
            <w:tcW w:w="3310" w:type="dxa"/>
            <w:gridSpan w:val="2"/>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Residential setting</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c>
          <w:tcPr>
            <w:tcW w:w="1060" w:type="dxa"/>
            <w:noWrap/>
            <w:hideMark/>
          </w:tcPr>
          <w:p w:rsidR="002C454B" w:rsidRPr="002C454B" w:rsidRDefault="002C454B" w:rsidP="002C454B">
            <w:pPr>
              <w:spacing w:line="240" w:lineRule="auto"/>
              <w:jc w:val="left"/>
              <w:rPr>
                <w:rFonts w:eastAsia="Times New Roman"/>
                <w:sz w:val="20"/>
                <w:szCs w:val="20"/>
                <w:lang w:eastAsia="fr-FR"/>
              </w:rPr>
            </w:pPr>
          </w:p>
        </w:tc>
        <w:tc>
          <w:tcPr>
            <w:tcW w:w="1210" w:type="dxa"/>
            <w:noWrap/>
            <w:hideMark/>
          </w:tcPr>
          <w:p w:rsidR="002C454B" w:rsidRPr="002C454B" w:rsidRDefault="002C454B" w:rsidP="002C454B">
            <w:pPr>
              <w:spacing w:line="240" w:lineRule="auto"/>
              <w:jc w:val="left"/>
              <w:rPr>
                <w:rFonts w:eastAsia="Times New Roman"/>
                <w:sz w:val="20"/>
                <w:szCs w:val="20"/>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Urban</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1,128 (78.7)</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479 (78.7)</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354 (78.7)</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138 (78.9)</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81 (78.6)</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Rural</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278 (19.4)</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118 (19.4)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88 (19.6)</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34 (19.4)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20 (19.4)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Incarcerated</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28 (1.9)</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12 (2.0)</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 (1.8)</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 (1.7)</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 (1.9)</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Urban:Rural ratio</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4.06:1</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4.06:1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4.02:1</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4.06:1</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4.05:1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0.99ᵇ</w:t>
            </w:r>
          </w:p>
        </w:tc>
      </w:tr>
      <w:tr w:rsidR="002C454B" w:rsidRPr="002C454B" w:rsidTr="002C454B">
        <w:trPr>
          <w:trHeight w:val="300"/>
        </w:trPr>
        <w:tc>
          <w:tcPr>
            <w:tcW w:w="3310" w:type="dxa"/>
            <w:gridSpan w:val="2"/>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TB treatment status</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c>
          <w:tcPr>
            <w:tcW w:w="1060" w:type="dxa"/>
            <w:noWrap/>
            <w:hideMark/>
          </w:tcPr>
          <w:p w:rsidR="002C454B" w:rsidRPr="002C454B" w:rsidRDefault="002C454B" w:rsidP="002C454B">
            <w:pPr>
              <w:spacing w:line="240" w:lineRule="auto"/>
              <w:jc w:val="left"/>
              <w:rPr>
                <w:rFonts w:eastAsia="Times New Roman"/>
                <w:sz w:val="20"/>
                <w:szCs w:val="20"/>
                <w:lang w:eastAsia="fr-FR"/>
              </w:rPr>
            </w:pPr>
          </w:p>
        </w:tc>
        <w:tc>
          <w:tcPr>
            <w:tcW w:w="1210" w:type="dxa"/>
            <w:noWrap/>
            <w:hideMark/>
          </w:tcPr>
          <w:p w:rsidR="002C454B" w:rsidRPr="002C454B" w:rsidRDefault="002C454B" w:rsidP="002C454B">
            <w:pPr>
              <w:spacing w:line="240" w:lineRule="auto"/>
              <w:jc w:val="left"/>
              <w:rPr>
                <w:rFonts w:eastAsia="Times New Roman"/>
                <w:sz w:val="20"/>
                <w:szCs w:val="20"/>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New case</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1,286 (89.7)</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546 (89.7)</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404 (89.8)</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157 (89.7)</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92 (89.3)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Relapse/Retreatment</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148 (10.3)</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63 (10.3)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46 (10.2)</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18 (10.3)</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 (10.7)</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New:Relapse ratio</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8.69:1</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8.67:1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8.78:1</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8.72:1</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8.36:1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0.95ᵇ</w:t>
            </w: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Treatment outcomeᶜ</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(n=1,398)</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(n=594)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(n=439)</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(n=171)</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(n=98)</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Cured</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968 (69.2)</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412 (69.4)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304 (69.2)</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118 (69.0)</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68 (69.4)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Treatment completed</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224 (16.0)</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95 (16.0)</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70 (16.0)</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28 (16.4)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16 (16.3)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Lost to follow-up</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118 (8.4)</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50 (8.4)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38 (8.7)</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14 (8.2)</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12 (12.2)</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Died</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88 (6.3)</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37 (6.2)</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27 (6.2)</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 (6.4)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 (2.0)</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Treatment successᵈ</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1,192 (85.3)</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507 (85.4)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374 (85.2)</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146 (85.4)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84 (85.7)</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0.99ᵇ</w:t>
            </w: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lastRenderedPageBreak/>
              <w:t>Unsuccessful outcomeᵉ</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206 (14.7)</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87 (14.6)</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65 (14.8)</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25 (14.6)</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14 (14.3)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6382" w:type="dxa"/>
            <w:gridSpan w:val="5"/>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GeneXpert MTB/RIF Ultra® bacterial loadᶠ</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c>
          <w:tcPr>
            <w:tcW w:w="960" w:type="dxa"/>
            <w:noWrap/>
            <w:hideMark/>
          </w:tcPr>
          <w:p w:rsidR="002C454B" w:rsidRPr="002C454B" w:rsidRDefault="002C454B" w:rsidP="002C454B">
            <w:pPr>
              <w:spacing w:line="240" w:lineRule="auto"/>
              <w:jc w:val="left"/>
              <w:rPr>
                <w:rFonts w:eastAsia="Times New Roman"/>
                <w:sz w:val="20"/>
                <w:szCs w:val="20"/>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Very low</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142 (23.3)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105 (23.3)</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40 (22.9)</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24 (23.3)</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Low</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183 (30.1)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136 (30.2)</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52 (29.7)</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31 (30.1)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Medium</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165 (27.1)</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122 (27.1)</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49 (28.0)</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28 (27.2)</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High</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119 (19.5)</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87 (19.3)</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34 (19.4)</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20 (19.4)</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p>
        </w:tc>
      </w:tr>
      <w:tr w:rsidR="002C454B" w:rsidRPr="002C454B" w:rsidTr="002C454B">
        <w:trPr>
          <w:trHeight w:val="300"/>
        </w:trPr>
        <w:tc>
          <w:tcPr>
            <w:tcW w:w="214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Missing/Not tested</w:t>
            </w:r>
          </w:p>
        </w:tc>
        <w:tc>
          <w:tcPr>
            <w:tcW w:w="117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052"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0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121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w:t>
            </w:r>
          </w:p>
        </w:tc>
        <w:tc>
          <w:tcPr>
            <w:tcW w:w="960" w:type="dxa"/>
            <w:noWrap/>
            <w:hideMark/>
          </w:tcPr>
          <w:p w:rsidR="002C454B" w:rsidRPr="002C454B" w:rsidRDefault="002C454B" w:rsidP="002C454B">
            <w:pPr>
              <w:spacing w:line="240" w:lineRule="auto"/>
              <w:jc w:val="left"/>
              <w:rPr>
                <w:rFonts w:ascii="Calibri" w:eastAsia="Times New Roman" w:hAnsi="Calibri" w:cs="Calibri"/>
                <w:color w:val="000000"/>
                <w:sz w:val="22"/>
                <w:szCs w:val="22"/>
                <w:lang w:eastAsia="fr-FR"/>
              </w:rPr>
            </w:pPr>
            <w:r w:rsidRPr="002C454B">
              <w:rPr>
                <w:rFonts w:ascii="Calibri" w:eastAsia="Times New Roman" w:hAnsi="Calibri" w:cs="Calibri"/>
                <w:color w:val="000000"/>
                <w:sz w:val="22"/>
                <w:szCs w:val="22"/>
                <w:lang w:eastAsia="fr-FR"/>
              </w:rPr>
              <w:t>0.31ᵍ</w:t>
            </w:r>
          </w:p>
        </w:tc>
      </w:tr>
    </w:tbl>
    <w:p w:rsidR="002C454B" w:rsidRPr="002C454B" w:rsidRDefault="002C454B" w:rsidP="002C454B">
      <w:pPr>
        <w:spacing w:before="240"/>
        <w:rPr>
          <w:lang w:val="en-US"/>
        </w:rPr>
      </w:pPr>
      <w:r w:rsidRPr="002C454B">
        <w:rPr>
          <w:lang w:val="en-US"/>
        </w:rPr>
        <w:t>Notes:</w:t>
      </w:r>
      <w:r>
        <w:rPr>
          <w:lang w:val="en-US"/>
        </w:rPr>
        <w:t xml:space="preserve"> </w:t>
      </w:r>
      <w:r w:rsidRPr="002C454B">
        <w:rPr>
          <w:lang w:val="en-US"/>
        </w:rPr>
        <w:t>ᵃ One-way ANOVA comparing mean age across all five cohorts; F = 0.04, p = 0.98.</w:t>
      </w:r>
      <w:r>
        <w:rPr>
          <w:lang w:val="en-US"/>
        </w:rPr>
        <w:t xml:space="preserve"> </w:t>
      </w:r>
      <w:r w:rsidRPr="002C454B">
        <w:rPr>
          <w:lang w:val="en-US"/>
        </w:rPr>
        <w:t>ᵇ Chi-squared test for trend or Fisher's exact test for proportions across cohorts; all p &gt; 0.05.</w:t>
      </w:r>
      <w:r>
        <w:rPr>
          <w:lang w:val="en-US"/>
        </w:rPr>
        <w:t xml:space="preserve"> </w:t>
      </w:r>
      <w:r w:rsidRPr="002C454B">
        <w:rPr>
          <w:lang w:val="en-US"/>
        </w:rPr>
        <w:t>ᶜ Treatment outcome data missing for 36 registered patients, 15 with sputum collected, 11 culture-positive, 4 with sufficient DNA, and 5 in the final genotyped cohort.</w:t>
      </w:r>
      <w:r>
        <w:rPr>
          <w:lang w:val="en-US"/>
        </w:rPr>
        <w:t xml:space="preserve"> </w:t>
      </w:r>
      <w:r w:rsidRPr="002C454B">
        <w:rPr>
          <w:lang w:val="en-US"/>
        </w:rPr>
        <w:t>ᵈ Treatment success defined as the combined proportion of patients classified as cured or having completed treatment.</w:t>
      </w:r>
      <w:r>
        <w:rPr>
          <w:lang w:val="en-US"/>
        </w:rPr>
        <w:t xml:space="preserve"> </w:t>
      </w:r>
      <w:r w:rsidRPr="002C454B">
        <w:rPr>
          <w:lang w:val="en-US"/>
        </w:rPr>
        <w:t>ᵉ Unsuccessful outcome includes lost to follow-up, died, treatment failure, or not evaluated.</w:t>
      </w:r>
      <w:r>
        <w:rPr>
          <w:lang w:val="en-US"/>
        </w:rPr>
        <w:t xml:space="preserve"> </w:t>
      </w:r>
      <w:r w:rsidRPr="002C454B">
        <w:rPr>
          <w:lang w:val="en-US"/>
        </w:rPr>
        <w:t>ᶠ Bacterial load categories as reported by GeneXpert MTB/RIF Ultra®: very low (10–99 bacilli/mL), low (100–999 bacilli/mL), medium (1,000–9,999 bacilli/mL), high (≥10,000 bacilli/mL). Data available for 587/609 (96.4%) patients with sputum tested; 22 patients had invalid/error results.</w:t>
      </w:r>
      <w:r>
        <w:rPr>
          <w:lang w:val="en-US"/>
        </w:rPr>
        <w:t xml:space="preserve"> </w:t>
      </w:r>
      <w:r w:rsidRPr="002C454B">
        <w:rPr>
          <w:lang w:val="en-US"/>
        </w:rPr>
        <w:t>ᵍ Chi-squared test comparing bacterial load distribution between final genotyped cohort (n=103) and non-genotyped patients with valid GeneXpert results (n=484); χ² = 3.72, df = 3, p = 0.31.</w:t>
      </w:r>
    </w:p>
    <w:sectPr w:rsidR="002C454B" w:rsidRPr="002C45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0EB" w:rsidRDefault="00E110EB" w:rsidP="00521A17">
      <w:pPr>
        <w:spacing w:after="0" w:line="240" w:lineRule="auto"/>
      </w:pPr>
      <w:r>
        <w:separator/>
      </w:r>
    </w:p>
  </w:endnote>
  <w:endnote w:type="continuationSeparator" w:id="0">
    <w:p w:rsidR="00E110EB" w:rsidRDefault="00E110EB" w:rsidP="0052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0EB" w:rsidRDefault="00E110EB" w:rsidP="00521A17">
      <w:pPr>
        <w:spacing w:after="0" w:line="240" w:lineRule="auto"/>
      </w:pPr>
      <w:r>
        <w:separator/>
      </w:r>
    </w:p>
  </w:footnote>
  <w:footnote w:type="continuationSeparator" w:id="0">
    <w:p w:rsidR="00E110EB" w:rsidRDefault="00E110EB" w:rsidP="00521A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CC7"/>
    <w:rsid w:val="000A3CC7"/>
    <w:rsid w:val="001B4461"/>
    <w:rsid w:val="002C454B"/>
    <w:rsid w:val="002F3344"/>
    <w:rsid w:val="00521A17"/>
    <w:rsid w:val="006D5374"/>
    <w:rsid w:val="006E2232"/>
    <w:rsid w:val="007E0BFB"/>
    <w:rsid w:val="0084053A"/>
    <w:rsid w:val="00A14B9A"/>
    <w:rsid w:val="00A2427A"/>
    <w:rsid w:val="00E110EB"/>
    <w:rsid w:val="00FB00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FFCC"/>
  <w15:chartTrackingRefBased/>
  <w15:docId w15:val="{D3CE4354-92DB-4CEB-9A15-D47EE443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BFB"/>
    <w:pPr>
      <w:spacing w:line="36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0BFB"/>
    <w:pPr>
      <w:spacing w:before="100" w:beforeAutospacing="1" w:after="100" w:afterAutospacing="1" w:line="240" w:lineRule="auto"/>
    </w:pPr>
    <w:rPr>
      <w:rFonts w:eastAsia="Times New Roman"/>
      <w:lang w:eastAsia="fr-FR"/>
    </w:rPr>
  </w:style>
  <w:style w:type="table" w:styleId="PlainTable1">
    <w:name w:val="Plain Table 1"/>
    <w:basedOn w:val="TableNormal"/>
    <w:uiPriority w:val="41"/>
    <w:rsid w:val="007E0B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6D5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A17"/>
    <w:rPr>
      <w:rFonts w:ascii="Times New Roman" w:hAnsi="Times New Roman" w:cs="Times New Roman"/>
      <w:sz w:val="24"/>
      <w:szCs w:val="24"/>
    </w:rPr>
  </w:style>
  <w:style w:type="paragraph" w:styleId="Footer">
    <w:name w:val="footer"/>
    <w:basedOn w:val="Normal"/>
    <w:link w:val="FooterChar"/>
    <w:uiPriority w:val="99"/>
    <w:unhideWhenUsed/>
    <w:rsid w:val="00521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A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544979">
      <w:bodyDiv w:val="1"/>
      <w:marLeft w:val="0"/>
      <w:marRight w:val="0"/>
      <w:marTop w:val="0"/>
      <w:marBottom w:val="0"/>
      <w:divBdr>
        <w:top w:val="none" w:sz="0" w:space="0" w:color="auto"/>
        <w:left w:val="none" w:sz="0" w:space="0" w:color="auto"/>
        <w:bottom w:val="none" w:sz="0" w:space="0" w:color="auto"/>
        <w:right w:val="none" w:sz="0" w:space="0" w:color="auto"/>
      </w:divBdr>
    </w:div>
    <w:div w:id="1671373461">
      <w:bodyDiv w:val="1"/>
      <w:marLeft w:val="0"/>
      <w:marRight w:val="0"/>
      <w:marTop w:val="0"/>
      <w:marBottom w:val="0"/>
      <w:divBdr>
        <w:top w:val="none" w:sz="0" w:space="0" w:color="auto"/>
        <w:left w:val="none" w:sz="0" w:space="0" w:color="auto"/>
        <w:bottom w:val="none" w:sz="0" w:space="0" w:color="auto"/>
        <w:right w:val="none" w:sz="0" w:space="0" w:color="auto"/>
      </w:divBdr>
      <w:divsChild>
        <w:div w:id="835415657">
          <w:marLeft w:val="0"/>
          <w:marRight w:val="0"/>
          <w:marTop w:val="0"/>
          <w:marBottom w:val="240"/>
          <w:divBdr>
            <w:top w:val="none" w:sz="0" w:space="0" w:color="auto"/>
            <w:left w:val="none" w:sz="0" w:space="0" w:color="auto"/>
            <w:bottom w:val="none" w:sz="0" w:space="0" w:color="auto"/>
            <w:right w:val="none" w:sz="0" w:space="0" w:color="auto"/>
          </w:divBdr>
        </w:div>
        <w:div w:id="1708674539">
          <w:marLeft w:val="0"/>
          <w:marRight w:val="0"/>
          <w:marTop w:val="0"/>
          <w:marBottom w:val="240"/>
          <w:divBdr>
            <w:top w:val="none" w:sz="0" w:space="0" w:color="auto"/>
            <w:left w:val="none" w:sz="0" w:space="0" w:color="auto"/>
            <w:bottom w:val="none" w:sz="0" w:space="0" w:color="auto"/>
            <w:right w:val="none" w:sz="0" w:space="0" w:color="auto"/>
          </w:divBdr>
        </w:div>
        <w:div w:id="1098065742">
          <w:marLeft w:val="0"/>
          <w:marRight w:val="0"/>
          <w:marTop w:val="0"/>
          <w:marBottom w:val="240"/>
          <w:divBdr>
            <w:top w:val="none" w:sz="0" w:space="0" w:color="auto"/>
            <w:left w:val="none" w:sz="0" w:space="0" w:color="auto"/>
            <w:bottom w:val="none" w:sz="0" w:space="0" w:color="auto"/>
            <w:right w:val="none" w:sz="0" w:space="0" w:color="auto"/>
          </w:divBdr>
        </w:div>
        <w:div w:id="1753158730">
          <w:marLeft w:val="0"/>
          <w:marRight w:val="0"/>
          <w:marTop w:val="0"/>
          <w:marBottom w:val="240"/>
          <w:divBdr>
            <w:top w:val="none" w:sz="0" w:space="0" w:color="auto"/>
            <w:left w:val="none" w:sz="0" w:space="0" w:color="auto"/>
            <w:bottom w:val="none" w:sz="0" w:space="0" w:color="auto"/>
            <w:right w:val="none" w:sz="0" w:space="0" w:color="auto"/>
          </w:divBdr>
        </w:div>
        <w:div w:id="1996566991">
          <w:marLeft w:val="0"/>
          <w:marRight w:val="0"/>
          <w:marTop w:val="0"/>
          <w:marBottom w:val="240"/>
          <w:divBdr>
            <w:top w:val="none" w:sz="0" w:space="0" w:color="auto"/>
            <w:left w:val="none" w:sz="0" w:space="0" w:color="auto"/>
            <w:bottom w:val="none" w:sz="0" w:space="0" w:color="auto"/>
            <w:right w:val="none" w:sz="0" w:space="0" w:color="auto"/>
          </w:divBdr>
        </w:div>
        <w:div w:id="1615939412">
          <w:marLeft w:val="0"/>
          <w:marRight w:val="0"/>
          <w:marTop w:val="0"/>
          <w:marBottom w:val="240"/>
          <w:divBdr>
            <w:top w:val="none" w:sz="0" w:space="0" w:color="auto"/>
            <w:left w:val="none" w:sz="0" w:space="0" w:color="auto"/>
            <w:bottom w:val="none" w:sz="0" w:space="0" w:color="auto"/>
            <w:right w:val="none" w:sz="0" w:space="0" w:color="auto"/>
          </w:divBdr>
        </w:div>
        <w:div w:id="293371195">
          <w:marLeft w:val="0"/>
          <w:marRight w:val="0"/>
          <w:marTop w:val="0"/>
          <w:marBottom w:val="240"/>
          <w:divBdr>
            <w:top w:val="none" w:sz="0" w:space="0" w:color="auto"/>
            <w:left w:val="none" w:sz="0" w:space="0" w:color="auto"/>
            <w:bottom w:val="none" w:sz="0" w:space="0" w:color="auto"/>
            <w:right w:val="none" w:sz="0" w:space="0" w:color="auto"/>
          </w:divBdr>
        </w:div>
      </w:divsChild>
    </w:div>
    <w:div w:id="212423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1038</Words>
  <Characters>5709</Characters>
  <Application>Microsoft Office Word</Application>
  <DocSecurity>0</DocSecurity>
  <Lines>47</Lines>
  <Paragraphs>13</Paragraphs>
  <ScaleCrop>false</ScaleCrop>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Cepheid-Admin</dc:creator>
  <cp:keywords/>
  <dc:description/>
  <cp:lastModifiedBy>Cepheid-Admin</cp:lastModifiedBy>
  <cp:revision>6</cp:revision>
  <dcterms:created xsi:type="dcterms:W3CDTF">2026-05-02T13:03:00Z</dcterms:created>
  <dcterms:modified xsi:type="dcterms:W3CDTF">2026-06-15T17:33:00Z</dcterms:modified>
</cp:coreProperties>
</file>