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765" w14:textId="77777777" w:rsidR="00266235" w:rsidRPr="00030C90" w:rsidRDefault="00266235" w:rsidP="00266235">
      <w:pPr>
        <w:pStyle w:val="Heading1"/>
        <w:spacing w:before="0" w:line="276" w:lineRule="auto"/>
        <w:rPr>
          <w:rFonts w:ascii="Times New Roman" w:hAnsi="Times New Roman" w:cs="Times New Roman"/>
        </w:rPr>
      </w:pPr>
      <w:r w:rsidRPr="00030C90">
        <w:rPr>
          <w:rFonts w:ascii="Times New Roman" w:eastAsia="Times New Roman" w:hAnsi="Times New Roman" w:cs="Times New Roman"/>
        </w:rPr>
        <w:t>Supplementary information</w:t>
      </w:r>
    </w:p>
    <w:p w14:paraId="6B1FCFAB" w14:textId="77777777" w:rsidR="00266235" w:rsidRPr="00030C90" w:rsidRDefault="00266235" w:rsidP="00266235">
      <w:pPr>
        <w:spacing w:line="276" w:lineRule="auto"/>
        <w:rPr>
          <w:rFonts w:cs="Times New Roman"/>
        </w:rPr>
      </w:pPr>
      <w:r w:rsidRPr="00030C90">
        <w:rPr>
          <w:rFonts w:cs="Times New Roman"/>
        </w:rPr>
        <w:t>Online Resource 1 includes seven internal sections: S1, data construction and missingness audit; S2, metadata and data dictionary; S3, de-identified detailed case-record structure; S4, robustness and sensitivity materials; S5, AuthorshipTrack software information; S6, software user guide and procedural manual; and S7, ethics and data-governance documentation.</w:t>
      </w:r>
    </w:p>
    <w:p w14:paraId="3E6EB2E1" w14:textId="77777777" w:rsidR="00266235" w:rsidRPr="00030C90" w:rsidRDefault="00266235" w:rsidP="00266235">
      <w:pPr>
        <w:spacing w:line="276" w:lineRule="auto"/>
        <w:rPr>
          <w:rFonts w:cs="Times New Roman"/>
        </w:rPr>
      </w:pPr>
      <w:r w:rsidRPr="00030C90">
        <w:rPr>
          <w:rFonts w:cs="Times New Roman"/>
        </w:rPr>
        <w:t>Online Resource 1 contains the combined supplementary materials for this article. The main manuscript is designed to be self-contained: it presents the research problem, five-signal methodological framework, operational formulae, evidence-layer design, core validation results, interpretive boundaries and conclusion. Online Resource 1 strengthens transparency, auditability and reuse; it is not required for the article to form a complete argument.</w:t>
      </w:r>
    </w:p>
    <w:p w14:paraId="37D140F9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35"/>
    <w:rsid w:val="000C4033"/>
    <w:rsid w:val="00106D27"/>
    <w:rsid w:val="00173ED8"/>
    <w:rsid w:val="00266235"/>
    <w:rsid w:val="002F50B1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AC0F"/>
  <w15:chartTrackingRefBased/>
  <w15:docId w15:val="{D9D8AFC2-42D3-476B-9DF8-47481730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35"/>
    <w:pPr>
      <w:spacing w:after="120" w:line="360" w:lineRule="auto"/>
      <w:jc w:val="both"/>
    </w:pPr>
    <w:rPr>
      <w:rFonts w:ascii="Times New Roman" w:eastAsia="Times New Roman" w:hAnsi="Times New Roman"/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23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23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23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23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23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235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235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235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235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23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6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23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6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235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6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23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6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2026-07-16T12:34:00Z</dcterms:created>
  <dcterms:modified xsi:type="dcterms:W3CDTF">2026-07-16T12:34:00Z</dcterms:modified>
</cp:coreProperties>
</file>