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E54AB">
      <w:pPr>
        <w:pStyle w:val="52"/>
        <w:rPr>
          <w:b w:val="0"/>
        </w:rPr>
      </w:pPr>
      <w:r>
        <w:t>Supplementary Material</w:t>
      </w:r>
    </w:p>
    <w:p w14:paraId="07970E94">
      <w:pPr>
        <w:pStyle w:val="4"/>
      </w:pPr>
      <w:bookmarkStart w:id="0" w:name="_GoBack"/>
      <w:bookmarkEnd w:id="0"/>
      <w:r>
        <w:t>Supplementary Tables</w:t>
      </w:r>
    </w:p>
    <w:p w14:paraId="3B1843DB">
      <w:pPr>
        <w:pStyle w:val="17"/>
        <w:keepNext w:val="0"/>
        <w:keepLines w:val="0"/>
        <w:widowControl/>
        <w:suppressLineNumbers w:val="0"/>
      </w:pPr>
      <w:r>
        <w:rPr>
          <w:rStyle w:val="23"/>
        </w:rPr>
        <w:t>Supplementary Table 1.</w:t>
      </w:r>
      <w:r>
        <w:t xml:space="preserve"> List of lipotoxicity-related genes included in this study. </w:t>
      </w:r>
    </w:p>
    <w:p w14:paraId="53974721">
      <w:pPr>
        <w:pStyle w:val="17"/>
        <w:keepNext w:val="0"/>
        <w:keepLines w:val="0"/>
        <w:widowControl/>
        <w:suppressLineNumbers w:val="0"/>
      </w:pPr>
      <w:r>
        <w:rPr>
          <w:rStyle w:val="23"/>
        </w:rPr>
        <w:t>Supplementary Table 2.</w:t>
      </w:r>
      <w:r>
        <w:t xml:space="preserve"> Primer sequences used for RT-qPCR validation. </w:t>
      </w:r>
    </w:p>
    <w:p w14:paraId="33DB6554">
      <w:pPr>
        <w:pStyle w:val="17"/>
        <w:keepNext w:val="0"/>
        <w:keepLines w:val="0"/>
        <w:widowControl/>
        <w:suppressLineNumbers w:val="0"/>
      </w:pPr>
      <w:r>
        <w:rPr>
          <w:rStyle w:val="23"/>
        </w:rPr>
        <w:t>Supplementary Table 3.</w:t>
      </w:r>
      <w:r>
        <w:t xml:space="preserve"> Gene Ontology and Kyoto Encyclopedia of Genes and Genomes enrichment results of the 28 lipotoxicity-related intersection genes.</w:t>
      </w:r>
    </w:p>
    <w:p w14:paraId="0CCD7F2A">
      <w:pPr>
        <w:pStyle w:val="17"/>
        <w:keepNext w:val="0"/>
        <w:keepLines w:val="0"/>
        <w:widowControl/>
        <w:suppressLineNumbers w:val="0"/>
      </w:pPr>
      <w:r>
        <w:rPr>
          <w:rStyle w:val="23"/>
        </w:rPr>
        <w:t>Supplementary Table 4.</w:t>
      </w:r>
      <w:r>
        <w:t xml:space="preserve"> Gene set enrichment analysis results of APRT and S100A8. </w:t>
      </w:r>
    </w:p>
    <w:p w14:paraId="4BCC3AA2">
      <w:pPr>
        <w:pStyle w:val="17"/>
        <w:keepNext w:val="0"/>
        <w:keepLines w:val="0"/>
        <w:widowControl/>
        <w:suppressLineNumbers w:val="0"/>
      </w:pPr>
      <w:r>
        <w:rPr>
          <w:rStyle w:val="23"/>
        </w:rPr>
        <w:t>Supplementary Table 5.</w:t>
      </w:r>
      <w:r>
        <w:t xml:space="preserve"> Correlation analysis between APRT or S100A8 and differentially infiltrating immune cell types. </w:t>
      </w:r>
    </w:p>
    <w:p w14:paraId="1B9BDF49">
      <w:pPr>
        <w:pStyle w:val="17"/>
        <w:keepNext w:val="0"/>
        <w:keepLines w:val="0"/>
        <w:widowControl/>
        <w:suppressLineNumbers w:val="0"/>
      </w:pPr>
      <w:r>
        <w:rPr>
          <w:rStyle w:val="23"/>
        </w:rPr>
        <w:t>Supplementary Table 6.</w:t>
      </w:r>
      <w:r>
        <w:t xml:space="preserve"> Functional pathway enrichment results of the six macrophage subclusters identified by single-cell RNA sequencing analysis. </w:t>
      </w:r>
    </w:p>
    <w:p w14:paraId="58F1AED1">
      <w:pPr>
        <w:spacing w:before="240"/>
      </w:pP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085E15EB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0pt;margin-top:0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D054D2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EDBA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  <w:color w:val="A6A6A6" w:themeColor="background1" w:themeShade="A6"/>
        <w:lang w:val="en-GB" w:eastAsia="en-GB"/>
      </w:rPr>
      <w:drawing>
        <wp:inline distT="0" distB="0" distL="0" distR="0">
          <wp:extent cx="1382395" cy="496570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attachedTemplate r:id="rId1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77A1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uiPriority w:val="99"/>
    <w:rPr>
      <w:vertAlign w:val="superscript"/>
    </w:rPr>
  </w:style>
  <w:style w:type="character" w:customStyle="1" w:styleId="31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6.xml"/><Relationship Id="rId15" Type="http://schemas.openxmlformats.org/officeDocument/2006/relationships/customXml" Target="../customXml/item5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/>
</ds:datastoreItem>
</file>

<file path=customXml/itemProps3.xml><?xml version="1.0" encoding="utf-8"?>
<ds:datastoreItem xmlns:ds="http://schemas.openxmlformats.org/officeDocument/2006/customXml" ds:itemID="{4B2E0E22-D442-4EBE-AAA2-EDC8871E7B41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114314AF-3C36-4C2C-B599-40A76C6FFFC1}">
  <ds:schemaRefs/>
</ds:datastoreItem>
</file>

<file path=customXml/itemProps6.xml><?xml version="1.0" encoding="utf-8"?>
<ds:datastoreItem xmlns:ds="http://schemas.openxmlformats.org/officeDocument/2006/customXml" ds:itemID="{DFF441E3-103C-4487-877D-08CD22337C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1</Pages>
  <Words>125</Words>
  <Characters>695</Characters>
  <Lines>6</Lines>
  <Paragraphs>1</Paragraphs>
  <TotalTime>0</TotalTime>
  <ScaleCrop>false</ScaleCrop>
  <LinksUpToDate>false</LinksUpToDate>
  <CharactersWithSpaces>815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噜噜</cp:lastModifiedBy>
  <cp:lastPrinted>2013-10-03T12:51:00Z</cp:lastPrinted>
  <dcterms:modified xsi:type="dcterms:W3CDTF">2026-04-16T09:44:43Z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TemplateDocerSaveRecord">
    <vt:lpwstr>eyJoZGlkIjoiMDhhMGRlNTUwZmFiOGEzYjkyOTMyYzk1OTVjOWZlMWUiLCJ1c2VySWQiOiIxNzk5OTcxNjYzIn0=</vt:lpwstr>
  </property>
  <property fmtid="{D5CDD505-2E9C-101B-9397-08002B2CF9AE}" pid="11" name="KSOProductBuildVer">
    <vt:lpwstr>2052-12.1.0.20305</vt:lpwstr>
  </property>
  <property fmtid="{D5CDD505-2E9C-101B-9397-08002B2CF9AE}" pid="12" name="ICV">
    <vt:lpwstr>17B61D68DFBC4504AF603E27D136AFAA_12</vt:lpwstr>
  </property>
</Properties>
</file>