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2"/>
        </w:rPr>
        <w:t>Supplementary Material</w:t>
      </w:r>
    </w:p>
    <w:p>
      <w:pPr>
        <w:jc w:val="center"/>
      </w:pPr>
      <w:r>
        <w:rPr>
          <w:rFonts w:ascii="Times New Roman" w:hAnsi="Times New Roman"/>
          <w:b/>
          <w:sz w:val="26"/>
        </w:rPr>
        <w:t>Multiscale Multimodal Connectomic Signatures of Methamphetamine-Predominant Use and Methadone-Maintained Status: mCCA+jICA Fusion and Interpretable Machine Learning</w:t>
      </w:r>
    </w:p>
    <w:p>
      <w:pPr>
        <w:jc w:val="center"/>
      </w:pPr>
      <w:r>
        <w:rPr>
          <w:rFonts w:ascii="Times New Roman" w:hAnsi="Times New Roman"/>
          <w:b w:val="0"/>
          <w:sz w:val="22"/>
        </w:rPr>
        <w:t>Prepared for: Brain Imaging and Behavior</w:t>
      </w:r>
    </w:p>
    <w:p>
      <w:r>
        <w:rPr>
          <w:rFonts w:ascii="Times New Roman" w:hAnsi="Times New Roman"/>
          <w:b w:val="0"/>
          <w:sz w:val="22"/>
        </w:rPr>
        <w:t>This supplementary file contains supporting methodological details and tables for peer review and publication alongside the main manuscript.</w:t>
      </w:r>
    </w:p>
    <w:p/>
    <w:p>
      <w:r>
        <w:rPr>
          <w:rFonts w:ascii="Times New Roman" w:hAnsi="Times New Roman"/>
          <w:b/>
          <w:sz w:val="26"/>
        </w:rPr>
        <w:t>Supplementary Methods</w:t>
      </w:r>
    </w:p>
    <w:p>
      <w:r>
        <w:rPr>
          <w:rFonts w:ascii="Times New Roman" w:hAnsi="Times New Roman"/>
          <w:b w:val="0"/>
          <w:sz w:val="22"/>
        </w:rPr>
        <w:t>All multimodal features were organized into three prespecified analytical scales: global/circuit-level, network-level, and hub-based nodal. Feature construction, cleaning, fusion, and machine-learning procedures followed the same definitions reported in the main manuscript. Additional numerical summaries are provided here to support reproducibility and reviewer assessment.</w:t>
      </w:r>
    </w:p>
    <w:p>
      <w:r>
        <w:rPr>
          <w:rFonts w:ascii="Times New Roman" w:hAnsi="Times New Roman"/>
          <w:b w:val="0"/>
          <w:sz w:val="22"/>
        </w:rPr>
        <w:t>mCCA+jICA models were run with corrected PCA3 settings. The global/circuit-level model retained 100% of nonzero eigenvalue structure in structural and static functional blocks and 90.74% in the ICA-derived dynamic block. The network-level model retained 99.86%, 98.68%, and 83.56% in structural, static functional, and dynamic blocks, respectively. The hub-based model retained 99.61%, 95.84%, and 69.92% in structural, static functional, and dynamic blocks, respectively.</w:t>
      </w:r>
    </w:p>
    <w:p>
      <w:r>
        <w:rPr>
          <w:rFonts w:ascii="Times New Roman" w:hAnsi="Times New Roman"/>
          <w:b w:val="0"/>
          <w:sz w:val="22"/>
        </w:rPr>
        <w:t>Machine-learning analyses were interpreted conservatively because the study lacked an external validation cohort. Primary models were regularized linear models. XGBoost and SHAP summaries were used as supplementary nonlinear feature-importance analyses when corresponding outputs were available. All data-dependent preprocessing, feature filtering, imputation, scaling, feature selection, tuning, and model fitting were performed within training folds only.</w:t>
      </w:r>
    </w:p>
    <w:p>
      <w:r>
        <w:rPr>
          <w:rFonts w:ascii="Times New Roman" w:hAnsi="Times New Roman"/>
          <w:b w:val="0"/>
          <w:sz w:val="22"/>
        </w:rPr>
        <w:t>No supplementary figures are included in this initial resubmission. The main manuscript contains all figures required for peer review; high-resolution original artwork files can be provided separately at acceptance or upon editorial request.</w:t>
      </w:r>
    </w:p>
    <w:p>
      <w:r>
        <w:br w:type="page"/>
      </w:r>
    </w:p>
    <w:p>
      <w:r>
        <w:rPr>
          <w:rFonts w:ascii="Times New Roman" w:hAnsi="Times New Roman"/>
          <w:b/>
          <w:sz w:val="26"/>
        </w:rPr>
        <w:t>Supplementary Tables</w:t>
      </w:r>
    </w:p>
    <w:p>
      <w:pPr>
        <w:pStyle w:val="Heading2"/>
      </w:pPr>
      <w:r>
        <w:rPr>
          <w:rFonts w:ascii="Times New Roman" w:hAnsi="Times New Roman"/>
          <w:b/>
          <w:sz w:val="24"/>
        </w:rPr>
        <w:t>Supplementary Table S1. Full demographic and clinical characteristics.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851"/>
        <w:gridCol w:w="2851"/>
        <w:gridCol w:w="2851"/>
        <w:gridCol w:w="2851"/>
        <w:gridCol w:w="2851"/>
      </w:tblGrid>
      <w:tr>
        <w:trPr>
          <w:tblHeader w:val="true"/>
        </w:trPr>
        <w:tc>
          <w:tcPr>
            <w:tcW w:type="dxa" w:w="28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Variable</w:t>
            </w:r>
          </w:p>
        </w:tc>
        <w:tc>
          <w:tcPr>
            <w:tcW w:type="dxa" w:w="28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HC (n=35)</w:t>
            </w:r>
          </w:p>
        </w:tc>
        <w:tc>
          <w:tcPr>
            <w:tcW w:type="dxa" w:w="28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MA (n=45)</w:t>
            </w:r>
          </w:p>
        </w:tc>
        <w:tc>
          <w:tcPr>
            <w:tcW w:type="dxa" w:w="28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MMT (n=30)</w:t>
            </w:r>
          </w:p>
        </w:tc>
        <w:tc>
          <w:tcPr>
            <w:tcW w:type="dxa" w:w="28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Notes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Age, years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32.24 +/- 0.44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32.07 +/- 0.99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32.27 +/- 0.59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Mean +/- SD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Sex, male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35 (100%)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45 (100%)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(100%)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All participants were male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Education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High school diploma or less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High school diploma or less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High school diploma or less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Constant in dataset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Methamphetamine-use duration, years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6.55 +/- 0.86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6.19 +/- 0.65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Clinical groups only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Methamphetamine dose, mg/day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44.91 +/- 7.03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200.17 +/- 17.91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Current daily dose in MA; prior daily dose before stable MMT in MMT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Methadone dose, mg/day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72 +/- 15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Stable dose; approximate range 60-90 mg/day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BACS total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40.04 +/- 0.23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24.93 +/- 0.23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32.04 +/- 0.21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Higher scores indicate better cognition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Verbal memory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15.99 +/- 0.18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9.93 +/- 0.25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12.99 +/- 0.18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BACS subdomain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Processing speed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12.99 +/- 0.18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7.94 +/- 0.24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10.50 +/- 0.19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BACS subdomain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Attention/working memory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10.02 +/- 0.21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6.99 +/- 0.21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8.56 +/- 0.17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BACS subdomain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Executive function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7.04 +/- 0.22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6.07 +/- 0.20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6.84 +/- 0.16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BACS subdomain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PANSS total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85.04 +/- 2.15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61.63 +/- 2.50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Clinical groups only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PANSS positive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25.11 +/- 2.15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16.00 +/- 1.17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Clinical groups only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PANSS negative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28.00 +/- 1.41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20.43 +/- 1.45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Clinical groups only</w:t>
            </w:r>
          </w:p>
        </w:tc>
      </w:tr>
      <w:tr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PANSS general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NA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31.93 +/- 1.12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25.20 +/- 0.89</w:t>
            </w:r>
          </w:p>
        </w:tc>
        <w:tc>
          <w:tcPr>
            <w:tcW w:type="dxa" w:w="2851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Clinical groups only</w:t>
            </w:r>
          </w:p>
        </w:tc>
      </w:tr>
    </w:tbl>
    <w:p/>
    <w:p>
      <w:pPr>
        <w:pStyle w:val="Heading2"/>
      </w:pPr>
      <w:r>
        <w:rPr>
          <w:rFonts w:ascii="Times New Roman" w:hAnsi="Times New Roman"/>
          <w:b/>
          <w:sz w:val="24"/>
        </w:rPr>
        <w:t>Supplementary Table S2. mCCA+jICA component-loading tests.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Scale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Contrast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Block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Components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p values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Interpretation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Global/circuit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HC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1, 3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1.30e-6; 1.08e-4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Strong clinical-control separation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Global/circuit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HC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StaticFC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3, 1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1.02e-6; 3.55e-4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Strong clinical-control separation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Global/circuit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HC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dICA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3, 1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3.14e-5; 0.0090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Dynamic contribution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Global/circuit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MMT vs HC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StaticFC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3, 1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1.31e-4; 0.0025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Persistent functional difference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Global/circuit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MMT vs HC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dICA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0.0015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Persistent dynamic difference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Global/circuit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MMT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SC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1, 3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0.043; 0.049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Weak structural difference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Network-level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MMT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SC_Network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4.60e-4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Network-level structural difference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Network-level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MMT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StaticFC_Network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1, 2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0.0155; 0.0419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Network-level static functional difference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Network-level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MMT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dICA_Network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0.0024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Network-level dynamic difference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Hub-based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MA vs MMT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SC_HubNodal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0.0199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Hub structural heterogeneity</w:t>
            </w:r>
          </w:p>
        </w:tc>
      </w:tr>
    </w:tbl>
    <w:p/>
    <w:p>
      <w:r>
        <w:br w:type="page"/>
      </w:r>
    </w:p>
    <w:p>
      <w:pPr>
        <w:pStyle w:val="Heading2"/>
      </w:pPr>
      <w:r>
        <w:rPr>
          <w:rFonts w:ascii="Times New Roman" w:hAnsi="Times New Roman"/>
          <w:b/>
          <w:sz w:val="24"/>
        </w:rPr>
        <w:t>Supplementary Table S3. Primary linear classification models.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</w:tblGrid>
      <w:tr>
        <w:trPr>
          <w:tblHeader w:val="true"/>
        </w:trPr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Contrast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Feature scale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Model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Accuracy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Balanced accuracy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Sensitivity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Specificity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F1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AUC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CV folds</w:t>
            </w:r>
          </w:p>
        </w:tc>
      </w:tr>
      <w:tr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MA vs HC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Network-level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Ridge logistic regression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0.983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0.982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0.993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0.971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0.986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1.000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15</w:t>
            </w:r>
          </w:p>
        </w:tc>
      </w:tr>
      <w:tr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MMT vs HC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Combined multiscale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Ridge logistic regression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0.964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0.964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0.967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0.962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0.962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0.983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15</w:t>
            </w:r>
          </w:p>
        </w:tc>
      </w:tr>
      <w:tr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MMT vs MA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Network-level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Ridge logistic regression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0.662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0.643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0.544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0.741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0.550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0.694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15</w:t>
            </w:r>
          </w:p>
        </w:tc>
      </w:tr>
      <w:tr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Three-class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Combined multiscale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Ridge multinomial logistic regression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0.755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0.735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--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--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0.729 macro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--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15</w:t>
            </w:r>
          </w:p>
        </w:tc>
      </w:tr>
    </w:tbl>
    <w:p/>
    <w:p>
      <w:pPr>
        <w:pStyle w:val="Heading2"/>
      </w:pPr>
      <w:r>
        <w:rPr>
          <w:rFonts w:ascii="Times New Roman" w:hAnsi="Times New Roman"/>
          <w:b/>
          <w:sz w:val="24"/>
        </w:rPr>
        <w:t>Supplementary Table S4. Complementary XGBoost/SHAP classification summaries.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37"/>
        <w:gridCol w:w="2037"/>
        <w:gridCol w:w="2037"/>
        <w:gridCol w:w="2037"/>
        <w:gridCol w:w="2037"/>
        <w:gridCol w:w="2037"/>
        <w:gridCol w:w="2037"/>
      </w:tblGrid>
      <w:tr>
        <w:trPr>
          <w:tblHeader w:val="true"/>
        </w:trPr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Task</w:t>
            </w:r>
          </w:p>
        </w:tc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Feature set</w:t>
            </w:r>
          </w:p>
        </w:tc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Accuracy</w:t>
            </w:r>
          </w:p>
        </w:tc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Balanced accuracy</w:t>
            </w:r>
          </w:p>
        </w:tc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F1</w:t>
            </w:r>
          </w:p>
        </w:tc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AUC</w:t>
            </w:r>
          </w:p>
        </w:tc>
        <w:tc>
          <w:tcPr>
            <w:tcW w:type="dxa" w:w="2037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Notes</w:t>
            </w:r>
          </w:p>
        </w:tc>
      </w:tr>
      <w:tr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MA vs HC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Network-level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0.925 +/- 0.052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0.924 +/- 0.049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0.932 +/- 0.051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0.981 +/- 0.026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Used for SHAP interpretation</w:t>
            </w:r>
          </w:p>
        </w:tc>
      </w:tr>
      <w:tr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MMT vs HC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Combined multiscale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0.938 +/- 0.064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0.936 +/- 0.069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0.926 +/- 0.082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0.981 +/- 0.026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Used for SHAP interpretation</w:t>
            </w:r>
          </w:p>
        </w:tc>
      </w:tr>
      <w:tr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MMT vs MA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Network-level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0.733 +/- 0.156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0.700 +/- 0.160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0.618 +/- 0.218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0.789 +/- 0.164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Moderate clinical-group separation</w:t>
            </w:r>
          </w:p>
        </w:tc>
      </w:tr>
      <w:tr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Three-class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Combined multiscale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0.673 +/- 0.067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0.658 +/- 0.060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0.653 +/- 0.062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0.867 +/- 0.049</w:t>
            </w:r>
          </w:p>
        </w:tc>
        <w:tc>
          <w:tcPr>
            <w:tcW w:type="dxa" w:w="2037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Exploratory multiclass model</w:t>
            </w:r>
          </w:p>
        </w:tc>
      </w:tr>
    </w:tbl>
    <w:p/>
    <w:p>
      <w:pPr>
        <w:pStyle w:val="Heading2"/>
      </w:pPr>
      <w:r>
        <w:rPr>
          <w:rFonts w:ascii="Times New Roman" w:hAnsi="Times New Roman"/>
          <w:b/>
          <w:sz w:val="24"/>
        </w:rPr>
        <w:t>Supplementary Table S5. Prediction of cognitive and clinical measures.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Outcome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Feature set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Model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Observed-predicted r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Mean CV R2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Interpretation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BACS total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Combined multiscale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XGBoost / SHAP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0.432 +/- 0.190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0.156 +/- 0.233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Weak-to-moderate; exploratory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PANSS total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Combined multiscale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XGBoost / SHAP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0.391 +/- 0.266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0.122 +/- 0.277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Weak-to-moderate; exploratory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PANSS positive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Combined multiscale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XGBoost / SHAP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0.355 +/- 0.247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0.079 +/- 0.267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Weak; exploratory</w:t>
            </w:r>
          </w:p>
        </w:tc>
      </w:tr>
    </w:tbl>
    <w:p/>
    <w:p>
      <w:r>
        <w:br w:type="page"/>
      </w:r>
    </w:p>
    <w:p>
      <w:pPr>
        <w:pStyle w:val="Heading2"/>
      </w:pPr>
      <w:r>
        <w:rPr>
          <w:rFonts w:ascii="Times New Roman" w:hAnsi="Times New Roman"/>
          <w:b/>
          <w:sz w:val="24"/>
        </w:rPr>
        <w:t>Supplementary Table S6. Exploratory adverse-burden prediction in the MMT group.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  <w:gridCol w:w="1426"/>
      </w:tblGrid>
      <w:tr>
        <w:trPr>
          <w:tblHeader w:val="true"/>
        </w:trPr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Outcome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Feature set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Model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Accuracy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Balanced accuracy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Sensitivity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Specificity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F1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AUC</w:t>
            </w:r>
          </w:p>
        </w:tc>
        <w:tc>
          <w:tcPr>
            <w:tcW w:type="dxa" w:w="14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Interpretation</w:t>
            </w:r>
          </w:p>
        </w:tc>
      </w:tr>
      <w:tr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Adverse clinical/cognitive burden composite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Hub-based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Ridge logistic regression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0.560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0.560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0.533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0.587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0.565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0.629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Primary exploratory linear model</w:t>
            </w:r>
          </w:p>
        </w:tc>
      </w:tr>
      <w:tr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Adverse clinical/cognitive burden composite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Hub-based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XGBoost / SHAP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0.500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0.500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--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--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0.440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0.578</w:t>
            </w:r>
          </w:p>
        </w:tc>
        <w:tc>
          <w:tcPr>
            <w:tcW w:type="dxa" w:w="142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Supplementary nonlinear SHAP model</w:t>
            </w:r>
          </w:p>
        </w:tc>
      </w:tr>
    </w:tbl>
    <w:p/>
    <w:p>
      <w:pPr>
        <w:pStyle w:val="Heading2"/>
      </w:pPr>
      <w:r>
        <w:rPr>
          <w:rFonts w:ascii="Times New Roman" w:hAnsi="Times New Roman"/>
          <w:b/>
          <w:sz w:val="24"/>
        </w:rPr>
        <w:t>Supplementary Table S7. Feature-block dimensions.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 w:val="true"/>
        </w:trPr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Scale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Structural block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Static functional block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ICA-derived dynamic block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Total features</w:t>
            </w:r>
          </w:p>
        </w:tc>
        <w:tc>
          <w:tcPr>
            <w:tcW w:type="dxa" w:w="237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4"/>
              </w:rPr>
              <w:t>Role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Global/circuit-level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11 global structural graph/coupling/small-world features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15 static functional graph/coupling/decoupling/small-world features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120 ICA-derived dynamic circuit features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146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Broad clinical-control fusion signature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Network-level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66 network-level structural graph summaries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66 network-level static functional graph summaries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528 dynamic network-level summaries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660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Large-scale network separation, including MA-MMT differences</w:t>
            </w:r>
          </w:p>
        </w:tc>
      </w:tr>
      <w:tr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Hub-based nodal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61 hub structural nodal features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48 hub static functional nodal features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384 hub dynamic ICA nodal features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493</w:t>
            </w:r>
          </w:p>
        </w:tc>
        <w:tc>
          <w:tcPr>
            <w:tcW w:type="dxa" w:w="2376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4"/>
              </w:rPr>
              <w:t>Hub-specific structural and dynamic heterogeneity</w:t>
            </w:r>
          </w:p>
        </w:tc>
      </w:tr>
    </w:tbl>
    <w:p/>
    <w:p>
      <w:r>
        <w:rPr>
          <w:rFonts w:ascii="Times New Roman" w:hAnsi="Times New Roman"/>
          <w:b w:val="0"/>
          <w:sz w:val="16"/>
        </w:rPr>
        <w:t>Note. Supplementary Table S7 has been harmonized with the corrected hub-nodal feature dimensions in the main manuscript after final feature cleaning and FIT-compatible implementation.</w:t>
      </w:r>
    </w:p>
    <w:p>
      <w:pPr>
        <w:pStyle w:val="Heading2"/>
      </w:pPr>
      <w:r>
        <w:rPr>
          <w:rFonts w:ascii="Times New Roman" w:hAnsi="Times New Roman"/>
          <w:b/>
          <w:sz w:val="24"/>
        </w:rPr>
        <w:t>Supplementary Table S8. Reviewer-sensitivity and leakage-control checklist.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128"/>
        <w:gridCol w:w="7128"/>
      </w:tblGrid>
      <w:tr>
        <w:trPr>
          <w:tblHeader w:val="true"/>
        </w:trPr>
        <w:tc>
          <w:tcPr>
            <w:tcW w:type="dxa" w:w="712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Issue</w:t>
            </w:r>
          </w:p>
        </w:tc>
        <w:tc>
          <w:tcPr>
            <w:tcW w:type="dxa" w:w="7128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sz w:val="16"/>
              </w:rPr>
              <w:t>How addressed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Cross-validation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All data-dependent operations were restricted to training folds; held-out data were not used for imputation, scaling, feature selection, tuning, or model fitting.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High AUC caution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The AUC = 1.000 finding for MA versus HC is reported as internally cross-validated and exploratory; no diagnostic biomarker claim is made.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External validation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No external validation cohort was available; this is explicitly acknowledged as a limitation.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Methadone interpretation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MMT is interpreted as cross-sectional clinical status in a real-world polysubstance context, not as evidence of causal methadone-induced recovery.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Sample specificity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The sample included adult men only; generalizability to women and broader populations requires replication.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Small MMT subgroup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Within-MMT adverse-burden analyses are exploratory because of the small subgroup size and cross-sectional outcome definition.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Multiple comparisons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False-discovery-rate correction and conservative interpretation were applied within relevant analytical families where appropriate.</w:t>
            </w:r>
          </w:p>
        </w:tc>
      </w:tr>
      <w:tr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Reproducibility</w:t>
            </w:r>
          </w:p>
        </w:tc>
        <w:tc>
          <w:tcPr>
            <w:tcW w:type="dxa" w:w="7128"/>
            <w:vAlign w:val="center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Key software, feature-block dimensions, cross-validation design, and major analysis settings are reported in the main manuscript and supplementary tables.</w:t>
            </w:r>
          </w:p>
        </w:tc>
      </w:tr>
    </w:tbl>
    <w:p/>
    <w:sectPr w:rsidR="00FC693F" w:rsidRPr="0006063C" w:rsidSect="00034616">
      <w:footerReference w:type="default" r:id="rId9"/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Supplementary Material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