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B1239" w14:textId="77777777" w:rsidR="00A9017F"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 xml:space="preserve">Supplementary </w:t>
      </w:r>
    </w:p>
    <w:p w14:paraId="121B6682" w14:textId="16226360"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Appendix. Statistical methods and contextual analyses</w:t>
      </w:r>
    </w:p>
    <w:p w14:paraId="40384C83"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Appendix S1. Drug-form-level uptake analysis among comparable drug forms</w:t>
      </w:r>
    </w:p>
    <w:p w14:paraId="4ADC1BC6"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S1.1 Analysis unit and aggregation</w:t>
      </w:r>
    </w:p>
    <w:p w14:paraId="79226121"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primary analytical unit was the drug form, defined as a unique combination of drug name and dosage form. This unit was used because the observed coexistence of originator/innovative products and generic/biosimilar products may differ across dosage forms under the same drug name.</w:t>
      </w:r>
    </w:p>
    <w:p w14:paraId="36F525E6" w14:textId="43BFD925"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For each drug form </w:t>
      </w:r>
      <m:oMath>
        <m:r>
          <w:rPr>
            <w:rFonts w:ascii="Cambria Math" w:hAnsi="Cambria Math" w:cs="Times New Roman"/>
            <w:sz w:val="24"/>
            <w:szCs w:val="24"/>
          </w:rPr>
          <m:t>d</m:t>
        </m:r>
      </m:oMath>
      <w:r w:rsidRPr="008B2194">
        <w:rPr>
          <w:rFonts w:ascii="Times New Roman" w:hAnsi="Times New Roman" w:cs="Times New Roman"/>
          <w:sz w:val="24"/>
          <w:szCs w:val="24"/>
        </w:rPr>
        <w:t>, sales volumes were aggregated across all study years from 2020 to 2024 and across all distribution channels, including hospitals, retail pharmacies, and online channels. The following quantities were calculated:</w:t>
      </w:r>
    </w:p>
    <w:p w14:paraId="5446D62C" w14:textId="77777777" w:rsidR="00832313" w:rsidRPr="00832313" w:rsidRDefault="00000000" w:rsidP="008B2194">
      <w:pPr>
        <w:spacing w:line="480" w:lineRule="auto"/>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r>
            <w:rPr>
              <w:rFonts w:ascii="Cambria Math" w:hAnsi="Cambria Math" w:cs="Times New Roman"/>
              <w:sz w:val="24"/>
              <w:szCs w:val="24"/>
            </w:rPr>
            <m:t>=</m:t>
          </m:r>
          <m:nary>
            <m:naryPr>
              <m:chr m:val="∑"/>
              <m:grow m:val="1"/>
              <m:subHide m:val="1"/>
              <m:supHide m:val="1"/>
              <m:ctrlPr>
                <w:rPr>
                  <w:rFonts w:ascii="Cambria Math" w:hAnsi="Cambria Math" w:cs="Times New Roman"/>
                  <w:sz w:val="24"/>
                  <w:szCs w:val="24"/>
                </w:rPr>
              </m:ctrlPr>
            </m:naryPr>
            <m:sub/>
            <m:sup/>
            <m:e>
              <m:r>
                <w:rPr>
                  <w:rFonts w:ascii="Cambria Math" w:hAnsi="Cambria Math" w:cs="Times New Roman"/>
                  <w:sz w:val="24"/>
                  <w:szCs w:val="24"/>
                </w:rPr>
                <m:t>s</m:t>
              </m:r>
            </m:e>
          </m:nary>
          <m:r>
            <w:rPr>
              <w:rFonts w:ascii="Cambria Math" w:hAnsi="Cambria Math" w:cs="Times New Roman"/>
              <w:sz w:val="24"/>
              <w:szCs w:val="24"/>
            </w:rPr>
            <m:t>ales</m:t>
          </m:r>
          <m:r>
            <m:rPr>
              <m:nor/>
            </m:rPr>
            <w:rPr>
              <w:rFonts w:ascii="Times New Roman" w:hAnsi="Times New Roman" w:cs="Times New Roman"/>
              <w:sz w:val="24"/>
              <w:szCs w:val="24"/>
            </w:rPr>
            <m:t> </m:t>
          </m:r>
          <m:r>
            <w:rPr>
              <w:rFonts w:ascii="Cambria Math" w:hAnsi="Cambria Math" w:cs="Times New Roman"/>
              <w:sz w:val="24"/>
              <w:szCs w:val="24"/>
            </w:rPr>
            <m:t>volum</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generic/biosimilar</m:t>
              </m:r>
            </m:sub>
          </m:sSub>
        </m:oMath>
      </m:oMathPara>
    </w:p>
    <w:p w14:paraId="4F357C66" w14:textId="77777777" w:rsidR="00832313" w:rsidRPr="00832313" w:rsidRDefault="00000000" w:rsidP="008B2194">
      <w:pPr>
        <w:spacing w:line="480" w:lineRule="auto"/>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Cambria Math" w:cs="Times New Roman"/>
              <w:sz w:val="24"/>
              <w:szCs w:val="24"/>
            </w:rPr>
            <m:t>=</m:t>
          </m:r>
          <m:nary>
            <m:naryPr>
              <m:chr m:val="∑"/>
              <m:grow m:val="1"/>
              <m:subHide m:val="1"/>
              <m:supHide m:val="1"/>
              <m:ctrlPr>
                <w:rPr>
                  <w:rFonts w:ascii="Cambria Math" w:hAnsi="Cambria Math" w:cs="Times New Roman"/>
                  <w:sz w:val="24"/>
                  <w:szCs w:val="24"/>
                </w:rPr>
              </m:ctrlPr>
            </m:naryPr>
            <m:sub/>
            <m:sup/>
            <m:e>
              <m:r>
                <w:rPr>
                  <w:rFonts w:ascii="Cambria Math" w:hAnsi="Cambria Math" w:cs="Times New Roman"/>
                  <w:sz w:val="24"/>
                  <w:szCs w:val="24"/>
                </w:rPr>
                <m:t>s</m:t>
              </m:r>
            </m:e>
          </m:nary>
          <m:r>
            <w:rPr>
              <w:rFonts w:ascii="Cambria Math" w:hAnsi="Cambria Math" w:cs="Times New Roman"/>
              <w:sz w:val="24"/>
              <w:szCs w:val="24"/>
            </w:rPr>
            <m:t>ales</m:t>
          </m:r>
          <m:r>
            <m:rPr>
              <m:nor/>
            </m:rPr>
            <w:rPr>
              <w:rFonts w:ascii="Times New Roman" w:hAnsi="Times New Roman" w:cs="Times New Roman"/>
              <w:sz w:val="24"/>
              <w:szCs w:val="24"/>
            </w:rPr>
            <m:t> </m:t>
          </m:r>
          <m:r>
            <w:rPr>
              <w:rFonts w:ascii="Cambria Math" w:hAnsi="Cambria Math" w:cs="Times New Roman"/>
              <w:sz w:val="24"/>
              <w:szCs w:val="24"/>
            </w:rPr>
            <m:t>volum</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originator/innovative</m:t>
              </m:r>
            </m:sub>
          </m:sSub>
        </m:oMath>
      </m:oMathPara>
    </w:p>
    <w:p w14:paraId="75BBCC95" w14:textId="147E5FFF" w:rsidR="008B2194" w:rsidRPr="008B2194" w:rsidRDefault="00000000" w:rsidP="008B2194">
      <w:pPr>
        <w:spacing w:line="480" w:lineRule="auto"/>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m:oMathPara>
    </w:p>
    <w:p w14:paraId="40A45CC6" w14:textId="5E6D28FC"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oMath>
      <w:r w:rsidRPr="008B2194">
        <w:rPr>
          <w:rFonts w:ascii="Times New Roman" w:hAnsi="Times New Roman" w:cs="Times New Roman"/>
          <w:sz w:val="24"/>
          <w:szCs w:val="24"/>
        </w:rPr>
        <w:t xml:space="preserve">denotes the total observed sales volume of generic/biosimilar products, </w:t>
      </w:r>
      <m:oMath>
        <m:sSub>
          <m:sSubPr>
            <m:ctrlPr>
              <w:rPr>
                <w:rFonts w:ascii="Cambria Math" w:hAnsi="Cambria Math" w:cs="Times New Roman"/>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Pr="008B2194">
        <w:rPr>
          <w:rFonts w:ascii="Times New Roman" w:hAnsi="Times New Roman" w:cs="Times New Roman"/>
          <w:sz w:val="24"/>
          <w:szCs w:val="24"/>
        </w:rPr>
        <w:t xml:space="preserve">denotes the total observed sales volume of originator/innovative products, and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d</m:t>
            </m:r>
          </m:sub>
        </m:sSub>
      </m:oMath>
      <w:r w:rsidRPr="008B2194">
        <w:rPr>
          <w:rFonts w:ascii="Times New Roman" w:hAnsi="Times New Roman" w:cs="Times New Roman"/>
          <w:sz w:val="24"/>
          <w:szCs w:val="24"/>
        </w:rPr>
        <w:t>denotes their combined volume.</w:t>
      </w:r>
    </w:p>
    <w:p w14:paraId="7C880074" w14:textId="33EEA75E"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Drug forms with </w:t>
      </w:r>
      <m:oMath>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r>
          <w:rPr>
            <w:rFonts w:ascii="Cambria Math" w:hAnsi="Cambria Math" w:cs="Times New Roman"/>
            <w:sz w:val="24"/>
            <w:szCs w:val="24"/>
          </w:rPr>
          <m:t>&gt;0</m:t>
        </m:r>
      </m:oMath>
      <w:r w:rsidRPr="008B2194">
        <w:rPr>
          <w:rFonts w:ascii="Times New Roman" w:hAnsi="Times New Roman" w:cs="Times New Roman"/>
          <w:sz w:val="24"/>
          <w:szCs w:val="24"/>
        </w:rPr>
        <w:t xml:space="preserve">and </w:t>
      </w:r>
      <m:oMath>
        <m:sSub>
          <m:sSubPr>
            <m:ctrlPr>
              <w:rPr>
                <w:rFonts w:ascii="Cambria Math" w:hAnsi="Cambria Math" w:cs="Times New Roman"/>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Cambria Math" w:cs="Times New Roman"/>
            <w:sz w:val="24"/>
            <w:szCs w:val="24"/>
          </w:rPr>
          <m:t>&gt;0</m:t>
        </m:r>
      </m:oMath>
      <w:r w:rsidRPr="008B2194">
        <w:rPr>
          <w:rFonts w:ascii="Times New Roman" w:hAnsi="Times New Roman" w:cs="Times New Roman"/>
          <w:sz w:val="24"/>
          <w:szCs w:val="24"/>
        </w:rPr>
        <w:t>were defined as comparable drug forms. The primary uptake analysis was restricted to these comparable drug forms.</w:t>
      </w:r>
    </w:p>
    <w:p w14:paraId="08864AE5"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S1.2 Uptake measure</w:t>
      </w:r>
    </w:p>
    <w:p w14:paraId="22F3E446"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For each comparable drug form, generic/biosimilar uptake was calculated as:</w:t>
      </w:r>
    </w:p>
    <w:p w14:paraId="018903EF" w14:textId="1DFB07A3" w:rsidR="008B2194" w:rsidRPr="008B2194" w:rsidRDefault="008B2194" w:rsidP="008B2194">
      <w:pPr>
        <w:spacing w:line="480" w:lineRule="auto"/>
        <w:rPr>
          <w:rFonts w:ascii="Times New Roman" w:hAnsi="Times New Roman" w:cs="Times New Roman"/>
          <w:sz w:val="24"/>
          <w:szCs w:val="24"/>
        </w:rPr>
      </w:pPr>
      <m:oMathPara>
        <m:oMath>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num>
            <m:den>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den>
          </m:f>
        </m:oMath>
      </m:oMathPara>
    </w:p>
    <w:p w14:paraId="0068ABA3"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lastRenderedPageBreak/>
        <w:t>This value represents the sales-volume share of generic/biosimilar products within the identifiable sales universe of originator/innovative and generic/biosimilar products for the same drug form.</w:t>
      </w:r>
    </w:p>
    <w:p w14:paraId="4A8D4E74"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This measure should not be interpreted as patient counts, prescription counts, treatment episodes, or whole-market share. Sales volumes were measured using the source database unit and were used to describe relative sales structure.</w:t>
      </w:r>
    </w:p>
    <w:p w14:paraId="2A078CFF"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S1.3 Therapeutic-area summary measures</w:t>
      </w:r>
    </w:p>
    <w:p w14:paraId="5342097A" w14:textId="77777777" w:rsidR="00832313" w:rsidRPr="00832313"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For each therapeutic area </w:t>
      </w:r>
      <m:oMath>
        <m:r>
          <w:rPr>
            <w:rFonts w:ascii="Cambria Math" w:hAnsi="Cambria Math" w:cs="Times New Roman"/>
            <w:sz w:val="24"/>
            <w:szCs w:val="24"/>
          </w:rPr>
          <m:t>a</m:t>
        </m:r>
      </m:oMath>
      <w:r w:rsidRPr="008B2194">
        <w:rPr>
          <w:rFonts w:ascii="Times New Roman" w:hAnsi="Times New Roman" w:cs="Times New Roman"/>
          <w:sz w:val="24"/>
          <w:szCs w:val="24"/>
        </w:rPr>
        <w:t>, the following summary measures were calculated among comparable drug forms:</w:t>
      </w:r>
      <m:oMath>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a</m:t>
            </m:r>
          </m:sub>
        </m:sSub>
        <m:r>
          <w:rPr>
            <w:rFonts w:ascii="Cambria Math" w:hAnsi="Cambria Math" w:cs="Times New Roman"/>
            <w:sz w:val="24"/>
            <w:szCs w:val="24"/>
          </w:rPr>
          <m:t>=N</m:t>
        </m:r>
        <m:d>
          <m:dPr>
            <m:ctrlPr>
              <w:rPr>
                <w:rFonts w:ascii="Cambria Math" w:hAnsi="Cambria Math" w:cs="Times New Roman"/>
                <w:sz w:val="24"/>
                <w:szCs w:val="24"/>
              </w:rPr>
            </m:ctrlPr>
          </m:dPr>
          <m:e>
            <m:r>
              <w:rPr>
                <w:rFonts w:ascii="Cambria Math" w:hAnsi="Cambria Math" w:cs="Times New Roman"/>
                <w:sz w:val="24"/>
                <w:szCs w:val="24"/>
              </w:rPr>
              <m:t>d∈a</m:t>
            </m:r>
          </m:e>
        </m:d>
        <m:r>
          <m:rPr>
            <m:sty m:val="p"/>
          </m:rPr>
          <w:rPr>
            <w:rFonts w:ascii="Cambria Math" w:hAnsi="Cambria Math" w:cs="Times New Roman" w:hint="eastAsia"/>
            <w:sz w:val="24"/>
            <w:szCs w:val="24"/>
          </w:rPr>
          <m:t>，</m:t>
        </m:r>
        <m:r>
          <w:rPr>
            <w:rFonts w:ascii="Cambria Math" w:hAnsi="Cambria Math" w:cs="Times New Roman"/>
            <w:sz w:val="24"/>
            <w:szCs w:val="24"/>
          </w:rPr>
          <m:t>media</m:t>
        </m:r>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a</m:t>
            </m:r>
          </m:sub>
        </m:sSub>
        <m:r>
          <w:rPr>
            <w:rFonts w:ascii="Cambria Math" w:hAnsi="Cambria Math" w:cs="Times New Roman"/>
            <w:sz w:val="24"/>
            <w:szCs w:val="24"/>
          </w:rPr>
          <m:t>=median</m:t>
        </m:r>
        <m:d>
          <m:dPr>
            <m:ctrlPr>
              <w:rPr>
                <w:rFonts w:ascii="Cambria Math" w:hAnsi="Cambria Math" w:cs="Times New Roman"/>
                <w:sz w:val="24"/>
                <w:szCs w:val="24"/>
              </w:rPr>
            </m:ctrlPr>
          </m:dPr>
          <m:e>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e>
        </m:d>
        <m:r>
          <w:rPr>
            <w:rFonts w:ascii="Cambria Math" w:hAnsi="Cambria Math" w:cs="Times New Roman"/>
            <w:sz w:val="24"/>
            <w:szCs w:val="24"/>
          </w:rPr>
          <m:t>, d∈a</m:t>
        </m:r>
      </m:oMath>
    </w:p>
    <w:p w14:paraId="05192F5A" w14:textId="77777777" w:rsidR="00832313" w:rsidRPr="00832313" w:rsidRDefault="00000000" w:rsidP="008B2194">
      <w:pPr>
        <w:spacing w:line="480" w:lineRule="auto"/>
        <w:rPr>
          <w:rFonts w:ascii="Times New Roman" w:hAnsi="Times New Roman" w:cs="Times New Roman"/>
          <w:sz w:val="24"/>
          <w:szCs w:val="24"/>
        </w:rPr>
      </w:pPr>
      <m:oMathPara>
        <m:oMath>
          <m:r>
            <w:rPr>
              <w:rFonts w:ascii="Cambria Math" w:hAnsi="Cambria Math" w:cs="Times New Roman"/>
              <w:sz w:val="24"/>
              <w:szCs w:val="24"/>
            </w:rPr>
            <m:t>IQ</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rPr>
            <m:t>=Q</m:t>
          </m:r>
          <m:sSub>
            <m:sSubPr>
              <m:ctrlPr>
                <w:rPr>
                  <w:rFonts w:ascii="Cambria Math" w:hAnsi="Cambria Math" w:cs="Times New Roman"/>
                  <w:sz w:val="24"/>
                  <w:szCs w:val="24"/>
                </w:rPr>
              </m:ctrlPr>
            </m:sSubPr>
            <m:e>
              <m:r>
                <w:rPr>
                  <w:rFonts w:ascii="Cambria Math" w:hAnsi="Cambria Math" w:cs="Times New Roman"/>
                  <w:sz w:val="24"/>
                  <w:szCs w:val="24"/>
                </w:rPr>
                <m:t>3</m:t>
              </m:r>
            </m:e>
            <m:sub>
              <m:r>
                <w:rPr>
                  <w:rFonts w:ascii="Cambria Math" w:hAnsi="Cambria Math" w:cs="Times New Roman"/>
                  <w:sz w:val="24"/>
                  <w:szCs w:val="24"/>
                </w:rPr>
                <m:t>a</m:t>
              </m:r>
            </m:sub>
          </m:sSub>
          <m:r>
            <w:rPr>
              <w:rFonts w:ascii="Cambria Math" w:hAnsi="Cambria Math" w:cs="Times New Roman"/>
              <w:sz w:val="24"/>
              <w:szCs w:val="24"/>
            </w:rPr>
            <m:t>-Q</m:t>
          </m:r>
          <m:sSub>
            <m:sSubPr>
              <m:ctrlPr>
                <w:rPr>
                  <w:rFonts w:ascii="Cambria Math" w:hAnsi="Cambria Math" w:cs="Times New Roman"/>
                  <w:sz w:val="24"/>
                  <w:szCs w:val="24"/>
                </w:rPr>
              </m:ctrlPr>
            </m:sSubPr>
            <m:e>
              <m:r>
                <w:rPr>
                  <w:rFonts w:ascii="Cambria Math" w:hAnsi="Cambria Math" w:cs="Times New Roman"/>
                  <w:sz w:val="24"/>
                  <w:szCs w:val="24"/>
                </w:rPr>
                <m:t>1</m:t>
              </m:r>
            </m:e>
            <m:sub>
              <m:r>
                <w:rPr>
                  <w:rFonts w:ascii="Cambria Math" w:hAnsi="Cambria Math" w:cs="Times New Roman"/>
                  <w:sz w:val="24"/>
                  <w:szCs w:val="24"/>
                </w:rPr>
                <m:t>a</m:t>
              </m:r>
            </m:sub>
          </m:sSub>
        </m:oMath>
      </m:oMathPara>
    </w:p>
    <w:p w14:paraId="15832AF2" w14:textId="4396A3DD" w:rsidR="008B2194" w:rsidRPr="008B2194" w:rsidRDefault="00000000" w:rsidP="008B2194">
      <w:pPr>
        <w:spacing w:line="480" w:lineRule="auto"/>
        <w:rPr>
          <w:rFonts w:ascii="Times New Roman" w:hAnsi="Times New Roman" w:cs="Times New Roman"/>
          <w:sz w:val="24"/>
          <w:szCs w:val="24"/>
        </w:rPr>
      </w:pPr>
      <m:oMathPara>
        <m:oMath>
          <m:r>
            <w:rPr>
              <w:rFonts w:ascii="Cambria Math" w:hAnsi="Cambria Math" w:cs="Times New Roman"/>
              <w:sz w:val="24"/>
              <w:szCs w:val="24"/>
            </w:rPr>
            <m:t>mea</m:t>
          </m:r>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unweighted,a</m:t>
              </m:r>
            </m:sub>
          </m:sSub>
          <m:r>
            <w:rPr>
              <w:rFonts w:ascii="Cambria Math" w:hAnsi="Cambria Math" w:cs="Times New Roman"/>
              <w:sz w:val="24"/>
              <w:szCs w:val="24"/>
            </w:rPr>
            <m:t>=mean</m:t>
          </m:r>
          <m:d>
            <m:dPr>
              <m:ctrlPr>
                <w:rPr>
                  <w:rFonts w:ascii="Cambria Math" w:hAnsi="Cambria Math" w:cs="Times New Roman"/>
                  <w:sz w:val="24"/>
                  <w:szCs w:val="24"/>
                </w:rPr>
              </m:ctrlPr>
            </m:dPr>
            <m:e>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e>
          </m:d>
          <m:r>
            <w:rPr>
              <w:rFonts w:ascii="Cambria Math" w:hAnsi="Cambria Math" w:cs="Times New Roman"/>
              <w:sz w:val="24"/>
              <w:szCs w:val="24"/>
            </w:rPr>
            <m:t>, d∈a</m:t>
          </m:r>
        </m:oMath>
      </m:oMathPara>
    </w:p>
    <w:p w14:paraId="64134860"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unweighted median, IQR, and mean describe the distribution of uptake across typical drug forms.</w:t>
      </w:r>
    </w:p>
    <w:p w14:paraId="52CC6922"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In addition, a volume-weighted uptake estimate was calculated as:</w:t>
      </w:r>
    </w:p>
    <w:p w14:paraId="06EA2A87" w14:textId="7D550EA1" w:rsidR="008B2194" w:rsidRPr="008B2194" w:rsidRDefault="008B2194" w:rsidP="008B2194">
      <w:pPr>
        <w:spacing w:line="480" w:lineRule="auto"/>
        <w:rPr>
          <w:rFonts w:ascii="Times New Roman" w:hAnsi="Times New Roman" w:cs="Times New Roman"/>
          <w:sz w:val="24"/>
          <w:szCs w:val="24"/>
        </w:rPr>
      </w:pPr>
      <m:oMathPara>
        <m:oMath>
          <m:r>
            <w:rPr>
              <w:rFonts w:ascii="Cambria Math" w:hAnsi="Cambria Math" w:cs="Times New Roman"/>
              <w:sz w:val="24"/>
              <w:szCs w:val="24"/>
            </w:rPr>
            <m:t>weighted</m:t>
          </m:r>
          <m:r>
            <m:rPr>
              <m:nor/>
            </m:rPr>
            <w:rPr>
              <w:rFonts w:ascii="Times New Roman" w:hAnsi="Times New Roman" w:cs="Times New Roman"/>
              <w:sz w:val="24"/>
              <w:szCs w:val="24"/>
            </w:rPr>
            <m:t> </m:t>
          </m:r>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r>
            <w:rPr>
              <w:rFonts w:ascii="Cambria Math" w:hAnsi="Cambria Math" w:cs="Times New Roman"/>
              <w:sz w:val="24"/>
              <w:szCs w:val="24"/>
            </w:rPr>
            <m:t>=</m:t>
          </m:r>
          <m:f>
            <m:fPr>
              <m:ctrlPr>
                <w:rPr>
                  <w:rFonts w:ascii="Cambria Math" w:hAnsi="Cambria Math" w:cs="Times New Roman"/>
                  <w:sz w:val="24"/>
                  <w:szCs w:val="24"/>
                </w:rPr>
              </m:ctrlPr>
            </m:fPr>
            <m:num>
              <m:nary>
                <m:naryPr>
                  <m:chr m:val="∑"/>
                  <m:limLoc m:val="undOvr"/>
                  <m:grow m:val="1"/>
                  <m:supHide m:val="1"/>
                  <m:ctrlPr>
                    <w:rPr>
                      <w:rFonts w:ascii="Cambria Math" w:hAnsi="Cambria Math" w:cs="Times New Roman"/>
                      <w:sz w:val="24"/>
                      <w:szCs w:val="24"/>
                    </w:rPr>
                  </m:ctrlPr>
                </m:naryPr>
                <m:sub>
                  <m:r>
                    <w:rPr>
                      <w:rFonts w:ascii="Cambria Math" w:hAnsi="Cambria Math" w:cs="Times New Roman"/>
                      <w:sz w:val="24"/>
                      <w:szCs w:val="24"/>
                    </w:rPr>
                    <m:t>d∈a</m:t>
                  </m:r>
                </m:sub>
                <m:sup/>
                <m:e>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e>
              </m:nary>
            </m:num>
            <m:den>
              <m:nary>
                <m:naryPr>
                  <m:chr m:val="∑"/>
                  <m:limLoc m:val="undOvr"/>
                  <m:grow m:val="1"/>
                  <m:supHide m:val="1"/>
                  <m:ctrlPr>
                    <w:rPr>
                      <w:rFonts w:ascii="Cambria Math" w:hAnsi="Cambria Math" w:cs="Times New Roman"/>
                      <w:sz w:val="24"/>
                      <w:szCs w:val="24"/>
                    </w:rPr>
                  </m:ctrlPr>
                </m:naryPr>
                <m:sub>
                  <m:r>
                    <w:rPr>
                      <w:rFonts w:ascii="Cambria Math" w:hAnsi="Cambria Math" w:cs="Times New Roman"/>
                      <w:sz w:val="24"/>
                      <w:szCs w:val="24"/>
                    </w:rPr>
                    <m:t>d∈a</m:t>
                  </m:r>
                </m:sub>
                <m:sup/>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d</m:t>
                      </m:r>
                    </m:sub>
                  </m:sSub>
                </m:e>
              </m:nary>
            </m:den>
          </m:f>
        </m:oMath>
      </m:oMathPara>
    </w:p>
    <w:p w14:paraId="606E231B"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volume-weighted estimate describes the sales-volume structure within the therapeutic area and aligns with the main manuscript’s aggregation principle of summing underlying sales volumes before calculating percentages.</w:t>
      </w:r>
    </w:p>
    <w:p w14:paraId="1729CBE0" w14:textId="5CDEB400"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Both unweighted and weighted estimates were reported because they answer different questions. The unweighted estimates describe the typical drug form, whereas the weighted estimates describe the sales-volume structure and may be influenced by high-volume products.</w:t>
      </w:r>
    </w:p>
    <w:p w14:paraId="397F020E"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lastRenderedPageBreak/>
        <w:t>Appendix S2. Therapeutic-area comparisons of drug-form-level uptake</w:t>
      </w:r>
    </w:p>
    <w:p w14:paraId="587E96F8"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S2.1 Overall comparison</w:t>
      </w:r>
    </w:p>
    <w:p w14:paraId="0B7297AA"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Therapeutic-area differences in drug-form-level uptake were first assessed using the Kruskal-Wallis test among comparable drug forms.</w:t>
      </w:r>
    </w:p>
    <w:p w14:paraId="463119FE" w14:textId="5C3FC1B9"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The null hypothesis was that the distribution of </w:t>
      </w:r>
      <m:oMath>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oMath>
      <w:r w:rsidRPr="008B2194">
        <w:rPr>
          <w:rFonts w:ascii="Times New Roman" w:hAnsi="Times New Roman" w:cs="Times New Roman"/>
          <w:sz w:val="24"/>
          <w:szCs w:val="24"/>
        </w:rPr>
        <w:t>was the same across therapeutic areas. The test was used as an exploratory structure-screening tool rather than as strict confirmatory inference.</w:t>
      </w:r>
    </w:p>
    <w:p w14:paraId="64BEF8D1"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following quantities were reported:</w:t>
      </w:r>
    </w:p>
    <w:p w14:paraId="0D5C5813" w14:textId="77777777" w:rsidR="008B2194" w:rsidRPr="008B2194" w:rsidRDefault="008B2194" w:rsidP="008B2194">
      <w:pPr>
        <w:numPr>
          <w:ilvl w:val="0"/>
          <w:numId w:val="1"/>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Kruskal-Wallis H statistic; </w:t>
      </w:r>
    </w:p>
    <w:p w14:paraId="2AAB84D4" w14:textId="77777777" w:rsidR="008B2194" w:rsidRPr="008B2194" w:rsidRDefault="008B2194" w:rsidP="008B2194">
      <w:pPr>
        <w:numPr>
          <w:ilvl w:val="0"/>
          <w:numId w:val="1"/>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degrees of freedom; </w:t>
      </w:r>
    </w:p>
    <w:p w14:paraId="11138E23" w14:textId="77777777" w:rsidR="008B2194" w:rsidRPr="008B2194" w:rsidRDefault="008B2194" w:rsidP="008B2194">
      <w:pPr>
        <w:numPr>
          <w:ilvl w:val="0"/>
          <w:numId w:val="1"/>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p value; </w:t>
      </w:r>
    </w:p>
    <w:p w14:paraId="36409561" w14:textId="77777777" w:rsidR="008B2194" w:rsidRPr="008B2194" w:rsidRDefault="008B2194" w:rsidP="008B2194">
      <w:pPr>
        <w:numPr>
          <w:ilvl w:val="0"/>
          <w:numId w:val="1"/>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epsilon-squared effect size. </w:t>
      </w:r>
    </w:p>
    <w:p w14:paraId="66AF7AB6"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S2.2 One-vs-rest lower-uptake comparisons</w:t>
      </w:r>
    </w:p>
    <w:p w14:paraId="7503751A"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To identify therapeutic areas with lower uptake relative to the remaining comparable drug forms, one-vs-rest Mann-Whitney U tests were performed.</w:t>
      </w:r>
    </w:p>
    <w:p w14:paraId="20B0503F" w14:textId="7F5CF4AE"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For each therapeutic area </w:t>
      </w:r>
      <m:oMath>
        <m:r>
          <w:rPr>
            <w:rFonts w:ascii="Cambria Math" w:hAnsi="Cambria Math" w:cs="Times New Roman"/>
            <w:sz w:val="24"/>
            <w:szCs w:val="24"/>
          </w:rPr>
          <m:t>a</m:t>
        </m:r>
      </m:oMath>
      <w:r w:rsidRPr="008B2194">
        <w:rPr>
          <w:rFonts w:ascii="Times New Roman" w:hAnsi="Times New Roman" w:cs="Times New Roman"/>
          <w:sz w:val="24"/>
          <w:szCs w:val="24"/>
        </w:rPr>
        <w:t>, the uptake distribution of drug forms in that area was compared with the uptake distribution of all comparable drug forms outside that area:</w:t>
      </w:r>
    </w:p>
    <w:p w14:paraId="270346A6" w14:textId="66AC5C12" w:rsidR="008B2194" w:rsidRPr="008B2194" w:rsidRDefault="00000000" w:rsidP="008B2194">
      <w:pPr>
        <w:spacing w:line="480" w:lineRule="auto"/>
        <w:rPr>
          <w:rFonts w:ascii="Times New Roman" w:hAnsi="Times New Roman" w:cs="Times New Roman"/>
          <w:sz w:val="24"/>
          <w:szCs w:val="24"/>
        </w:rPr>
      </w:pPr>
      <m:oMathPara>
        <m:oMath>
          <m:d>
            <m:dPr>
              <m:begChr m:val="{"/>
              <m:endChr m:val="}"/>
              <m:ctrlPr>
                <w:rPr>
                  <w:rFonts w:ascii="Cambria Math" w:hAnsi="Cambria Math" w:cs="Times New Roman"/>
                  <w:sz w:val="24"/>
                  <w:szCs w:val="24"/>
                </w:rPr>
              </m:ctrlPr>
            </m:dPr>
            <m:e>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r>
                <w:rPr>
                  <w:rFonts w:ascii="Cambria Math" w:hAnsi="Cambria Math" w:cs="Times New Roman"/>
                  <w:sz w:val="24"/>
                  <w:szCs w:val="24"/>
                </w:rPr>
                <m:t>:d∈a</m:t>
              </m:r>
            </m:e>
          </m:d>
          <m:r>
            <w:rPr>
              <w:rFonts w:ascii="Cambria Math" w:hAnsi="Cambria Math" w:cs="Times New Roman"/>
              <w:sz w:val="24"/>
              <w:szCs w:val="24"/>
            </w:rPr>
            <m:t> vs </m:t>
          </m:r>
          <m:d>
            <m:dPr>
              <m:begChr m:val="{"/>
              <m:endChr m:val="}"/>
              <m:ctrlPr>
                <w:rPr>
                  <w:rFonts w:ascii="Cambria Math" w:hAnsi="Cambria Math" w:cs="Times New Roman"/>
                  <w:sz w:val="24"/>
                  <w:szCs w:val="24"/>
                </w:rPr>
              </m:ctrlPr>
            </m:dPr>
            <m:e>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r>
                <w:rPr>
                  <w:rFonts w:ascii="Cambria Math" w:hAnsi="Cambria Math" w:cs="Times New Roman"/>
                  <w:sz w:val="24"/>
                  <w:szCs w:val="24"/>
                </w:rPr>
                <m:t>:d∉a</m:t>
              </m:r>
            </m:e>
          </m:d>
        </m:oMath>
      </m:oMathPara>
    </w:p>
    <w:p w14:paraId="43BA05E7"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For each comparison, the following were reported:</w:t>
      </w:r>
    </w:p>
    <w:p w14:paraId="52814037" w14:textId="77777777" w:rsidR="008B2194" w:rsidRPr="008B2194" w:rsidRDefault="008B2194" w:rsidP="008B2194">
      <w:pPr>
        <w:numPr>
          <w:ilvl w:val="0"/>
          <w:numId w:val="2"/>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number of comparable drug forms in the therapeutic area; </w:t>
      </w:r>
    </w:p>
    <w:p w14:paraId="43895AE4" w14:textId="77777777" w:rsidR="008B2194" w:rsidRPr="008B2194" w:rsidRDefault="008B2194" w:rsidP="008B2194">
      <w:pPr>
        <w:numPr>
          <w:ilvl w:val="0"/>
          <w:numId w:val="2"/>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median uptake in the therapeutic area; </w:t>
      </w:r>
    </w:p>
    <w:p w14:paraId="0770BFAA" w14:textId="77777777" w:rsidR="008B2194" w:rsidRPr="008B2194" w:rsidRDefault="008B2194" w:rsidP="008B2194">
      <w:pPr>
        <w:numPr>
          <w:ilvl w:val="0"/>
          <w:numId w:val="2"/>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median uptake in the remaining therapeutic areas; </w:t>
      </w:r>
    </w:p>
    <w:p w14:paraId="0B758047" w14:textId="77777777" w:rsidR="008B2194" w:rsidRPr="008B2194" w:rsidRDefault="008B2194" w:rsidP="008B2194">
      <w:pPr>
        <w:numPr>
          <w:ilvl w:val="0"/>
          <w:numId w:val="2"/>
        </w:numPr>
        <w:spacing w:line="480" w:lineRule="auto"/>
        <w:rPr>
          <w:rFonts w:ascii="Times New Roman" w:hAnsi="Times New Roman" w:cs="Times New Roman"/>
          <w:sz w:val="24"/>
          <w:szCs w:val="24"/>
        </w:rPr>
      </w:pPr>
      <w:r w:rsidRPr="008B2194">
        <w:rPr>
          <w:rFonts w:ascii="Times New Roman" w:hAnsi="Times New Roman" w:cs="Times New Roman"/>
          <w:sz w:val="24"/>
          <w:szCs w:val="24"/>
        </w:rPr>
        <w:lastRenderedPageBreak/>
        <w:t xml:space="preserve">Mann-Whitney U statistic; </w:t>
      </w:r>
    </w:p>
    <w:p w14:paraId="35C6DB04" w14:textId="77777777" w:rsidR="008B2194" w:rsidRPr="008B2194" w:rsidRDefault="008B2194" w:rsidP="008B2194">
      <w:pPr>
        <w:numPr>
          <w:ilvl w:val="0"/>
          <w:numId w:val="2"/>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raw p value; </w:t>
      </w:r>
    </w:p>
    <w:p w14:paraId="28CCFD46" w14:textId="77777777" w:rsidR="008B2194" w:rsidRPr="008B2194" w:rsidRDefault="008B2194" w:rsidP="008B2194">
      <w:pPr>
        <w:numPr>
          <w:ilvl w:val="0"/>
          <w:numId w:val="2"/>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Benjamini-Hochberg false-discovery-rate adjusted q value; </w:t>
      </w:r>
    </w:p>
    <w:p w14:paraId="5B1D3195" w14:textId="77777777" w:rsidR="008B2194" w:rsidRPr="008B2194" w:rsidRDefault="008B2194" w:rsidP="008B2194">
      <w:pPr>
        <w:numPr>
          <w:ilvl w:val="0"/>
          <w:numId w:val="2"/>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rank-biserial correlation; </w:t>
      </w:r>
    </w:p>
    <w:p w14:paraId="0A040217" w14:textId="77777777" w:rsidR="008B2194" w:rsidRPr="008B2194" w:rsidRDefault="008B2194" w:rsidP="008B2194">
      <w:pPr>
        <w:numPr>
          <w:ilvl w:val="0"/>
          <w:numId w:val="2"/>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Hodges-Lehmann median difference and confidence interval; </w:t>
      </w:r>
    </w:p>
    <w:p w14:paraId="56D0E17B" w14:textId="77777777" w:rsidR="008B2194" w:rsidRPr="008B2194" w:rsidRDefault="008B2194" w:rsidP="008B2194">
      <w:pPr>
        <w:numPr>
          <w:ilvl w:val="0"/>
          <w:numId w:val="2"/>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direction of difference. </w:t>
      </w:r>
    </w:p>
    <w:p w14:paraId="2666FD35"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A therapeutic area was considered to show a lower-uptake signal if the one-vs-rest comparison indicated lower uptake and the FDR-adjusted q value was below 0.05.</w:t>
      </w:r>
    </w:p>
    <w:p w14:paraId="580CA5B5"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No fixed threshold was used to define “sufficient substitution” in the primary analysis. Therefore, the analysis identified therapeutic areas with relatively lower uptake compared with other therapeutic areas, rather than determining whether substitution was sufficient according to an external benchmark.</w:t>
      </w:r>
    </w:p>
    <w:p w14:paraId="783DE738"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S2.3 Sequential lower-uptake screening</w:t>
      </w:r>
    </w:p>
    <w:p w14:paraId="79DC40B5"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Sequential lower-uptake screening was conducted as an exploratory procedure to assess whether additional lower-uptake therapeutic areas were masked by the most prominent low-uptake area.</w:t>
      </w:r>
    </w:p>
    <w:p w14:paraId="11AB5937"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procedure was as follows:</w:t>
      </w:r>
    </w:p>
    <w:p w14:paraId="758A5763" w14:textId="77777777" w:rsidR="008B2194" w:rsidRPr="008B2194" w:rsidRDefault="008B2194" w:rsidP="008B2194">
      <w:pPr>
        <w:numPr>
          <w:ilvl w:val="0"/>
          <w:numId w:val="3"/>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All eligible therapeutic areas were included in the first round. </w:t>
      </w:r>
    </w:p>
    <w:p w14:paraId="57476AF2" w14:textId="77777777" w:rsidR="008B2194" w:rsidRPr="008B2194" w:rsidRDefault="008B2194" w:rsidP="008B2194">
      <w:pPr>
        <w:numPr>
          <w:ilvl w:val="0"/>
          <w:numId w:val="3"/>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One-vs-rest Mann-Whitney U tests were performed for all therapeutic areas. </w:t>
      </w:r>
    </w:p>
    <w:p w14:paraId="69DEBB06" w14:textId="4FBEDACF" w:rsidR="008B2194" w:rsidRPr="008B2194" w:rsidRDefault="008B2194" w:rsidP="008B2194">
      <w:pPr>
        <w:numPr>
          <w:ilvl w:val="0"/>
          <w:numId w:val="3"/>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If at least one therapeutic area had lower uptake and FDR-adjusted </w:t>
      </w:r>
      <m:oMath>
        <m:r>
          <w:rPr>
            <w:rFonts w:ascii="Cambria Math" w:hAnsi="Cambria Math" w:cs="Times New Roman"/>
            <w:sz w:val="24"/>
            <w:szCs w:val="24"/>
          </w:rPr>
          <m:t>q&lt;0.05</m:t>
        </m:r>
      </m:oMath>
      <w:r w:rsidRPr="008B2194">
        <w:rPr>
          <w:rFonts w:ascii="Times New Roman" w:hAnsi="Times New Roman" w:cs="Times New Roman"/>
          <w:sz w:val="24"/>
          <w:szCs w:val="24"/>
        </w:rPr>
        <w:t xml:space="preserve">, the area with the lowest median uptake among significant lower-uptake areas was selected and removed from the candidate set. </w:t>
      </w:r>
    </w:p>
    <w:p w14:paraId="20B9D1B6" w14:textId="77777777" w:rsidR="008B2194" w:rsidRPr="008B2194" w:rsidRDefault="008B2194" w:rsidP="008B2194">
      <w:pPr>
        <w:numPr>
          <w:ilvl w:val="0"/>
          <w:numId w:val="3"/>
        </w:numPr>
        <w:spacing w:line="480" w:lineRule="auto"/>
        <w:rPr>
          <w:rFonts w:ascii="Times New Roman" w:hAnsi="Times New Roman" w:cs="Times New Roman"/>
          <w:sz w:val="24"/>
          <w:szCs w:val="24"/>
        </w:rPr>
      </w:pPr>
      <w:r w:rsidRPr="008B2194">
        <w:rPr>
          <w:rFonts w:ascii="Times New Roman" w:hAnsi="Times New Roman" w:cs="Times New Roman"/>
          <w:sz w:val="24"/>
          <w:szCs w:val="24"/>
        </w:rPr>
        <w:lastRenderedPageBreak/>
        <w:t xml:space="preserve">The procedure was repeated among the remaining therapeutic areas. </w:t>
      </w:r>
    </w:p>
    <w:p w14:paraId="13AF089D" w14:textId="247E116D" w:rsidR="008B2194" w:rsidRPr="008B2194" w:rsidRDefault="008B2194" w:rsidP="008B2194">
      <w:pPr>
        <w:numPr>
          <w:ilvl w:val="0"/>
          <w:numId w:val="3"/>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Screening stopped when no additional therapeutic area showed lower uptake with FDR-adjusted </w:t>
      </w:r>
      <m:oMath>
        <m:r>
          <w:rPr>
            <w:rFonts w:ascii="Cambria Math" w:hAnsi="Cambria Math" w:cs="Times New Roman"/>
            <w:sz w:val="24"/>
            <w:szCs w:val="24"/>
          </w:rPr>
          <m:t>q&lt;0.05</m:t>
        </m:r>
      </m:oMath>
      <w:r w:rsidRPr="008B2194">
        <w:rPr>
          <w:rFonts w:ascii="Times New Roman" w:hAnsi="Times New Roman" w:cs="Times New Roman"/>
          <w:sz w:val="24"/>
          <w:szCs w:val="24"/>
        </w:rPr>
        <w:t xml:space="preserve">. </w:t>
      </w:r>
    </w:p>
    <w:p w14:paraId="3CEA2C2D" w14:textId="6015103D" w:rsidR="00AF63AB"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This analysis was exploratory and was not used as the primary criterion for interpretation.</w:t>
      </w:r>
    </w:p>
    <w:p w14:paraId="231CEB86" w14:textId="77777777" w:rsidR="00AF63AB" w:rsidRDefault="00AF63AB">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8D74B5F"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lastRenderedPageBreak/>
        <w:t>Appendix S3. Identification of low-uptake drug forms</w:t>
      </w:r>
    </w:p>
    <w:p w14:paraId="367340F9"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To support interpretation of therapeutic-area-level findings, specific drug forms with low uptake were identified descriptively.</w:t>
      </w:r>
    </w:p>
    <w:p w14:paraId="7E90528A"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No statistical hypothesis tests were conducted for individual drug forms.</w:t>
      </w:r>
    </w:p>
    <w:p w14:paraId="01BB8048"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Two descriptive lists were generated.</w:t>
      </w:r>
    </w:p>
    <w:p w14:paraId="1134FF49"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S3.1 Lowest uptake drug forms</w:t>
      </w:r>
    </w:p>
    <w:p w14:paraId="39323EAE" w14:textId="6083158A"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Comparable drug forms were ranked by </w:t>
      </w:r>
      <m:oMath>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oMath>
      <w:r w:rsidRPr="008B2194">
        <w:rPr>
          <w:rFonts w:ascii="Times New Roman" w:hAnsi="Times New Roman" w:cs="Times New Roman"/>
          <w:sz w:val="24"/>
          <w:szCs w:val="24"/>
        </w:rPr>
        <w:t>from lowest to highest. The table included:</w:t>
      </w:r>
    </w:p>
    <w:p w14:paraId="579B7BAA" w14:textId="77777777" w:rsidR="008B2194" w:rsidRPr="008B2194" w:rsidRDefault="008B2194" w:rsidP="008B2194">
      <w:pPr>
        <w:numPr>
          <w:ilvl w:val="0"/>
          <w:numId w:val="4"/>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drug name; </w:t>
      </w:r>
    </w:p>
    <w:p w14:paraId="02E41C87" w14:textId="77777777" w:rsidR="008B2194" w:rsidRPr="008B2194" w:rsidRDefault="008B2194" w:rsidP="008B2194">
      <w:pPr>
        <w:numPr>
          <w:ilvl w:val="0"/>
          <w:numId w:val="4"/>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dosage form; </w:t>
      </w:r>
    </w:p>
    <w:p w14:paraId="04270C83" w14:textId="77777777" w:rsidR="008B2194" w:rsidRPr="008B2194" w:rsidRDefault="008B2194" w:rsidP="008B2194">
      <w:pPr>
        <w:numPr>
          <w:ilvl w:val="0"/>
          <w:numId w:val="4"/>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therapeutic area; </w:t>
      </w:r>
    </w:p>
    <w:p w14:paraId="6917AA2C" w14:textId="77777777" w:rsidR="008B2194" w:rsidRPr="008B2194" w:rsidRDefault="008B2194" w:rsidP="008B2194">
      <w:pPr>
        <w:numPr>
          <w:ilvl w:val="0"/>
          <w:numId w:val="4"/>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generic/biosimilar sales volume; </w:t>
      </w:r>
    </w:p>
    <w:p w14:paraId="4BE84DBD" w14:textId="77777777" w:rsidR="008B2194" w:rsidRPr="008B2194" w:rsidRDefault="008B2194" w:rsidP="008B2194">
      <w:pPr>
        <w:numPr>
          <w:ilvl w:val="0"/>
          <w:numId w:val="4"/>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originator/innovative sales volume; </w:t>
      </w:r>
    </w:p>
    <w:p w14:paraId="29FB2E91" w14:textId="77777777" w:rsidR="008B2194" w:rsidRPr="008B2194" w:rsidRDefault="008B2194" w:rsidP="008B2194">
      <w:pPr>
        <w:numPr>
          <w:ilvl w:val="0"/>
          <w:numId w:val="4"/>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total sales volume; </w:t>
      </w:r>
    </w:p>
    <w:p w14:paraId="24364187" w14:textId="77777777" w:rsidR="008B2194" w:rsidRPr="008B2194" w:rsidRDefault="008B2194" w:rsidP="008B2194">
      <w:pPr>
        <w:numPr>
          <w:ilvl w:val="0"/>
          <w:numId w:val="4"/>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uptake. </w:t>
      </w:r>
    </w:p>
    <w:p w14:paraId="507C8B25"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This table was used to identify drug forms with very low generic/biosimilar sales shares.</w:t>
      </w:r>
    </w:p>
    <w:p w14:paraId="54F2DFA2"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S3.2 Within-area low outliers</w:t>
      </w:r>
    </w:p>
    <w:p w14:paraId="047A37DA"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Within each therapeutic area, low outlier drug forms were identified using the IQR rule:</w:t>
      </w:r>
    </w:p>
    <w:p w14:paraId="5FBD4C2F" w14:textId="08781537" w:rsidR="008B2194" w:rsidRPr="008B2194" w:rsidRDefault="008B2194" w:rsidP="008B2194">
      <w:pPr>
        <w:spacing w:line="480" w:lineRule="auto"/>
        <w:rPr>
          <w:rFonts w:ascii="Times New Roman" w:hAnsi="Times New Roman" w:cs="Times New Roman"/>
          <w:sz w:val="24"/>
          <w:szCs w:val="24"/>
        </w:rPr>
      </w:pPr>
      <m:oMathPara>
        <m:oMath>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r>
            <w:rPr>
              <w:rFonts w:ascii="Cambria Math" w:hAnsi="Cambria Math" w:cs="Times New Roman"/>
              <w:sz w:val="24"/>
              <w:szCs w:val="24"/>
            </w:rPr>
            <m:t>&lt;Q</m:t>
          </m:r>
          <m:sSub>
            <m:sSubPr>
              <m:ctrlPr>
                <w:rPr>
                  <w:rFonts w:ascii="Cambria Math" w:hAnsi="Cambria Math" w:cs="Times New Roman"/>
                  <w:sz w:val="24"/>
                  <w:szCs w:val="24"/>
                </w:rPr>
              </m:ctrlPr>
            </m:sSubPr>
            <m:e>
              <m:r>
                <w:rPr>
                  <w:rFonts w:ascii="Cambria Math" w:hAnsi="Cambria Math" w:cs="Times New Roman"/>
                  <w:sz w:val="24"/>
                  <w:szCs w:val="24"/>
                </w:rPr>
                <m:t>1</m:t>
              </m:r>
            </m:e>
            <m:sub>
              <m:r>
                <w:rPr>
                  <w:rFonts w:ascii="Cambria Math" w:hAnsi="Cambria Math" w:cs="Times New Roman"/>
                  <w:sz w:val="24"/>
                  <w:szCs w:val="24"/>
                </w:rPr>
                <m:t>a</m:t>
              </m:r>
            </m:sub>
          </m:sSub>
          <m:r>
            <w:rPr>
              <w:rFonts w:ascii="Cambria Math" w:hAnsi="Cambria Math" w:cs="Times New Roman"/>
              <w:sz w:val="24"/>
              <w:szCs w:val="24"/>
            </w:rPr>
            <m:t>-1.5×IQ</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oMath>
      </m:oMathPara>
    </w:p>
    <w:p w14:paraId="7C20846E" w14:textId="62927F44"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where </w:t>
      </w:r>
      <m:oMath>
        <m:r>
          <w:rPr>
            <w:rFonts w:ascii="Cambria Math" w:hAnsi="Cambria Math" w:cs="Times New Roman"/>
            <w:sz w:val="24"/>
            <w:szCs w:val="24"/>
          </w:rPr>
          <m:t>Q</m:t>
        </m:r>
        <m:sSub>
          <m:sSubPr>
            <m:ctrlPr>
              <w:rPr>
                <w:rFonts w:ascii="Cambria Math" w:hAnsi="Cambria Math" w:cs="Times New Roman"/>
                <w:sz w:val="24"/>
                <w:szCs w:val="24"/>
              </w:rPr>
            </m:ctrlPr>
          </m:sSubPr>
          <m:e>
            <m:r>
              <w:rPr>
                <w:rFonts w:ascii="Cambria Math" w:hAnsi="Cambria Math" w:cs="Times New Roman"/>
                <w:sz w:val="24"/>
                <w:szCs w:val="24"/>
              </w:rPr>
              <m:t>1</m:t>
            </m:r>
          </m:e>
          <m:sub>
            <m:r>
              <w:rPr>
                <w:rFonts w:ascii="Cambria Math" w:hAnsi="Cambria Math" w:cs="Times New Roman"/>
                <w:sz w:val="24"/>
                <w:szCs w:val="24"/>
              </w:rPr>
              <m:t>a</m:t>
            </m:r>
          </m:sub>
        </m:sSub>
      </m:oMath>
      <w:r w:rsidRPr="008B2194">
        <w:rPr>
          <w:rFonts w:ascii="Times New Roman" w:hAnsi="Times New Roman" w:cs="Times New Roman"/>
          <w:sz w:val="24"/>
          <w:szCs w:val="24"/>
        </w:rPr>
        <w:t xml:space="preserve">and </w:t>
      </w:r>
      <m:oMath>
        <m:r>
          <w:rPr>
            <w:rFonts w:ascii="Cambria Math" w:hAnsi="Cambria Math" w:cs="Times New Roman"/>
            <w:sz w:val="24"/>
            <w:szCs w:val="24"/>
          </w:rPr>
          <m:t>IQ</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oMath>
      <w:r w:rsidRPr="008B2194">
        <w:rPr>
          <w:rFonts w:ascii="Times New Roman" w:hAnsi="Times New Roman" w:cs="Times New Roman"/>
          <w:sz w:val="24"/>
          <w:szCs w:val="24"/>
        </w:rPr>
        <w:t xml:space="preserve">were calculated within therapeutic area </w:t>
      </w:r>
      <m:oMath>
        <m:r>
          <w:rPr>
            <w:rFonts w:ascii="Cambria Math" w:hAnsi="Cambria Math" w:cs="Times New Roman"/>
            <w:sz w:val="24"/>
            <w:szCs w:val="24"/>
          </w:rPr>
          <m:t>a</m:t>
        </m:r>
      </m:oMath>
      <w:r w:rsidRPr="008B2194">
        <w:rPr>
          <w:rFonts w:ascii="Times New Roman" w:hAnsi="Times New Roman" w:cs="Times New Roman"/>
          <w:sz w:val="24"/>
          <w:szCs w:val="24"/>
        </w:rPr>
        <w:t>.</w:t>
      </w:r>
    </w:p>
    <w:p w14:paraId="4A09F789" w14:textId="7AE3992C"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These drug forms were described as within-area low outliers. They were not interpreted as statistically significant individual products.</w:t>
      </w:r>
    </w:p>
    <w:p w14:paraId="7B6A2991"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lastRenderedPageBreak/>
        <w:t>Appendix S4. Observed supply-structure analysis</w:t>
      </w:r>
    </w:p>
    <w:p w14:paraId="32C9A7F9"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S4.1 Classification of observed supply structure</w:t>
      </w:r>
    </w:p>
    <w:p w14:paraId="7D3DBE84"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All drug forms, not only comparable drug forms, were classified according to observed sales structure in the study database:</w:t>
      </w:r>
    </w:p>
    <w:p w14:paraId="44C2BD99" w14:textId="2D3785FA" w:rsidR="008B2194" w:rsidRPr="008B2194" w:rsidRDefault="008B2194" w:rsidP="008B2194">
      <w:pPr>
        <w:spacing w:line="480" w:lineRule="auto"/>
        <w:rPr>
          <w:rFonts w:ascii="Times New Roman" w:hAnsi="Times New Roman" w:cs="Times New Roman"/>
          <w:sz w:val="24"/>
          <w:szCs w:val="24"/>
        </w:rPr>
      </w:pPr>
      <m:oMathPara>
        <m:oMath>
          <m:r>
            <w:rPr>
              <w:rFonts w:ascii="Cambria Math" w:hAnsi="Cambria Math" w:cs="Times New Roman"/>
              <w:sz w:val="24"/>
              <w:szCs w:val="24"/>
            </w:rPr>
            <m:t>O</m:t>
          </m:r>
          <m:r>
            <m:rPr>
              <m:lit/>
            </m:rPr>
            <w:rPr>
              <w:rFonts w:ascii="Cambria Math" w:hAnsi="Cambria Math" w:cs="Times New Roman"/>
              <w:sz w:val="24"/>
              <w:szCs w:val="24"/>
            </w:rPr>
            <m:t>_</m:t>
          </m:r>
          <m:r>
            <w:rPr>
              <w:rFonts w:ascii="Cambria Math" w:hAnsi="Cambria Math" w:cs="Times New Roman"/>
              <w:sz w:val="24"/>
              <w:szCs w:val="24"/>
            </w:rPr>
            <m:t>only:</m:t>
          </m:r>
          <m:sSub>
            <m:sSubPr>
              <m:ctrlPr>
                <w:rPr>
                  <w:rFonts w:ascii="Cambria Math" w:hAnsi="Cambria Math" w:cs="Times New Roman"/>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Cambria Math" w:cs="Times New Roman"/>
              <w:sz w:val="24"/>
              <w:szCs w:val="24"/>
            </w:rPr>
            <m:t>&gt;0,</m:t>
          </m:r>
          <m:r>
            <m:rPr>
              <m:nor/>
            </m:rPr>
            <w:rPr>
              <w:rFonts w:ascii="Times New Roman" w:hAnsi="Times New Roman" w:cs="Times New Roman"/>
              <w:sz w:val="24"/>
              <w:szCs w:val="24"/>
            </w:rPr>
            <m:t> </m:t>
          </m:r>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r>
            <w:rPr>
              <w:rFonts w:ascii="Cambria Math" w:hAnsi="Cambria Math" w:cs="Times New Roman"/>
              <w:sz w:val="24"/>
              <w:szCs w:val="24"/>
            </w:rPr>
            <m:t>=0</m:t>
          </m:r>
          <m:r>
            <m:rPr>
              <m:sty m:val="p"/>
            </m:rPr>
            <w:rPr>
              <w:rFonts w:ascii="Times New Roman" w:hAnsi="Times New Roman" w:cs="Times New Roman"/>
              <w:sz w:val="24"/>
              <w:szCs w:val="24"/>
            </w:rPr>
            <w:br/>
          </m:r>
        </m:oMath>
        <m:oMath>
          <m:r>
            <w:rPr>
              <w:rFonts w:ascii="Cambria Math" w:hAnsi="Cambria Math" w:cs="Times New Roman"/>
              <w:sz w:val="24"/>
              <w:szCs w:val="24"/>
            </w:rPr>
            <m:t>G</m:t>
          </m:r>
          <m:r>
            <m:rPr>
              <m:lit/>
            </m:rPr>
            <w:rPr>
              <w:rFonts w:ascii="Cambria Math" w:hAnsi="Cambria Math" w:cs="Times New Roman"/>
              <w:sz w:val="24"/>
              <w:szCs w:val="24"/>
            </w:rPr>
            <m:t>_</m:t>
          </m:r>
          <m:r>
            <w:rPr>
              <w:rFonts w:ascii="Cambria Math" w:hAnsi="Cambria Math" w:cs="Times New Roman"/>
              <w:sz w:val="24"/>
              <w:szCs w:val="24"/>
            </w:rPr>
            <m:t>only:</m:t>
          </m:r>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r>
            <w:rPr>
              <w:rFonts w:ascii="Cambria Math" w:hAnsi="Cambria Math" w:cs="Times New Roman"/>
              <w:sz w:val="24"/>
              <w:szCs w:val="24"/>
            </w:rPr>
            <m:t>&gt;0,</m:t>
          </m:r>
          <m:r>
            <m:rPr>
              <m:nor/>
            </m:rPr>
            <w:rPr>
              <w:rFonts w:ascii="Times New Roman" w:hAnsi="Times New Roman" w:cs="Times New Roman"/>
              <w:sz w:val="24"/>
              <w:szCs w:val="24"/>
            </w:rPr>
            <m:t> </m:t>
          </m:r>
          <m:sSub>
            <m:sSubPr>
              <m:ctrlPr>
                <w:rPr>
                  <w:rFonts w:ascii="Cambria Math" w:hAnsi="Cambria Math" w:cs="Times New Roman"/>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Cambria Math" w:cs="Times New Roman"/>
              <w:sz w:val="24"/>
              <w:szCs w:val="24"/>
            </w:rPr>
            <m:t>=0</m:t>
          </m:r>
          <m:r>
            <m:rPr>
              <m:sty m:val="p"/>
            </m:rPr>
            <w:rPr>
              <w:rFonts w:ascii="Times New Roman" w:hAnsi="Times New Roman" w:cs="Times New Roman"/>
              <w:sz w:val="24"/>
              <w:szCs w:val="24"/>
            </w:rPr>
            <w:br/>
          </m:r>
        </m:oMath>
        <m:oMath>
          <m:r>
            <w:rPr>
              <w:rFonts w:ascii="Cambria Math" w:hAnsi="Cambria Math" w:cs="Times New Roman"/>
              <w:sz w:val="24"/>
              <w:szCs w:val="24"/>
            </w:rPr>
            <m:t>Both:</m:t>
          </m:r>
          <m:sSub>
            <m:sSubPr>
              <m:ctrlPr>
                <w:rPr>
                  <w:rFonts w:ascii="Cambria Math" w:hAnsi="Cambria Math" w:cs="Times New Roman"/>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Cambria Math" w:cs="Times New Roman"/>
              <w:sz w:val="24"/>
              <w:szCs w:val="24"/>
            </w:rPr>
            <m:t>&gt;0,</m:t>
          </m:r>
          <m:r>
            <m:rPr>
              <m:nor/>
            </m:rPr>
            <w:rPr>
              <w:rFonts w:ascii="Times New Roman" w:hAnsi="Times New Roman" w:cs="Times New Roman"/>
              <w:sz w:val="24"/>
              <w:szCs w:val="24"/>
            </w:rPr>
            <m:t> </m:t>
          </m:r>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r>
            <w:rPr>
              <w:rFonts w:ascii="Cambria Math" w:hAnsi="Cambria Math" w:cs="Times New Roman"/>
              <w:sz w:val="24"/>
              <w:szCs w:val="24"/>
            </w:rPr>
            <m:t>&gt;0</m:t>
          </m:r>
        </m:oMath>
      </m:oMathPara>
    </w:p>
    <w:p w14:paraId="7DF062EE"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These categories were based solely on positive sales records in the study database.</w:t>
      </w:r>
    </w:p>
    <w:p w14:paraId="7F8364EA"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S4.2 Supply-structure measures</w:t>
      </w:r>
    </w:p>
    <w:p w14:paraId="6EC35792"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For each therapeutic area, the following measures were calculated:</w:t>
      </w:r>
    </w:p>
    <w:p w14:paraId="570371E6" w14:textId="4DA77B71" w:rsidR="008B2194" w:rsidRPr="008B2194" w:rsidRDefault="008B2194" w:rsidP="008B2194">
      <w:pPr>
        <w:spacing w:line="480" w:lineRule="auto"/>
        <w:rPr>
          <w:rFonts w:ascii="Times New Roman" w:hAnsi="Times New Roman" w:cs="Times New Roman"/>
          <w:sz w:val="24"/>
          <w:szCs w:val="24"/>
        </w:rPr>
      </w:pPr>
      <m:oMathPara>
        <m:oMath>
          <m:r>
            <w:rPr>
              <w:rFonts w:ascii="Cambria Math" w:hAnsi="Cambria Math" w:cs="Times New Roman"/>
              <w:sz w:val="24"/>
              <w:szCs w:val="24"/>
            </w:rPr>
            <m:t>presenc</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N</m:t>
              </m:r>
              <m:d>
                <m:dPr>
                  <m:sep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d</m:t>
                      </m:r>
                    </m:sub>
                  </m:sSub>
                </m:e>
                <m:e>
                  <m:r>
                    <w:rPr>
                      <w:rFonts w:ascii="Cambria Math" w:hAnsi="Cambria Math" w:cs="Times New Roman"/>
                      <w:sz w:val="24"/>
                      <w:szCs w:val="24"/>
                    </w:rPr>
                    <m:t>&gt;0</m:t>
                  </m:r>
                  <m:r>
                    <m:rPr>
                      <m:nor/>
                    </m:rPr>
                    <w:rPr>
                      <w:rFonts w:ascii="Times New Roman" w:hAnsi="Times New Roman" w:cs="Times New Roman"/>
                      <w:sz w:val="24"/>
                      <w:szCs w:val="24"/>
                    </w:rPr>
                    <m:t> </m:t>
                  </m:r>
                  <m:r>
                    <w:rPr>
                      <w:rFonts w:ascii="Cambria Math" w:hAnsi="Cambria Math" w:cs="Times New Roman"/>
                      <w:sz w:val="24"/>
                      <w:szCs w:val="24"/>
                    </w:rPr>
                    <m:t>d∈a</m:t>
                  </m:r>
                </m:e>
              </m:d>
            </m:num>
            <m:den>
              <m:r>
                <w:rPr>
                  <w:rFonts w:ascii="Cambria Math" w:hAnsi="Cambria Math" w:cs="Times New Roman"/>
                  <w:sz w:val="24"/>
                  <w:szCs w:val="24"/>
                </w:rPr>
                <m:t>N</m:t>
              </m:r>
              <m:d>
                <m:dPr>
                  <m:ctrlPr>
                    <w:rPr>
                      <w:rFonts w:ascii="Cambria Math" w:hAnsi="Cambria Math" w:cs="Times New Roman"/>
                      <w:sz w:val="24"/>
                      <w:szCs w:val="24"/>
                    </w:rPr>
                  </m:ctrlPr>
                </m:dPr>
                <m:e>
                  <m:r>
                    <w:rPr>
                      <w:rFonts w:ascii="Cambria Math" w:hAnsi="Cambria Math" w:cs="Times New Roman"/>
                      <w:sz w:val="24"/>
                      <w:szCs w:val="24"/>
                    </w:rPr>
                    <m:t>d∈a</m:t>
                  </m:r>
                </m:e>
              </m:d>
            </m:den>
          </m:f>
          <m:r>
            <m:rPr>
              <m:sty m:val="p"/>
            </m:rPr>
            <w:rPr>
              <w:rFonts w:ascii="Times New Roman" w:hAnsi="Times New Roman" w:cs="Times New Roman"/>
              <w:sz w:val="24"/>
              <w:szCs w:val="24"/>
            </w:rPr>
            <w:br/>
          </m:r>
        </m:oMath>
        <m:oMath>
          <m:r>
            <w:rPr>
              <w:rFonts w:ascii="Cambria Math" w:hAnsi="Cambria Math" w:cs="Times New Roman"/>
              <w:sz w:val="24"/>
              <w:szCs w:val="24"/>
            </w:rPr>
            <m:t>comparabl</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N</m:t>
              </m:r>
              <m:d>
                <m:dPr>
                  <m:sepChr m:val=","/>
                  <m:ctrlPr>
                    <w:rPr>
                      <w:rFonts w:ascii="Cambria Math" w:hAnsi="Cambria Math" w:cs="Times New Roman"/>
                      <w:sz w:val="24"/>
                      <w:szCs w:val="24"/>
                    </w:rPr>
                  </m:ctrlPr>
                </m:dPr>
                <m:e>
                  <m:r>
                    <w:rPr>
                      <w:rFonts w:ascii="Cambria Math" w:hAnsi="Cambria Math" w:cs="Times New Roman"/>
                      <w:sz w:val="24"/>
                      <w:szCs w:val="24"/>
                    </w:rPr>
                    <m:t>B</m:t>
                  </m:r>
                </m:e>
                <m:e>
                  <m:r>
                    <w:rPr>
                      <w:rFonts w:ascii="Cambria Math" w:hAnsi="Cambria Math" w:cs="Times New Roman"/>
                      <w:sz w:val="24"/>
                      <w:szCs w:val="24"/>
                    </w:rPr>
                    <m:t>oth</m:t>
                  </m:r>
                  <m:r>
                    <m:rPr>
                      <m:nor/>
                    </m:rPr>
                    <w:rPr>
                      <w:rFonts w:ascii="Times New Roman" w:hAnsi="Times New Roman" w:cs="Times New Roman"/>
                      <w:sz w:val="24"/>
                      <w:szCs w:val="24"/>
                    </w:rPr>
                    <m:t> </m:t>
                  </m:r>
                  <m:r>
                    <w:rPr>
                      <w:rFonts w:ascii="Cambria Math" w:hAnsi="Cambria Math" w:cs="Times New Roman"/>
                      <w:sz w:val="24"/>
                      <w:szCs w:val="24"/>
                    </w:rPr>
                    <m:t>d∈a</m:t>
                  </m:r>
                </m:e>
              </m:d>
            </m:num>
            <m:den>
              <m:r>
                <w:rPr>
                  <w:rFonts w:ascii="Cambria Math" w:hAnsi="Cambria Math" w:cs="Times New Roman"/>
                  <w:sz w:val="24"/>
                  <w:szCs w:val="24"/>
                </w:rPr>
                <m:t>N</m:t>
              </m:r>
              <m:d>
                <m:dPr>
                  <m:ctrlPr>
                    <w:rPr>
                      <w:rFonts w:ascii="Cambria Math" w:hAnsi="Cambria Math" w:cs="Times New Roman"/>
                      <w:sz w:val="24"/>
                      <w:szCs w:val="24"/>
                    </w:rPr>
                  </m:ctrlPr>
                </m:dPr>
                <m:e>
                  <m:r>
                    <w:rPr>
                      <w:rFonts w:ascii="Cambria Math" w:hAnsi="Cambria Math" w:cs="Times New Roman"/>
                      <w:sz w:val="24"/>
                      <w:szCs w:val="24"/>
                    </w:rPr>
                    <m:t>d∈a</m:t>
                  </m:r>
                </m:e>
              </m:d>
            </m:den>
          </m:f>
        </m:oMath>
      </m:oMathPara>
    </w:p>
    <w:p w14:paraId="3A357A1E" w14:textId="75F195B4"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In addition, the proportions of </w:t>
      </w:r>
      <m:oMath>
        <m:r>
          <w:rPr>
            <w:rFonts w:ascii="Cambria Math" w:hAnsi="Cambria Math" w:cs="Times New Roman"/>
            <w:sz w:val="24"/>
            <w:szCs w:val="24"/>
          </w:rPr>
          <m:t>O</m:t>
        </m:r>
        <m:r>
          <m:rPr>
            <m:lit/>
          </m:rPr>
          <w:rPr>
            <w:rFonts w:ascii="Cambria Math" w:hAnsi="Cambria Math" w:cs="Times New Roman"/>
            <w:sz w:val="24"/>
            <w:szCs w:val="24"/>
          </w:rPr>
          <m:t>_</m:t>
        </m:r>
        <m:r>
          <w:rPr>
            <w:rFonts w:ascii="Cambria Math" w:hAnsi="Cambria Math" w:cs="Times New Roman"/>
            <w:sz w:val="24"/>
            <w:szCs w:val="24"/>
          </w:rPr>
          <m:t>only</m:t>
        </m:r>
      </m:oMath>
      <w:r w:rsidRPr="008B2194">
        <w:rPr>
          <w:rFonts w:ascii="Times New Roman" w:hAnsi="Times New Roman" w:cs="Times New Roman"/>
          <w:sz w:val="24"/>
          <w:szCs w:val="24"/>
        </w:rPr>
        <w:t xml:space="preserve">, </w:t>
      </w:r>
      <m:oMath>
        <m:r>
          <w:rPr>
            <w:rFonts w:ascii="Cambria Math" w:hAnsi="Cambria Math" w:cs="Times New Roman"/>
            <w:sz w:val="24"/>
            <w:szCs w:val="24"/>
          </w:rPr>
          <m:t>G</m:t>
        </m:r>
        <m:r>
          <m:rPr>
            <m:lit/>
          </m:rPr>
          <w:rPr>
            <w:rFonts w:ascii="Cambria Math" w:hAnsi="Cambria Math" w:cs="Times New Roman"/>
            <w:sz w:val="24"/>
            <w:szCs w:val="24"/>
          </w:rPr>
          <m:t>_</m:t>
        </m:r>
        <m:r>
          <w:rPr>
            <w:rFonts w:ascii="Cambria Math" w:hAnsi="Cambria Math" w:cs="Times New Roman"/>
            <w:sz w:val="24"/>
            <w:szCs w:val="24"/>
          </w:rPr>
          <m:t>only</m:t>
        </m:r>
      </m:oMath>
      <w:r w:rsidRPr="008B2194">
        <w:rPr>
          <w:rFonts w:ascii="Times New Roman" w:hAnsi="Times New Roman" w:cs="Times New Roman"/>
          <w:sz w:val="24"/>
          <w:szCs w:val="24"/>
        </w:rPr>
        <w:t xml:space="preserve">, and </w:t>
      </w:r>
      <m:oMath>
        <m:r>
          <w:rPr>
            <w:rFonts w:ascii="Cambria Math" w:hAnsi="Cambria Math" w:cs="Times New Roman"/>
            <w:sz w:val="24"/>
            <w:szCs w:val="24"/>
          </w:rPr>
          <m:t>Both</m:t>
        </m:r>
      </m:oMath>
      <w:r w:rsidRPr="008B2194">
        <w:rPr>
          <w:rFonts w:ascii="Times New Roman" w:hAnsi="Times New Roman" w:cs="Times New Roman"/>
          <w:sz w:val="24"/>
          <w:szCs w:val="24"/>
        </w:rPr>
        <w:t>drug forms were reported.</w:t>
      </w:r>
    </w:p>
    <w:p w14:paraId="309AAA84"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These analyses were used to </w:t>
      </w:r>
      <w:proofErr w:type="spellStart"/>
      <w:r w:rsidRPr="008B2194">
        <w:rPr>
          <w:rFonts w:ascii="Times New Roman" w:hAnsi="Times New Roman" w:cs="Times New Roman"/>
          <w:sz w:val="24"/>
          <w:szCs w:val="24"/>
        </w:rPr>
        <w:t>contextualise</w:t>
      </w:r>
      <w:proofErr w:type="spellEnd"/>
      <w:r w:rsidRPr="008B2194">
        <w:rPr>
          <w:rFonts w:ascii="Times New Roman" w:hAnsi="Times New Roman" w:cs="Times New Roman"/>
          <w:sz w:val="24"/>
          <w:szCs w:val="24"/>
        </w:rPr>
        <w:t xml:space="preserve"> the extent to which drug forms entered the comparable subset. They were not used as the primary answer to the uptake question.</w:t>
      </w:r>
    </w:p>
    <w:p w14:paraId="388C46B9"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S4.3 Supply-structure heterogeneity</w:t>
      </w:r>
    </w:p>
    <w:p w14:paraId="7881E698"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Therapeutic-area differences in observed supply structure were described using a contingency table of:</w:t>
      </w:r>
    </w:p>
    <w:p w14:paraId="2A7848AF" w14:textId="461B9F30" w:rsidR="008B2194" w:rsidRPr="008B2194" w:rsidRDefault="008B2194" w:rsidP="008B2194">
      <w:pPr>
        <w:spacing w:line="480" w:lineRule="auto"/>
        <w:rPr>
          <w:rFonts w:ascii="Times New Roman" w:hAnsi="Times New Roman" w:cs="Times New Roman"/>
          <w:sz w:val="24"/>
          <w:szCs w:val="24"/>
        </w:rPr>
      </w:pPr>
      <m:oMathPara>
        <m:oMath>
          <m:r>
            <w:rPr>
              <w:rFonts w:ascii="Cambria Math" w:hAnsi="Cambria Math" w:cs="Times New Roman"/>
              <w:sz w:val="24"/>
              <w:szCs w:val="24"/>
            </w:rPr>
            <m:t>therapeutic</m:t>
          </m:r>
          <m:r>
            <m:rPr>
              <m:nor/>
            </m:rPr>
            <w:rPr>
              <w:rFonts w:ascii="Times New Roman" w:hAnsi="Times New Roman" w:cs="Times New Roman"/>
              <w:sz w:val="24"/>
              <w:szCs w:val="24"/>
            </w:rPr>
            <m:t> </m:t>
          </m:r>
          <m:r>
            <w:rPr>
              <w:rFonts w:ascii="Cambria Math" w:hAnsi="Cambria Math" w:cs="Times New Roman"/>
              <w:sz w:val="24"/>
              <w:szCs w:val="24"/>
            </w:rPr>
            <m:t>area×</m:t>
          </m:r>
          <m:d>
            <m:dPr>
              <m:begChr m:val="{"/>
              <m:sepChr m:val=","/>
              <m:endChr m:val="}"/>
              <m:ctrlPr>
                <w:rPr>
                  <w:rFonts w:ascii="Cambria Math" w:hAnsi="Cambria Math" w:cs="Times New Roman"/>
                  <w:sz w:val="24"/>
                  <w:szCs w:val="24"/>
                </w:rPr>
              </m:ctrlPr>
            </m:dPr>
            <m:e>
              <m:r>
                <w:rPr>
                  <w:rFonts w:ascii="Cambria Math" w:hAnsi="Cambria Math" w:cs="Times New Roman"/>
                  <w:sz w:val="24"/>
                  <w:szCs w:val="24"/>
                </w:rPr>
                <m:t>O</m:t>
              </m:r>
            </m:e>
            <m:e>
              <m:r>
                <m:rPr>
                  <m:lit/>
                </m:rPr>
                <w:rPr>
                  <w:rFonts w:ascii="Cambria Math" w:hAnsi="Cambria Math" w:cs="Times New Roman"/>
                  <w:sz w:val="24"/>
                  <w:szCs w:val="24"/>
                </w:rPr>
                <m:t>_</m:t>
              </m:r>
            </m:e>
            <m:e>
              <m:r>
                <w:rPr>
                  <w:rFonts w:ascii="Cambria Math" w:hAnsi="Cambria Math" w:cs="Times New Roman"/>
                  <w:sz w:val="24"/>
                  <w:szCs w:val="24"/>
                </w:rPr>
                <m:t>only</m:t>
              </m:r>
              <m:r>
                <m:rPr>
                  <m:nor/>
                </m:rPr>
                <w:rPr>
                  <w:rFonts w:ascii="Times New Roman" w:hAnsi="Times New Roman" w:cs="Times New Roman"/>
                  <w:sz w:val="24"/>
                  <w:szCs w:val="24"/>
                </w:rPr>
                <m:t> </m:t>
              </m:r>
              <m:r>
                <w:rPr>
                  <w:rFonts w:ascii="Cambria Math" w:hAnsi="Cambria Math" w:cs="Times New Roman"/>
                  <w:sz w:val="24"/>
                  <w:szCs w:val="24"/>
                </w:rPr>
                <m:t>Both</m:t>
              </m:r>
              <m:r>
                <m:rPr>
                  <m:nor/>
                </m:rPr>
                <w:rPr>
                  <w:rFonts w:ascii="Times New Roman" w:hAnsi="Times New Roman" w:cs="Times New Roman"/>
                  <w:sz w:val="24"/>
                  <w:szCs w:val="24"/>
                </w:rPr>
                <m:t> </m:t>
              </m:r>
              <m:r>
                <w:rPr>
                  <w:rFonts w:ascii="Cambria Math" w:hAnsi="Cambria Math" w:cs="Times New Roman"/>
                  <w:sz w:val="24"/>
                  <w:szCs w:val="24"/>
                </w:rPr>
                <m:t>G</m:t>
              </m:r>
              <m:r>
                <m:rPr>
                  <m:lit/>
                </m:rPr>
                <w:rPr>
                  <w:rFonts w:ascii="Cambria Math" w:hAnsi="Cambria Math" w:cs="Times New Roman"/>
                  <w:sz w:val="24"/>
                  <w:szCs w:val="24"/>
                </w:rPr>
                <m:t>_</m:t>
              </m:r>
              <m:r>
                <w:rPr>
                  <w:rFonts w:ascii="Cambria Math" w:hAnsi="Cambria Math" w:cs="Times New Roman"/>
                  <w:sz w:val="24"/>
                  <w:szCs w:val="24"/>
                </w:rPr>
                <m:t>only</m:t>
              </m:r>
            </m:e>
          </m:d>
        </m:oMath>
      </m:oMathPara>
    </w:p>
    <w:p w14:paraId="638937F7"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A chi-square test was used when expected cell counts were sufficient. If sparse cells were present, exact or Monte Carlo methods were preferred.</w:t>
      </w:r>
    </w:p>
    <w:p w14:paraId="2234E921"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Adjusted standardized residuals were reported to identify cells contributing to the </w:t>
      </w:r>
      <w:r w:rsidRPr="008B2194">
        <w:rPr>
          <w:rFonts w:ascii="Times New Roman" w:hAnsi="Times New Roman" w:cs="Times New Roman"/>
          <w:sz w:val="24"/>
          <w:szCs w:val="24"/>
        </w:rPr>
        <w:lastRenderedPageBreak/>
        <w:t>observed structure. For sparse cells, residuals were interpreted descriptively and were not converted into definitive cell-level p values.</w:t>
      </w:r>
    </w:p>
    <w:p w14:paraId="62E06E21" w14:textId="77777777" w:rsid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For selected one-vs-rest comparisons, risk differences, odds ratios, and FDR-adjusted q values were reported. Risk differences were </w:t>
      </w:r>
      <w:proofErr w:type="spellStart"/>
      <w:r w:rsidRPr="008B2194">
        <w:rPr>
          <w:rFonts w:ascii="Times New Roman" w:hAnsi="Times New Roman" w:cs="Times New Roman"/>
          <w:sz w:val="24"/>
          <w:szCs w:val="24"/>
        </w:rPr>
        <w:t>prioritised</w:t>
      </w:r>
      <w:proofErr w:type="spellEnd"/>
      <w:r w:rsidRPr="008B2194">
        <w:rPr>
          <w:rFonts w:ascii="Times New Roman" w:hAnsi="Times New Roman" w:cs="Times New Roman"/>
          <w:sz w:val="24"/>
          <w:szCs w:val="24"/>
        </w:rPr>
        <w:t xml:space="preserve"> over p values for interpretation.</w:t>
      </w:r>
    </w:p>
    <w:p w14:paraId="4AF2A07D" w14:textId="79E47411" w:rsidR="00AF63AB" w:rsidRPr="004037C0" w:rsidRDefault="00AF63AB" w:rsidP="00AF63AB">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S4.</w:t>
      </w:r>
      <w:r>
        <w:rPr>
          <w:rFonts w:ascii="Times New Roman" w:hAnsi="Times New Roman" w:cs="Times New Roman" w:hint="eastAsia"/>
          <w:b/>
          <w:bCs/>
          <w:sz w:val="24"/>
          <w:szCs w:val="24"/>
        </w:rPr>
        <w:t xml:space="preserve">4 </w:t>
      </w:r>
      <w:r w:rsidRPr="004037C0">
        <w:rPr>
          <w:rFonts w:ascii="Times New Roman" w:hAnsi="Times New Roman" w:cs="Times New Roman"/>
          <w:b/>
          <w:bCs/>
          <w:sz w:val="24"/>
          <w:szCs w:val="24"/>
        </w:rPr>
        <w:t>Distribution-shape analysis of drug-form-level uptake</w:t>
      </w:r>
    </w:p>
    <w:p w14:paraId="5903AE21" w14:textId="77777777" w:rsidR="00AF63AB" w:rsidRPr="004037C0" w:rsidRDefault="00AF63AB" w:rsidP="00AF63AB">
      <w:pPr>
        <w:spacing w:line="480" w:lineRule="auto"/>
        <w:rPr>
          <w:rFonts w:ascii="Times New Roman" w:hAnsi="Times New Roman" w:cs="Times New Roman"/>
          <w:sz w:val="24"/>
          <w:szCs w:val="24"/>
        </w:rPr>
      </w:pPr>
      <w:r w:rsidRPr="004037C0">
        <w:rPr>
          <w:rFonts w:ascii="Times New Roman" w:hAnsi="Times New Roman" w:cs="Times New Roman"/>
          <w:sz w:val="24"/>
          <w:szCs w:val="24"/>
        </w:rPr>
        <w:t>To explore whether uptake within each therapeutic area followed a gradual distribution or showed concentration near the extremes, we conducted an exploratory distribution-shape analysis among comparable drug forms.</w:t>
      </w:r>
    </w:p>
    <w:p w14:paraId="7D3C1634" w14:textId="77777777" w:rsidR="00AF63AB" w:rsidRPr="004037C0" w:rsidRDefault="00AF63AB" w:rsidP="00AF63AB">
      <w:pPr>
        <w:spacing w:line="480" w:lineRule="auto"/>
        <w:rPr>
          <w:rFonts w:ascii="Times New Roman" w:hAnsi="Times New Roman" w:cs="Times New Roman"/>
          <w:sz w:val="24"/>
          <w:szCs w:val="24"/>
        </w:rPr>
      </w:pPr>
      <w:r w:rsidRPr="004037C0">
        <w:rPr>
          <w:rFonts w:ascii="Times New Roman" w:hAnsi="Times New Roman" w:cs="Times New Roman"/>
          <w:sz w:val="24"/>
          <w:szCs w:val="24"/>
        </w:rPr>
        <w:t>For each therapeutic area with sufficient comparable drug forms, Hartigan’s dip test was used to assess whether the distribution of drug-form-level uptake deviated from unimodality. P values were adjusted using the Benjamini-Hochberg false-discovery-rate method.</w:t>
      </w:r>
    </w:p>
    <w:p w14:paraId="052CD084" w14:textId="77777777" w:rsidR="00AF63AB" w:rsidRPr="004037C0" w:rsidRDefault="00AF63AB" w:rsidP="00AF63AB">
      <w:pPr>
        <w:spacing w:line="480" w:lineRule="auto"/>
        <w:rPr>
          <w:rFonts w:ascii="Times New Roman" w:hAnsi="Times New Roman" w:cs="Times New Roman"/>
          <w:sz w:val="24"/>
          <w:szCs w:val="24"/>
        </w:rPr>
      </w:pPr>
      <w:r w:rsidRPr="004037C0">
        <w:rPr>
          <w:rFonts w:ascii="Times New Roman" w:hAnsi="Times New Roman" w:cs="Times New Roman"/>
          <w:sz w:val="24"/>
          <w:szCs w:val="24"/>
        </w:rPr>
        <w:t>To aid interpretation, we also calculated the proportion of comparable drug forms with uptake in the following ranges:</w:t>
      </w:r>
    </w:p>
    <w:p w14:paraId="234802BD" w14:textId="77777777" w:rsidR="00AF63AB" w:rsidRPr="004037C0" w:rsidRDefault="00AF63AB" w:rsidP="00AF63AB">
      <w:pPr>
        <w:spacing w:line="480" w:lineRule="auto"/>
        <w:rPr>
          <w:rFonts w:ascii="Times New Roman" w:hAnsi="Times New Roman" w:cs="Times New Roman"/>
          <w:sz w:val="24"/>
          <w:szCs w:val="24"/>
        </w:rPr>
      </w:pPr>
      <m:oMathPara>
        <m:oMath>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r>
            <w:rPr>
              <w:rFonts w:ascii="Cambria Math" w:hAnsi="Cambria Math" w:cs="Times New Roman"/>
              <w:sz w:val="24"/>
              <w:szCs w:val="24"/>
            </w:rPr>
            <m:t>≤10%</m:t>
          </m:r>
          <m:r>
            <m:rPr>
              <m:sty m:val="p"/>
            </m:rPr>
            <w:rPr>
              <w:rFonts w:ascii="Times New Roman" w:hAnsi="Times New Roman" w:cs="Times New Roman"/>
              <w:sz w:val="24"/>
              <w:szCs w:val="24"/>
            </w:rPr>
            <w:br/>
          </m:r>
        </m:oMath>
        <m:oMath>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r>
            <w:rPr>
              <w:rFonts w:ascii="Cambria Math" w:hAnsi="Cambria Math" w:cs="Times New Roman"/>
              <w:sz w:val="24"/>
              <w:szCs w:val="24"/>
            </w:rPr>
            <m:t>≥90%</m:t>
          </m:r>
          <m:r>
            <m:rPr>
              <m:sty m:val="p"/>
            </m:rPr>
            <w:rPr>
              <w:rFonts w:ascii="Times New Roman" w:hAnsi="Times New Roman" w:cs="Times New Roman"/>
              <w:sz w:val="24"/>
              <w:szCs w:val="24"/>
            </w:rPr>
            <w:br/>
          </m:r>
        </m:oMath>
        <m:oMath>
          <m:r>
            <w:rPr>
              <w:rFonts w:ascii="Cambria Math" w:hAnsi="Cambria Math" w:cs="Times New Roman"/>
              <w:sz w:val="24"/>
              <w:szCs w:val="24"/>
            </w:rPr>
            <m:t>40%≤uptak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r>
            <w:rPr>
              <w:rFonts w:ascii="Cambria Math" w:hAnsi="Cambria Math" w:cs="Times New Roman"/>
              <w:sz w:val="24"/>
              <w:szCs w:val="24"/>
            </w:rPr>
            <m:t>≤60%</m:t>
          </m:r>
        </m:oMath>
      </m:oMathPara>
    </w:p>
    <w:p w14:paraId="099597F1" w14:textId="4C45B459" w:rsidR="00AF63AB" w:rsidRPr="00AF63AB" w:rsidRDefault="00AF63AB" w:rsidP="008B2194">
      <w:pPr>
        <w:spacing w:line="480" w:lineRule="auto"/>
        <w:rPr>
          <w:rFonts w:ascii="Times New Roman" w:hAnsi="Times New Roman" w:cs="Times New Roman"/>
          <w:sz w:val="24"/>
          <w:szCs w:val="24"/>
        </w:rPr>
      </w:pPr>
      <w:r w:rsidRPr="004037C0">
        <w:rPr>
          <w:rFonts w:ascii="Times New Roman" w:hAnsi="Times New Roman" w:cs="Times New Roman"/>
          <w:sz w:val="24"/>
          <w:szCs w:val="24"/>
        </w:rPr>
        <w:t xml:space="preserve">The proportions at </w:t>
      </w:r>
      <m:oMath>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r>
          <w:rPr>
            <w:rFonts w:ascii="Cambria Math" w:hAnsi="Cambria Math" w:cs="Times New Roman"/>
            <w:sz w:val="24"/>
            <w:szCs w:val="24"/>
          </w:rPr>
          <m:t>≤10%</m:t>
        </m:r>
      </m:oMath>
      <w:r w:rsidRPr="004037C0">
        <w:rPr>
          <w:rFonts w:ascii="Times New Roman" w:hAnsi="Times New Roman" w:cs="Times New Roman"/>
          <w:sz w:val="24"/>
          <w:szCs w:val="24"/>
        </w:rPr>
        <w:t xml:space="preserve">and </w:t>
      </w:r>
      <m:oMath>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sub>
        </m:sSub>
        <m:r>
          <w:rPr>
            <w:rFonts w:ascii="Cambria Math" w:hAnsi="Cambria Math" w:cs="Times New Roman"/>
            <w:sz w:val="24"/>
            <w:szCs w:val="24"/>
          </w:rPr>
          <m:t>≥90%</m:t>
        </m:r>
      </m:oMath>
      <w:r w:rsidRPr="004037C0">
        <w:rPr>
          <w:rFonts w:ascii="Times New Roman" w:hAnsi="Times New Roman" w:cs="Times New Roman"/>
          <w:sz w:val="24"/>
          <w:szCs w:val="24"/>
        </w:rPr>
        <w:t>were used to describe concentration near the lower and upper extremes, whereas the 40%–60% range was used to describe the middle of the distribution.This analysis was exploratory and descriptive. A significant dip test indicated deviation from unimodality but did not identify the underlying mechanism.</w:t>
      </w:r>
    </w:p>
    <w:p w14:paraId="6EA34763"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lastRenderedPageBreak/>
        <w:t>Appendix S5. Reimbursement-class paired comparison</w:t>
      </w:r>
    </w:p>
    <w:p w14:paraId="08F68992"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S5.1 Analysis objective</w:t>
      </w:r>
    </w:p>
    <w:p w14:paraId="75084907"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A paired therapeutic-area analysis was conducted to assess whether Class B medicines showed systematically higher generic/biosimilar uptake than Class A medicines within the same therapeutic areas.</w:t>
      </w:r>
    </w:p>
    <w:p w14:paraId="59E68B13"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This analysis was descriptive and did not estimate the causal effect of reimbursement class.</w:t>
      </w:r>
    </w:p>
    <w:p w14:paraId="7C7249B7"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S5.2 Paired uptake calculation</w:t>
      </w:r>
    </w:p>
    <w:p w14:paraId="4782EE50"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For each therapeutic area that contained both Class A and Class B comparable drug forms, volume-weighted uptake was calculated separately for Class A and Class B medicines:</w:t>
      </w:r>
    </w:p>
    <w:p w14:paraId="04FD3E38" w14:textId="597ADD5A" w:rsidR="008B2194" w:rsidRPr="008B2194" w:rsidRDefault="008B2194" w:rsidP="008B2194">
      <w:pPr>
        <w:spacing w:line="480" w:lineRule="auto"/>
        <w:rPr>
          <w:rFonts w:ascii="Times New Roman" w:hAnsi="Times New Roman" w:cs="Times New Roman"/>
          <w:sz w:val="24"/>
          <w:szCs w:val="24"/>
        </w:rPr>
      </w:pPr>
      <m:oMathPara>
        <m:oMath>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A,a</m:t>
              </m:r>
            </m:sub>
          </m:sSub>
          <m:r>
            <w:rPr>
              <w:rFonts w:ascii="Cambria Math" w:hAnsi="Cambria Math" w:cs="Times New Roman"/>
              <w:sz w:val="24"/>
              <w:szCs w:val="24"/>
            </w:rPr>
            <m:t>=</m:t>
          </m:r>
          <m:f>
            <m:fPr>
              <m:ctrlPr>
                <w:rPr>
                  <w:rFonts w:ascii="Cambria Math" w:hAnsi="Cambria Math" w:cs="Times New Roman"/>
                  <w:sz w:val="24"/>
                  <w:szCs w:val="24"/>
                </w:rPr>
              </m:ctrlPr>
            </m:fPr>
            <m:num>
              <m:nary>
                <m:naryPr>
                  <m:chr m:val="∑"/>
                  <m:grow m:val="1"/>
                  <m:subHide m:val="1"/>
                  <m:supHide m:val="1"/>
                  <m:ctrlPr>
                    <w:rPr>
                      <w:rFonts w:ascii="Cambria Math" w:hAnsi="Cambria Math" w:cs="Times New Roman"/>
                      <w:sz w:val="24"/>
                      <w:szCs w:val="24"/>
                    </w:rPr>
                  </m:ctrlPr>
                </m:naryPr>
                <m:sub/>
                <m:sup/>
                <m:e>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A,a</m:t>
                      </m:r>
                    </m:sub>
                  </m:sSub>
                </m:e>
              </m:nary>
            </m:num>
            <m:den>
              <m:nary>
                <m:naryPr>
                  <m:chr m:val="∑"/>
                  <m:grow m:val="1"/>
                  <m:subHide m:val="1"/>
                  <m:supHide m:val="1"/>
                  <m:ctrlPr>
                    <w:rPr>
                      <w:rFonts w:ascii="Cambria Math" w:hAnsi="Cambria Math" w:cs="Times New Roman"/>
                      <w:sz w:val="24"/>
                      <w:szCs w:val="24"/>
                    </w:rPr>
                  </m:ctrlPr>
                </m:naryPr>
                <m:sub/>
                <m:sup/>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A,a</m:t>
                      </m:r>
                    </m:sub>
                  </m:sSub>
                </m:e>
              </m:nary>
            </m:den>
          </m:f>
          <m:r>
            <m:rPr>
              <m:sty m:val="p"/>
            </m:rPr>
            <w:rPr>
              <w:rFonts w:ascii="Times New Roman" w:hAnsi="Times New Roman" w:cs="Times New Roman"/>
              <w:sz w:val="24"/>
              <w:szCs w:val="24"/>
            </w:rPr>
            <w:br/>
          </m:r>
        </m:oMath>
        <m:oMath>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B,a</m:t>
              </m:r>
            </m:sub>
          </m:sSub>
          <m:r>
            <w:rPr>
              <w:rFonts w:ascii="Cambria Math" w:hAnsi="Cambria Math" w:cs="Times New Roman"/>
              <w:sz w:val="24"/>
              <w:szCs w:val="24"/>
            </w:rPr>
            <m:t>=</m:t>
          </m:r>
          <m:f>
            <m:fPr>
              <m:ctrlPr>
                <w:rPr>
                  <w:rFonts w:ascii="Cambria Math" w:hAnsi="Cambria Math" w:cs="Times New Roman"/>
                  <w:sz w:val="24"/>
                  <w:szCs w:val="24"/>
                </w:rPr>
              </m:ctrlPr>
            </m:fPr>
            <m:num>
              <m:nary>
                <m:naryPr>
                  <m:chr m:val="∑"/>
                  <m:grow m:val="1"/>
                  <m:subHide m:val="1"/>
                  <m:supHide m:val="1"/>
                  <m:ctrlPr>
                    <w:rPr>
                      <w:rFonts w:ascii="Cambria Math" w:hAnsi="Cambria Math" w:cs="Times New Roman"/>
                      <w:sz w:val="24"/>
                      <w:szCs w:val="24"/>
                    </w:rPr>
                  </m:ctrlPr>
                </m:naryPr>
                <m:sub/>
                <m:sup/>
                <m:e>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B,a</m:t>
                      </m:r>
                    </m:sub>
                  </m:sSub>
                </m:e>
              </m:nary>
            </m:num>
            <m:den>
              <m:nary>
                <m:naryPr>
                  <m:chr m:val="∑"/>
                  <m:grow m:val="1"/>
                  <m:subHide m:val="1"/>
                  <m:supHide m:val="1"/>
                  <m:ctrlPr>
                    <w:rPr>
                      <w:rFonts w:ascii="Cambria Math" w:hAnsi="Cambria Math" w:cs="Times New Roman"/>
                      <w:sz w:val="24"/>
                      <w:szCs w:val="24"/>
                    </w:rPr>
                  </m:ctrlPr>
                </m:naryPr>
                <m:sub/>
                <m:sup/>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B,a</m:t>
                      </m:r>
                    </m:sub>
                  </m:sSub>
                </m:e>
              </m:nary>
            </m:den>
          </m:f>
        </m:oMath>
      </m:oMathPara>
    </w:p>
    <w:p w14:paraId="0248A4F1"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paired difference was defined as:</w:t>
      </w:r>
    </w:p>
    <w:p w14:paraId="37EC66AD" w14:textId="08A21513" w:rsidR="008B2194" w:rsidRPr="008B2194" w:rsidRDefault="00000000" w:rsidP="008B2194">
      <w:pPr>
        <w:spacing w:line="480" w:lineRule="auto"/>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Δ</m:t>
              </m:r>
            </m:e>
            <m:sub>
              <m:r>
                <w:rPr>
                  <w:rFonts w:ascii="Cambria Math" w:hAnsi="Cambria Math" w:cs="Times New Roman"/>
                  <w:sz w:val="24"/>
                  <w:szCs w:val="24"/>
                </w:rPr>
                <m:t>a</m:t>
              </m:r>
            </m:sub>
          </m:sSub>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B,a</m:t>
              </m:r>
            </m:sub>
          </m:sSub>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A,a</m:t>
              </m:r>
            </m:sub>
          </m:sSub>
        </m:oMath>
      </m:oMathPara>
    </w:p>
    <w:p w14:paraId="032BCC60" w14:textId="3AE0A3C8"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where </w:t>
      </w:r>
      <m:oMath>
        <m:r>
          <w:rPr>
            <w:rFonts w:ascii="Cambria Math" w:hAnsi="Cambria Math" w:cs="Times New Roman"/>
            <w:sz w:val="24"/>
            <w:szCs w:val="24"/>
          </w:rPr>
          <m:t>a</m:t>
        </m:r>
      </m:oMath>
      <w:r w:rsidRPr="008B2194">
        <w:rPr>
          <w:rFonts w:ascii="Times New Roman" w:hAnsi="Times New Roman" w:cs="Times New Roman"/>
          <w:sz w:val="24"/>
          <w:szCs w:val="24"/>
        </w:rPr>
        <w:t>denotes therapeutic area.</w:t>
      </w:r>
    </w:p>
    <w:p w14:paraId="424C3AF8"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S5.3 Statistical comparison</w:t>
      </w:r>
    </w:p>
    <w:p w14:paraId="017F0980" w14:textId="17523283"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The paired differences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Δ</m:t>
            </m:r>
          </m:e>
          <m:sub>
            <m:r>
              <w:rPr>
                <w:rFonts w:ascii="Cambria Math" w:hAnsi="Cambria Math" w:cs="Times New Roman"/>
                <w:sz w:val="24"/>
                <w:szCs w:val="24"/>
              </w:rPr>
              <m:t>a</m:t>
            </m:r>
          </m:sub>
        </m:sSub>
      </m:oMath>
      <w:r w:rsidRPr="008B2194">
        <w:rPr>
          <w:rFonts w:ascii="Times New Roman" w:hAnsi="Times New Roman" w:cs="Times New Roman"/>
          <w:sz w:val="24"/>
          <w:szCs w:val="24"/>
        </w:rPr>
        <w:t>were assessed using the Wilcoxon signed-rank test.</w:t>
      </w:r>
    </w:p>
    <w:p w14:paraId="019C2FF9"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primary direction tested was whether Class B uptake was systematically higher than Class A uptake across therapeutic areas.</w:t>
      </w:r>
    </w:p>
    <w:p w14:paraId="5FE906F9"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following were reported:</w:t>
      </w:r>
    </w:p>
    <w:p w14:paraId="09BD678C" w14:textId="77777777" w:rsidR="008B2194" w:rsidRPr="008B2194" w:rsidRDefault="008B2194" w:rsidP="008B2194">
      <w:pPr>
        <w:numPr>
          <w:ilvl w:val="0"/>
          <w:numId w:val="6"/>
        </w:numPr>
        <w:spacing w:line="480" w:lineRule="auto"/>
        <w:rPr>
          <w:rFonts w:ascii="Times New Roman" w:hAnsi="Times New Roman" w:cs="Times New Roman"/>
          <w:sz w:val="24"/>
          <w:szCs w:val="24"/>
        </w:rPr>
      </w:pPr>
      <w:r w:rsidRPr="008B2194">
        <w:rPr>
          <w:rFonts w:ascii="Times New Roman" w:hAnsi="Times New Roman" w:cs="Times New Roman"/>
          <w:sz w:val="24"/>
          <w:szCs w:val="24"/>
        </w:rPr>
        <w:lastRenderedPageBreak/>
        <w:t xml:space="preserve">number of paired therapeutic areas; </w:t>
      </w:r>
    </w:p>
    <w:p w14:paraId="423A0C00" w14:textId="77777777" w:rsidR="008B2194" w:rsidRPr="008B2194" w:rsidRDefault="008B2194" w:rsidP="008B2194">
      <w:pPr>
        <w:numPr>
          <w:ilvl w:val="0"/>
          <w:numId w:val="6"/>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number of therapeutic areas with Class B uptake higher than Class A; </w:t>
      </w:r>
    </w:p>
    <w:p w14:paraId="47EB20EF" w14:textId="77777777" w:rsidR="008B2194" w:rsidRPr="008B2194" w:rsidRDefault="008B2194" w:rsidP="008B2194">
      <w:pPr>
        <w:numPr>
          <w:ilvl w:val="0"/>
          <w:numId w:val="6"/>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number of therapeutic areas with Class A uptake higher than Class B; </w:t>
      </w:r>
    </w:p>
    <w:p w14:paraId="225B4EDD" w14:textId="77777777" w:rsidR="008B2194" w:rsidRPr="008B2194" w:rsidRDefault="008B2194" w:rsidP="008B2194">
      <w:pPr>
        <w:numPr>
          <w:ilvl w:val="0"/>
          <w:numId w:val="6"/>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median paired difference; </w:t>
      </w:r>
    </w:p>
    <w:p w14:paraId="23ED2630" w14:textId="6420B17D" w:rsidR="00AF63AB" w:rsidRDefault="008B2194" w:rsidP="008B2194">
      <w:pPr>
        <w:numPr>
          <w:ilvl w:val="0"/>
          <w:numId w:val="6"/>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Wilcoxon signed-rank p value. </w:t>
      </w:r>
    </w:p>
    <w:p w14:paraId="5545F415" w14:textId="77777777" w:rsidR="00AF63AB" w:rsidRDefault="00AF63AB">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2437BA5"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lastRenderedPageBreak/>
        <w:t>Appendix S6. Time-trend analysis</w:t>
      </w:r>
    </w:p>
    <w:p w14:paraId="51EB56DC"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S6.1 Annual uptake calculation</w:t>
      </w:r>
    </w:p>
    <w:p w14:paraId="4C7021AB"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Annual uptake was calculated for 2020–2024.</w:t>
      </w:r>
    </w:p>
    <w:p w14:paraId="04C87E9B"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For each year, uptake was calculated using aggregated sales volumes:</w:t>
      </w:r>
    </w:p>
    <w:p w14:paraId="1AADBFDA" w14:textId="4D0F27E8" w:rsidR="008B2194" w:rsidRPr="008B2194" w:rsidRDefault="008B2194" w:rsidP="008B2194">
      <w:pPr>
        <w:spacing w:line="480" w:lineRule="auto"/>
        <w:rPr>
          <w:rFonts w:ascii="Times New Roman" w:hAnsi="Times New Roman" w:cs="Times New Roman"/>
          <w:sz w:val="24"/>
          <w:szCs w:val="24"/>
        </w:rPr>
      </w:pPr>
      <m:oMathPara>
        <m:oMath>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m:t>
          </m:r>
          <m:f>
            <m:fPr>
              <m:ctrlPr>
                <w:rPr>
                  <w:rFonts w:ascii="Cambria Math" w:hAnsi="Cambria Math" w:cs="Times New Roman"/>
                  <w:sz w:val="24"/>
                  <w:szCs w:val="24"/>
                </w:rPr>
              </m:ctrlPr>
            </m:fPr>
            <m:num>
              <m:nary>
                <m:naryPr>
                  <m:chr m:val="∑"/>
                  <m:grow m:val="1"/>
                  <m:subHide m:val="1"/>
                  <m:supHide m:val="1"/>
                  <m:ctrlPr>
                    <w:rPr>
                      <w:rFonts w:ascii="Cambria Math" w:hAnsi="Cambria Math" w:cs="Times New Roman"/>
                      <w:sz w:val="24"/>
                      <w:szCs w:val="24"/>
                    </w:rPr>
                  </m:ctrlPr>
                </m:naryPr>
                <m:sub/>
                <m:sup/>
                <m:e>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t</m:t>
                      </m:r>
                    </m:sub>
                  </m:sSub>
                </m:e>
              </m:nary>
            </m:num>
            <m:den>
              <m:nary>
                <m:naryPr>
                  <m:chr m:val="∑"/>
                  <m:grow m:val="1"/>
                  <m:subHide m:val="1"/>
                  <m:supHide m:val="1"/>
                  <m:ctrlPr>
                    <w:rPr>
                      <w:rFonts w:ascii="Cambria Math" w:hAnsi="Cambria Math" w:cs="Times New Roman"/>
                      <w:sz w:val="24"/>
                      <w:szCs w:val="24"/>
                    </w:rPr>
                  </m:ctrlPr>
                </m:naryPr>
                <m:sub/>
                <m:sup/>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t</m:t>
                      </m:r>
                    </m:sub>
                  </m:sSub>
                </m:e>
              </m:nary>
            </m:den>
          </m:f>
        </m:oMath>
      </m:oMathPara>
    </w:p>
    <w:p w14:paraId="16A5C2DF"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Annual uptake was calculated for four scopes:</w:t>
      </w:r>
    </w:p>
    <w:p w14:paraId="7031B316" w14:textId="77777777" w:rsidR="008B2194" w:rsidRPr="008B2194" w:rsidRDefault="008B2194" w:rsidP="008B2194">
      <w:pPr>
        <w:numPr>
          <w:ilvl w:val="0"/>
          <w:numId w:val="7"/>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Overall: hospital, retail pharmacy, and online channels combined; </w:t>
      </w:r>
    </w:p>
    <w:p w14:paraId="3DB0372C" w14:textId="77777777" w:rsidR="008B2194" w:rsidRPr="008B2194" w:rsidRDefault="008B2194" w:rsidP="008B2194">
      <w:pPr>
        <w:numPr>
          <w:ilvl w:val="0"/>
          <w:numId w:val="7"/>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Hospital; </w:t>
      </w:r>
    </w:p>
    <w:p w14:paraId="2C416748" w14:textId="77777777" w:rsidR="008B2194" w:rsidRPr="008B2194" w:rsidRDefault="008B2194" w:rsidP="008B2194">
      <w:pPr>
        <w:numPr>
          <w:ilvl w:val="0"/>
          <w:numId w:val="7"/>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Retail pharmacy; </w:t>
      </w:r>
    </w:p>
    <w:p w14:paraId="6423F5E4" w14:textId="77777777" w:rsidR="008B2194" w:rsidRPr="008B2194" w:rsidRDefault="008B2194" w:rsidP="008B2194">
      <w:pPr>
        <w:numPr>
          <w:ilvl w:val="0"/>
          <w:numId w:val="7"/>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Online. </w:t>
      </w:r>
    </w:p>
    <w:p w14:paraId="529D29A2"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same calculations were repeated for each therapeutic area.</w:t>
      </w:r>
    </w:p>
    <w:p w14:paraId="725304B7"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S6.2 Linear trend model</w:t>
      </w:r>
    </w:p>
    <w:p w14:paraId="75E8CAA7"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For descriptive trend summaries, a simple linear model was fitted:</w:t>
      </w:r>
    </w:p>
    <w:p w14:paraId="7EB35157" w14:textId="55B48012" w:rsidR="008B2194" w:rsidRPr="008B2194" w:rsidRDefault="008B2194" w:rsidP="008B2194">
      <w:pPr>
        <w:spacing w:line="480" w:lineRule="auto"/>
        <w:rPr>
          <w:rFonts w:ascii="Times New Roman" w:hAnsi="Times New Roman" w:cs="Times New Roman"/>
          <w:sz w:val="24"/>
          <w:szCs w:val="24"/>
        </w:rPr>
      </w:pPr>
      <m:oMathPara>
        <m:oMath>
          <m:r>
            <w:rPr>
              <w:rFonts w:ascii="Cambria Math" w:hAnsi="Cambria Math" w:cs="Times New Roman"/>
              <w:sz w:val="24"/>
              <w:szCs w:val="24"/>
            </w:rPr>
            <m:t>uptak</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=α+β×yea</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t</m:t>
              </m:r>
            </m:sub>
          </m:sSub>
        </m:oMath>
      </m:oMathPara>
    </w:p>
    <w:p w14:paraId="40446D5E" w14:textId="533F0ACA"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The slope </w:t>
      </w:r>
      <m:oMath>
        <m:r>
          <w:rPr>
            <w:rFonts w:ascii="Cambria Math" w:hAnsi="Cambria Math" w:cs="Times New Roman"/>
            <w:sz w:val="24"/>
            <w:szCs w:val="24"/>
          </w:rPr>
          <m:t>β</m:t>
        </m:r>
      </m:oMath>
      <w:r w:rsidRPr="008B2194">
        <w:rPr>
          <w:rFonts w:ascii="Times New Roman" w:hAnsi="Times New Roman" w:cs="Times New Roman"/>
          <w:sz w:val="24"/>
          <w:szCs w:val="24"/>
        </w:rPr>
        <w:t>was expressed as percentage points per year.</w:t>
      </w:r>
    </w:p>
    <w:p w14:paraId="1C24853E" w14:textId="3DECB15C"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For example, a slope of </w:t>
      </w:r>
      <m:oMath>
        <m:r>
          <w:rPr>
            <w:rFonts w:ascii="Cambria Math" w:hAnsi="Cambria Math" w:cs="Times New Roman"/>
            <w:sz w:val="24"/>
            <w:szCs w:val="24"/>
          </w:rPr>
          <m:t>+1.0</m:t>
        </m:r>
      </m:oMath>
      <w:r w:rsidRPr="008B2194">
        <w:rPr>
          <w:rFonts w:ascii="Times New Roman" w:hAnsi="Times New Roman" w:cs="Times New Roman"/>
          <w:sz w:val="24"/>
          <w:szCs w:val="24"/>
        </w:rPr>
        <w:t>percentage points per year indicates that uptake increased by approximately one percentage point per year on average, not by 1% relative growth per year.</w:t>
      </w:r>
    </w:p>
    <w:p w14:paraId="40186A0C" w14:textId="24FF372F" w:rsidR="00AF63AB"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model was used only to describe the direction and magnitude of annual changes. It was not used to infer policy effects.</w:t>
      </w:r>
    </w:p>
    <w:p w14:paraId="6DF4DEB6" w14:textId="77777777" w:rsidR="00AF63AB" w:rsidRDefault="00AF63AB">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91DB680"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lastRenderedPageBreak/>
        <w:t>Appendix S7. Rheumatoid arthritis tracer analysis</w:t>
      </w:r>
    </w:p>
    <w:p w14:paraId="53EEF928"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S7.1 Rationale</w:t>
      </w:r>
    </w:p>
    <w:p w14:paraId="11D95744"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Rheumatoid arthritis was selected as a tracer pathway because its treatment pathway includes conventional first-line therapy and escalation to biological agents or biosimilar products.</w:t>
      </w:r>
    </w:p>
    <w:p w14:paraId="59F5761C"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tracer analysis was used to provide treatment-pathway context for interpreting observed sales structures. It was not intended to estimate precise substitution rates between biosimilar and originator products.</w:t>
      </w:r>
    </w:p>
    <w:p w14:paraId="38C10908"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S7.2 Tracer products</w:t>
      </w:r>
    </w:p>
    <w:p w14:paraId="60845138"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tracer products included:</w:t>
      </w:r>
    </w:p>
    <w:p w14:paraId="4F2CBEF7" w14:textId="77777777" w:rsidR="008B2194" w:rsidRPr="008B2194" w:rsidRDefault="008B2194" w:rsidP="008B2194">
      <w:pPr>
        <w:numPr>
          <w:ilvl w:val="0"/>
          <w:numId w:val="10"/>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methotrexate, representing conventional first-line therapy; </w:t>
      </w:r>
    </w:p>
    <w:p w14:paraId="02A6D99C" w14:textId="77777777" w:rsidR="008B2194" w:rsidRPr="008B2194" w:rsidRDefault="008B2194" w:rsidP="008B2194">
      <w:pPr>
        <w:numPr>
          <w:ilvl w:val="0"/>
          <w:numId w:val="10"/>
        </w:numPr>
        <w:spacing w:line="480" w:lineRule="auto"/>
        <w:rPr>
          <w:rFonts w:ascii="Times New Roman" w:hAnsi="Times New Roman" w:cs="Times New Roman"/>
          <w:sz w:val="24"/>
          <w:szCs w:val="24"/>
        </w:rPr>
      </w:pPr>
      <w:proofErr w:type="spellStart"/>
      <w:r w:rsidRPr="008B2194">
        <w:rPr>
          <w:rFonts w:ascii="Times New Roman" w:hAnsi="Times New Roman" w:cs="Times New Roman"/>
          <w:sz w:val="24"/>
          <w:szCs w:val="24"/>
        </w:rPr>
        <w:t>rhTNFR:Fc</w:t>
      </w:r>
      <w:proofErr w:type="spellEnd"/>
      <w:r w:rsidRPr="008B2194">
        <w:rPr>
          <w:rFonts w:ascii="Times New Roman" w:hAnsi="Times New Roman" w:cs="Times New Roman"/>
          <w:sz w:val="24"/>
          <w:szCs w:val="24"/>
        </w:rPr>
        <w:t xml:space="preserve"> / </w:t>
      </w:r>
      <w:proofErr w:type="spellStart"/>
      <w:r w:rsidRPr="008B2194">
        <w:rPr>
          <w:rFonts w:ascii="Times New Roman" w:hAnsi="Times New Roman" w:cs="Times New Roman"/>
          <w:sz w:val="24"/>
          <w:szCs w:val="24"/>
        </w:rPr>
        <w:t>Yisaipu</w:t>
      </w:r>
      <w:proofErr w:type="spellEnd"/>
      <w:r w:rsidRPr="008B2194">
        <w:rPr>
          <w:rFonts w:ascii="Times New Roman" w:hAnsi="Times New Roman" w:cs="Times New Roman"/>
          <w:sz w:val="24"/>
          <w:szCs w:val="24"/>
        </w:rPr>
        <w:t xml:space="preserve">-related products, representing domestic biological or biosimilar-related tracer products; </w:t>
      </w:r>
    </w:p>
    <w:p w14:paraId="55F6DAE9" w14:textId="77777777" w:rsidR="008B2194" w:rsidRPr="008B2194" w:rsidRDefault="008B2194" w:rsidP="008B2194">
      <w:pPr>
        <w:numPr>
          <w:ilvl w:val="0"/>
          <w:numId w:val="10"/>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originator etanercept injection, used as a reference originator product. </w:t>
      </w:r>
    </w:p>
    <w:p w14:paraId="7A39010C"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S7.3 Time window</w:t>
      </w:r>
    </w:p>
    <w:p w14:paraId="77EA297C"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analysis was restricted to 2021–2024 because originator etanercept entered the NRDL statistical scope from March 2021 onwards. Data from 2020 were therefore not considered comparable for this tracer pathway.</w:t>
      </w:r>
    </w:p>
    <w:p w14:paraId="6D466B43"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S7.4 Analysis</w:t>
      </w:r>
    </w:p>
    <w:p w14:paraId="418DD4DD"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Sales volumes were described by year and distribution channel.</w:t>
      </w:r>
    </w:p>
    <w:p w14:paraId="257A400F" w14:textId="7FAAC780"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analysis did not estimate patient-level switching, prescription substitution, or causal effects of reimbursement listing.</w:t>
      </w:r>
    </w:p>
    <w:p w14:paraId="5DF85564"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lastRenderedPageBreak/>
        <w:t>Appendix S8. Physician survey</w:t>
      </w:r>
    </w:p>
    <w:p w14:paraId="1AF0C448"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S8.1 Survey design</w:t>
      </w:r>
    </w:p>
    <w:p w14:paraId="21A6C7AA"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An anonymous cross-sectional physician survey was conducted to provide contextual information on prescribing considerations and perceived implementation barriers.</w:t>
      </w:r>
    </w:p>
    <w:p w14:paraId="16467F81"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survey was supplementary to the sales-data analysis and was not used as primary evidence for estimating uptake.</w:t>
      </w:r>
    </w:p>
    <w:p w14:paraId="29963AED"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S8.2 Participants and recruitment</w:t>
      </w:r>
    </w:p>
    <w:p w14:paraId="035F5F62"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survey targeted clinicians involved in relevant prescribing decisions, mainly rheumatologists. Participants were recruited using convenience sampling.</w:t>
      </w:r>
    </w:p>
    <w:p w14:paraId="7CDAD870"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A total of 202 valid responses were obtained.</w:t>
      </w:r>
    </w:p>
    <w:p w14:paraId="72AE3679"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Because the sample was not randomly selected and was not designed to be nationally representative, survey findings were interpreted as explanatory context only.</w:t>
      </w:r>
    </w:p>
    <w:p w14:paraId="206CAE7B"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S8.3 Questionnaire domains</w:t>
      </w:r>
    </w:p>
    <w:p w14:paraId="046E552B"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The questionnaire covered:</w:t>
      </w:r>
    </w:p>
    <w:p w14:paraId="17C5F3BE" w14:textId="77777777" w:rsidR="008B2194" w:rsidRPr="008B2194" w:rsidRDefault="008B2194" w:rsidP="008B2194">
      <w:pPr>
        <w:numPr>
          <w:ilvl w:val="0"/>
          <w:numId w:val="11"/>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factors influencing prescribing decisions; </w:t>
      </w:r>
    </w:p>
    <w:p w14:paraId="20247E71" w14:textId="77777777" w:rsidR="008B2194" w:rsidRPr="008B2194" w:rsidRDefault="008B2194" w:rsidP="008B2194">
      <w:pPr>
        <w:numPr>
          <w:ilvl w:val="0"/>
          <w:numId w:val="11"/>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perceived importance of affordability; </w:t>
      </w:r>
    </w:p>
    <w:p w14:paraId="3313744B" w14:textId="77777777" w:rsidR="008B2194" w:rsidRPr="008B2194" w:rsidRDefault="008B2194" w:rsidP="008B2194">
      <w:pPr>
        <w:numPr>
          <w:ilvl w:val="0"/>
          <w:numId w:val="11"/>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perceived importance of evidence on efficacy and safety; </w:t>
      </w:r>
    </w:p>
    <w:p w14:paraId="0C61206A" w14:textId="77777777" w:rsidR="008B2194" w:rsidRPr="008B2194" w:rsidRDefault="008B2194" w:rsidP="008B2194">
      <w:pPr>
        <w:numPr>
          <w:ilvl w:val="0"/>
          <w:numId w:val="11"/>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hospital formulary access; </w:t>
      </w:r>
    </w:p>
    <w:p w14:paraId="05253AB5" w14:textId="77777777" w:rsidR="008B2194" w:rsidRPr="008B2194" w:rsidRDefault="008B2194" w:rsidP="008B2194">
      <w:pPr>
        <w:numPr>
          <w:ilvl w:val="0"/>
          <w:numId w:val="11"/>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patient preferences; </w:t>
      </w:r>
    </w:p>
    <w:p w14:paraId="0049EE13" w14:textId="77777777" w:rsidR="008B2194" w:rsidRPr="008B2194" w:rsidRDefault="008B2194" w:rsidP="008B2194">
      <w:pPr>
        <w:numPr>
          <w:ilvl w:val="0"/>
          <w:numId w:val="11"/>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awareness of NRDL policy; </w:t>
      </w:r>
    </w:p>
    <w:p w14:paraId="2F3F0AD9" w14:textId="77777777" w:rsidR="008B2194" w:rsidRPr="008B2194" w:rsidRDefault="008B2194" w:rsidP="008B2194">
      <w:pPr>
        <w:numPr>
          <w:ilvl w:val="0"/>
          <w:numId w:val="11"/>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awareness of volume-based procurement policy. </w:t>
      </w:r>
    </w:p>
    <w:p w14:paraId="208FE64D"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S8.4 Consent</w:t>
      </w:r>
    </w:p>
    <w:p w14:paraId="750E5D93" w14:textId="50FBF1AD" w:rsidR="008B2194" w:rsidRPr="003F2A02" w:rsidRDefault="003F2A02" w:rsidP="008B2194">
      <w:pPr>
        <w:spacing w:line="480" w:lineRule="auto"/>
        <w:rPr>
          <w:rFonts w:ascii="Times New Roman" w:hAnsi="Times New Roman" w:cs="Times New Roman"/>
          <w:sz w:val="24"/>
          <w:szCs w:val="24"/>
        </w:rPr>
      </w:pPr>
      <w:r w:rsidRPr="003F2A02">
        <w:rPr>
          <w:rFonts w:ascii="Times New Roman" w:hAnsi="Times New Roman" w:cs="Times New Roman"/>
          <w:sz w:val="24"/>
          <w:szCs w:val="24"/>
        </w:rPr>
        <w:lastRenderedPageBreak/>
        <w:t>The anonymous physician survey was reviewed by the Ethics Committee of China Pharmaceutical University and was determined to be exempt from ethical review (Exemption No. CPU20260451). The survey was conducted in accordance with the Declaration of Helsinki and relevant institutional guidelines and regulations. Before participation, respondents were informed of the study purpose and the voluntary and anonymous nature of participation. Electronic informed consent to participate was obtained from all respondents; completion and submission of the questionnaire constituted consent to participate. No directly identifiable personal or patient-level information was collected</w:t>
      </w:r>
      <w:r w:rsidR="008B2194" w:rsidRPr="003F2A02">
        <w:rPr>
          <w:rFonts w:ascii="Times New Roman" w:hAnsi="Times New Roman" w:cs="Times New Roman"/>
          <w:sz w:val="24"/>
          <w:szCs w:val="24"/>
        </w:rPr>
        <w:t>.</w:t>
      </w:r>
    </w:p>
    <w:p w14:paraId="4328C298" w14:textId="77777777" w:rsidR="008B2194" w:rsidRPr="008B2194" w:rsidRDefault="008B2194" w:rsidP="008B2194">
      <w:pPr>
        <w:spacing w:line="480" w:lineRule="auto"/>
        <w:rPr>
          <w:rFonts w:ascii="Times New Roman" w:hAnsi="Times New Roman" w:cs="Times New Roman"/>
          <w:b/>
          <w:bCs/>
          <w:sz w:val="24"/>
          <w:szCs w:val="24"/>
        </w:rPr>
      </w:pPr>
      <w:r w:rsidRPr="008B2194">
        <w:rPr>
          <w:rFonts w:ascii="Times New Roman" w:hAnsi="Times New Roman" w:cs="Times New Roman"/>
          <w:b/>
          <w:bCs/>
          <w:sz w:val="24"/>
          <w:szCs w:val="24"/>
        </w:rPr>
        <w:t>S8.5 Statistical description</w:t>
      </w:r>
    </w:p>
    <w:p w14:paraId="0DBE142B"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Categorical variables were </w:t>
      </w:r>
      <w:proofErr w:type="spellStart"/>
      <w:r w:rsidRPr="008B2194">
        <w:rPr>
          <w:rFonts w:ascii="Times New Roman" w:hAnsi="Times New Roman" w:cs="Times New Roman"/>
          <w:sz w:val="24"/>
          <w:szCs w:val="24"/>
        </w:rPr>
        <w:t>summarised</w:t>
      </w:r>
      <w:proofErr w:type="spellEnd"/>
      <w:r w:rsidRPr="008B2194">
        <w:rPr>
          <w:rFonts w:ascii="Times New Roman" w:hAnsi="Times New Roman" w:cs="Times New Roman"/>
          <w:sz w:val="24"/>
          <w:szCs w:val="24"/>
        </w:rPr>
        <w:t xml:space="preserve"> using frequencies and percentages.</w:t>
      </w:r>
    </w:p>
    <w:p w14:paraId="50186C05"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Ordinal or rating-scale variables were </w:t>
      </w:r>
      <w:proofErr w:type="spellStart"/>
      <w:r w:rsidRPr="008B2194">
        <w:rPr>
          <w:rFonts w:ascii="Times New Roman" w:hAnsi="Times New Roman" w:cs="Times New Roman"/>
          <w:sz w:val="24"/>
          <w:szCs w:val="24"/>
        </w:rPr>
        <w:t>summarised</w:t>
      </w:r>
      <w:proofErr w:type="spellEnd"/>
      <w:r w:rsidRPr="008B2194">
        <w:rPr>
          <w:rFonts w:ascii="Times New Roman" w:hAnsi="Times New Roman" w:cs="Times New Roman"/>
          <w:sz w:val="24"/>
          <w:szCs w:val="24"/>
        </w:rPr>
        <w:t xml:space="preserve"> using:</w:t>
      </w:r>
    </w:p>
    <w:p w14:paraId="53F4D0B6" w14:textId="77777777" w:rsidR="008B2194" w:rsidRPr="008B2194" w:rsidRDefault="008B2194" w:rsidP="008B2194">
      <w:pPr>
        <w:numPr>
          <w:ilvl w:val="0"/>
          <w:numId w:val="12"/>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mean; </w:t>
      </w:r>
    </w:p>
    <w:p w14:paraId="71F7A83C" w14:textId="77777777" w:rsidR="008B2194" w:rsidRPr="008B2194" w:rsidRDefault="008B2194" w:rsidP="008B2194">
      <w:pPr>
        <w:numPr>
          <w:ilvl w:val="0"/>
          <w:numId w:val="12"/>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standard deviation; </w:t>
      </w:r>
    </w:p>
    <w:p w14:paraId="44FE08FF" w14:textId="77777777" w:rsidR="008B2194" w:rsidRPr="008B2194" w:rsidRDefault="008B2194" w:rsidP="008B2194">
      <w:pPr>
        <w:numPr>
          <w:ilvl w:val="0"/>
          <w:numId w:val="12"/>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median; </w:t>
      </w:r>
    </w:p>
    <w:p w14:paraId="60ABFA92" w14:textId="77777777" w:rsidR="008B2194" w:rsidRPr="008B2194" w:rsidRDefault="008B2194" w:rsidP="008B2194">
      <w:pPr>
        <w:numPr>
          <w:ilvl w:val="0"/>
          <w:numId w:val="12"/>
        </w:numPr>
        <w:spacing w:line="480" w:lineRule="auto"/>
        <w:rPr>
          <w:rFonts w:ascii="Times New Roman" w:hAnsi="Times New Roman" w:cs="Times New Roman"/>
          <w:sz w:val="24"/>
          <w:szCs w:val="24"/>
        </w:rPr>
      </w:pPr>
      <w:r w:rsidRPr="008B2194">
        <w:rPr>
          <w:rFonts w:ascii="Times New Roman" w:hAnsi="Times New Roman" w:cs="Times New Roman"/>
          <w:sz w:val="24"/>
          <w:szCs w:val="24"/>
        </w:rPr>
        <w:t xml:space="preserve">interquartile range. </w:t>
      </w:r>
    </w:p>
    <w:p w14:paraId="40B8AE5F" w14:textId="77777777" w:rsidR="008B2194" w:rsidRPr="008B2194" w:rsidRDefault="008B2194" w:rsidP="008B2194">
      <w:pPr>
        <w:spacing w:line="480" w:lineRule="auto"/>
        <w:rPr>
          <w:rFonts w:ascii="Times New Roman" w:hAnsi="Times New Roman" w:cs="Times New Roman"/>
          <w:sz w:val="24"/>
          <w:szCs w:val="24"/>
        </w:rPr>
      </w:pPr>
      <w:r w:rsidRPr="008B2194">
        <w:rPr>
          <w:rFonts w:ascii="Times New Roman" w:hAnsi="Times New Roman" w:cs="Times New Roman"/>
          <w:sz w:val="24"/>
          <w:szCs w:val="24"/>
        </w:rPr>
        <w:t>Because perceived-importance ratings were generally high, interpretation focused on the relative ranking of factors rather than on whether a single factor exceeded a predefined threshold.</w:t>
      </w:r>
    </w:p>
    <w:p w14:paraId="6658B9F0" w14:textId="714DB605" w:rsidR="00A9017F" w:rsidRDefault="00A9017F">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602D931" w14:textId="26EDDFAA" w:rsidR="00A9017F" w:rsidRPr="003C2054" w:rsidRDefault="00A9017F" w:rsidP="00A9017F">
      <w:pPr>
        <w:rPr>
          <w:rFonts w:ascii="Times New Roman" w:hAnsi="Times New Roman" w:cs="Times New Roman"/>
          <w:b/>
          <w:bCs/>
        </w:rPr>
      </w:pPr>
      <w:r w:rsidRPr="003C2054">
        <w:rPr>
          <w:rFonts w:ascii="Times New Roman" w:hAnsi="Times New Roman" w:cs="Times New Roman"/>
          <w:b/>
          <w:bCs/>
        </w:rPr>
        <w:lastRenderedPageBreak/>
        <w:t>Supplementary Figure S1. Generic/biosimilar uptake by therapeutic area and distribution channel: all drug forms versus comparable drug forms, 2020</w:t>
      </w:r>
      <w:r w:rsidRPr="003C2054">
        <w:rPr>
          <w:rFonts w:ascii="Times New Roman" w:hAnsi="Times New Roman" w:cs="Times New Roman" w:hint="eastAsia"/>
          <w:b/>
          <w:bCs/>
        </w:rPr>
        <w:t>-2024</w:t>
      </w:r>
    </w:p>
    <w:p w14:paraId="0652E41A" w14:textId="1E94538C" w:rsidR="00A9017F" w:rsidRDefault="00A9017F" w:rsidP="00A9017F">
      <w:pPr>
        <w:jc w:val="center"/>
        <w:rPr>
          <w:rFonts w:ascii="Times New Roman" w:hAnsi="Times New Roman" w:cs="Times New Roman"/>
        </w:rPr>
      </w:pPr>
      <w:r>
        <w:rPr>
          <w:rFonts w:ascii="Times New Roman" w:eastAsia="宋体" w:hAnsi="Times New Roman" w:cs="Times New Roman"/>
          <w:noProof/>
          <w:sz w:val="24"/>
          <w:szCs w:val="24"/>
        </w:rPr>
        <w:drawing>
          <wp:inline distT="0" distB="0" distL="0" distR="0" wp14:anchorId="3B55D26A" wp14:editId="6675FAF5">
            <wp:extent cx="5265420" cy="3558540"/>
            <wp:effectExtent l="0" t="0" r="0" b="3810"/>
            <wp:docPr id="5796296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5420" cy="3558540"/>
                    </a:xfrm>
                    <a:prstGeom prst="rect">
                      <a:avLst/>
                    </a:prstGeom>
                    <a:noFill/>
                    <a:ln>
                      <a:noFill/>
                    </a:ln>
                  </pic:spPr>
                </pic:pic>
              </a:graphicData>
            </a:graphic>
          </wp:inline>
        </w:drawing>
      </w:r>
    </w:p>
    <w:p w14:paraId="35056EDF" w14:textId="77777777" w:rsidR="00A9017F" w:rsidRDefault="00A9017F" w:rsidP="00B15D17">
      <w:pPr>
        <w:spacing w:line="360" w:lineRule="auto"/>
        <w:rPr>
          <w:rFonts w:ascii="Times New Roman" w:hAnsi="Times New Roman" w:cs="Times New Roman"/>
        </w:rPr>
      </w:pPr>
      <w:r w:rsidRPr="00575E33">
        <w:rPr>
          <w:rFonts w:ascii="Times New Roman" w:hAnsi="Times New Roman" w:cs="Times New Roman"/>
        </w:rPr>
        <w:t>The figure shows the uptake share of generics and biosimilars by therapeutic area and distribution channel in the specified year. The left panel includes all drug forms, whereas the right panel is restricted to comparable drug forms, defined as drug name–dosage form combinations in which both originator/innovative and generic/biosimilar products had observed positive sales during the 2020–2024 study period. Uptake share was defined as the proportion of generic/biosimilar sales volume among the combined sales volume of originator/innovative and generic/biosimilar products. Sales volume was measured in minimum formulation units recorded in the database. Percentages in each cell were calculated after aggregating underlying sales volumes, and N denotes the number of drug forms with positive sales records in that analytical stratum. An asterisk indicates N&lt;5 and should be interpreted with caution. NA indicates structural absence of relevant sales records or comparable drug forms and was not imputed. Sales records with unknown or unclassifiable product origin were excluded from both the numerator and denominator of the uptake-share calculation. The measure represents a relative sales-volume structure within the identifiable originator/innovative and generic/biosimilar sales universe and should not be interpreted as patient counts, prescription counts, treatment episodes, or whole-market share.</w:t>
      </w:r>
    </w:p>
    <w:p w14:paraId="4D4CCA89" w14:textId="4E9EA0C9" w:rsidR="0032667B" w:rsidRDefault="0032667B">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BD32159" w14:textId="77777777" w:rsidR="001C0F56" w:rsidRDefault="001C0F56" w:rsidP="001C0F56">
      <w:pPr>
        <w:pStyle w:val="2"/>
        <w:rPr>
          <w:rFonts w:hint="eastAsia"/>
        </w:rPr>
        <w:sectPr w:rsidR="001C0F56" w:rsidSect="001C0F56">
          <w:pgSz w:w="11906" w:h="16838"/>
          <w:pgMar w:top="1440" w:right="1800" w:bottom="1440" w:left="1800" w:header="851" w:footer="992" w:gutter="0"/>
          <w:cols w:space="425"/>
          <w:docGrid w:type="lines" w:linePitch="312"/>
        </w:sectPr>
      </w:pPr>
    </w:p>
    <w:p w14:paraId="4EDE7E3D" w14:textId="127EA652" w:rsidR="001C0F56" w:rsidRPr="001C0F56" w:rsidRDefault="001C0F56" w:rsidP="001C0F56">
      <w:pPr>
        <w:widowControl/>
        <w:jc w:val="left"/>
        <w:rPr>
          <w:rFonts w:ascii="Times New Roman" w:hAnsi="Times New Roman" w:cs="Times New Roman"/>
        </w:rPr>
      </w:pPr>
      <w:r w:rsidRPr="001C0F56">
        <w:rPr>
          <w:rFonts w:ascii="Times New Roman" w:hAnsi="Times New Roman" w:cs="Times New Roman"/>
        </w:rPr>
        <w:lastRenderedPageBreak/>
        <w:t>Supplementary Table S</w:t>
      </w:r>
      <w:r>
        <w:rPr>
          <w:rFonts w:ascii="Times New Roman" w:hAnsi="Times New Roman" w:cs="Times New Roman" w:hint="eastAsia"/>
        </w:rPr>
        <w:t>1</w:t>
      </w:r>
      <w:r w:rsidRPr="001C0F56">
        <w:rPr>
          <w:rFonts w:ascii="Times New Roman" w:hAnsi="Times New Roman" w:cs="Times New Roman"/>
        </w:rPr>
        <w:t>. Kruskal-Wallis overall test</w:t>
      </w:r>
    </w:p>
    <w:tbl>
      <w:tblPr>
        <w:tblStyle w:val="11"/>
        <w:tblW w:w="0" w:type="auto"/>
        <w:tblLayout w:type="fixed"/>
        <w:tblLook w:val="04A0" w:firstRow="1" w:lastRow="0" w:firstColumn="1" w:lastColumn="0" w:noHBand="0" w:noVBand="1"/>
      </w:tblPr>
      <w:tblGrid>
        <w:gridCol w:w="1656"/>
        <w:gridCol w:w="1008"/>
        <w:gridCol w:w="1368"/>
        <w:gridCol w:w="936"/>
        <w:gridCol w:w="648"/>
        <w:gridCol w:w="936"/>
        <w:gridCol w:w="1368"/>
        <w:gridCol w:w="6336"/>
      </w:tblGrid>
      <w:tr w:rsidR="001C0F56" w:rsidRPr="001C0F56" w14:paraId="0FCBE4AC" w14:textId="77777777" w:rsidTr="001C0F56">
        <w:trPr>
          <w:cnfStyle w:val="100000000000" w:firstRow="1" w:lastRow="0" w:firstColumn="0" w:lastColumn="0" w:oddVBand="0" w:evenVBand="0" w:oddHBand="0" w:evenHBand="0" w:firstRowFirstColumn="0" w:firstRowLastColumn="0" w:lastRowFirstColumn="0" w:lastRowLastColumn="0"/>
        </w:trPr>
        <w:tc>
          <w:tcPr>
            <w:tcW w:w="1656" w:type="dxa"/>
            <w:vAlign w:val="center"/>
          </w:tcPr>
          <w:p w14:paraId="489DCFB0" w14:textId="77777777" w:rsidR="001C0F56" w:rsidRPr="001C0F56" w:rsidRDefault="001C0F56" w:rsidP="001C0F56">
            <w:pPr>
              <w:widowControl/>
              <w:jc w:val="center"/>
              <w:rPr>
                <w:rFonts w:cs="Times New Roman"/>
                <w:szCs w:val="21"/>
              </w:rPr>
            </w:pPr>
            <w:r w:rsidRPr="001C0F56">
              <w:rPr>
                <w:rFonts w:eastAsiaTheme="minorEastAsia" w:cs="Times New Roman"/>
                <w:szCs w:val="21"/>
              </w:rPr>
              <w:t>test</w:t>
            </w:r>
          </w:p>
        </w:tc>
        <w:tc>
          <w:tcPr>
            <w:tcW w:w="1008" w:type="dxa"/>
            <w:vAlign w:val="center"/>
          </w:tcPr>
          <w:p w14:paraId="6935717F" w14:textId="103F72F2" w:rsidR="001C0F56" w:rsidRPr="001C0F56" w:rsidRDefault="001C0F56" w:rsidP="001C0F56">
            <w:pPr>
              <w:jc w:val="center"/>
              <w:rPr>
                <w:rFonts w:cs="Times New Roman"/>
                <w:szCs w:val="21"/>
              </w:rPr>
            </w:pPr>
            <w:r w:rsidRPr="001C0F56">
              <w:rPr>
                <w:rFonts w:eastAsia="Calibri" w:cs="Times New Roman"/>
                <w:b/>
                <w:szCs w:val="21"/>
              </w:rPr>
              <w:t>N</w:t>
            </w:r>
            <w:r>
              <w:rPr>
                <w:rFonts w:eastAsiaTheme="minorEastAsia" w:cs="Times New Roman" w:hint="eastAsia"/>
                <w:b/>
                <w:szCs w:val="21"/>
              </w:rPr>
              <w:t xml:space="preserve"> </w:t>
            </w:r>
            <w:r w:rsidRPr="001C0F56">
              <w:rPr>
                <w:rFonts w:eastAsia="Calibri" w:cs="Times New Roman"/>
                <w:b/>
                <w:szCs w:val="21"/>
              </w:rPr>
              <w:t>areas</w:t>
            </w:r>
          </w:p>
        </w:tc>
        <w:tc>
          <w:tcPr>
            <w:tcW w:w="1368" w:type="dxa"/>
            <w:vAlign w:val="center"/>
          </w:tcPr>
          <w:p w14:paraId="424FF7D1" w14:textId="222D9D96" w:rsidR="001C0F56" w:rsidRPr="001C0F56" w:rsidRDefault="001C0F56" w:rsidP="001C0F56">
            <w:pPr>
              <w:jc w:val="center"/>
              <w:rPr>
                <w:rFonts w:cs="Times New Roman"/>
                <w:szCs w:val="21"/>
              </w:rPr>
            </w:pPr>
            <w:r w:rsidRPr="001C0F56">
              <w:rPr>
                <w:rFonts w:eastAsia="Calibri" w:cs="Times New Roman"/>
                <w:b/>
                <w:szCs w:val="21"/>
              </w:rPr>
              <w:t>N</w:t>
            </w:r>
            <w:r>
              <w:rPr>
                <w:rFonts w:eastAsiaTheme="minorEastAsia" w:cs="Times New Roman" w:hint="eastAsia"/>
                <w:b/>
                <w:szCs w:val="21"/>
              </w:rPr>
              <w:t xml:space="preserve"> </w:t>
            </w:r>
            <w:r w:rsidRPr="001C0F56">
              <w:rPr>
                <w:rFonts w:eastAsia="Calibri" w:cs="Times New Roman"/>
                <w:b/>
                <w:szCs w:val="21"/>
              </w:rPr>
              <w:t>observations</w:t>
            </w:r>
          </w:p>
        </w:tc>
        <w:tc>
          <w:tcPr>
            <w:tcW w:w="936" w:type="dxa"/>
            <w:vAlign w:val="center"/>
          </w:tcPr>
          <w:p w14:paraId="10E2EF3C" w14:textId="77777777" w:rsidR="001C0F56" w:rsidRPr="001C0F56" w:rsidRDefault="001C0F56" w:rsidP="001C0F56">
            <w:pPr>
              <w:jc w:val="center"/>
              <w:rPr>
                <w:rFonts w:cs="Times New Roman"/>
                <w:szCs w:val="21"/>
              </w:rPr>
            </w:pPr>
            <w:r w:rsidRPr="001C0F56">
              <w:rPr>
                <w:rFonts w:eastAsia="Calibri" w:cs="Times New Roman"/>
                <w:b/>
                <w:szCs w:val="21"/>
              </w:rPr>
              <w:t>H</w:t>
            </w:r>
          </w:p>
        </w:tc>
        <w:tc>
          <w:tcPr>
            <w:tcW w:w="648" w:type="dxa"/>
            <w:vAlign w:val="center"/>
          </w:tcPr>
          <w:p w14:paraId="6D009042" w14:textId="77777777" w:rsidR="001C0F56" w:rsidRPr="001C0F56" w:rsidRDefault="001C0F56" w:rsidP="001C0F56">
            <w:pPr>
              <w:jc w:val="center"/>
              <w:rPr>
                <w:rFonts w:cs="Times New Roman"/>
                <w:szCs w:val="21"/>
              </w:rPr>
            </w:pPr>
            <w:proofErr w:type="spellStart"/>
            <w:r w:rsidRPr="001C0F56">
              <w:rPr>
                <w:rFonts w:eastAsia="Calibri" w:cs="Times New Roman"/>
                <w:b/>
                <w:szCs w:val="21"/>
              </w:rPr>
              <w:t>df</w:t>
            </w:r>
            <w:proofErr w:type="spellEnd"/>
          </w:p>
        </w:tc>
        <w:tc>
          <w:tcPr>
            <w:tcW w:w="936" w:type="dxa"/>
            <w:vAlign w:val="center"/>
          </w:tcPr>
          <w:p w14:paraId="49AB2E69" w14:textId="77777777" w:rsidR="001C0F56" w:rsidRPr="001C0F56" w:rsidRDefault="001C0F56" w:rsidP="001C0F56">
            <w:pPr>
              <w:jc w:val="center"/>
              <w:rPr>
                <w:rFonts w:cs="Times New Roman"/>
                <w:szCs w:val="21"/>
              </w:rPr>
            </w:pPr>
            <w:r w:rsidRPr="001C0F56">
              <w:rPr>
                <w:rFonts w:eastAsia="Calibri" w:cs="Times New Roman"/>
                <w:b/>
                <w:szCs w:val="21"/>
              </w:rPr>
              <w:t>p</w:t>
            </w:r>
          </w:p>
        </w:tc>
        <w:tc>
          <w:tcPr>
            <w:tcW w:w="1368" w:type="dxa"/>
            <w:vAlign w:val="center"/>
          </w:tcPr>
          <w:p w14:paraId="4720447E" w14:textId="76B11833" w:rsidR="001C0F56" w:rsidRPr="001C0F56" w:rsidRDefault="001C0F56" w:rsidP="001C0F56">
            <w:pPr>
              <w:jc w:val="center"/>
              <w:rPr>
                <w:rFonts w:cs="Times New Roman"/>
                <w:szCs w:val="21"/>
              </w:rPr>
            </w:pPr>
            <w:r w:rsidRPr="001C0F56">
              <w:rPr>
                <w:rFonts w:eastAsia="Calibri" w:cs="Times New Roman"/>
                <w:b/>
                <w:szCs w:val="21"/>
              </w:rPr>
              <w:t>Epsilon</w:t>
            </w:r>
            <w:r>
              <w:rPr>
                <w:rFonts w:eastAsiaTheme="minorEastAsia" w:cs="Times New Roman" w:hint="eastAsia"/>
                <w:b/>
                <w:szCs w:val="21"/>
              </w:rPr>
              <w:t xml:space="preserve"> </w:t>
            </w:r>
            <w:r w:rsidRPr="001C0F56">
              <w:rPr>
                <w:rFonts w:eastAsia="Calibri" w:cs="Times New Roman"/>
                <w:b/>
                <w:szCs w:val="21"/>
              </w:rPr>
              <w:t>squared</w:t>
            </w:r>
          </w:p>
        </w:tc>
        <w:tc>
          <w:tcPr>
            <w:tcW w:w="6336" w:type="dxa"/>
            <w:vAlign w:val="center"/>
          </w:tcPr>
          <w:p w14:paraId="3BF06127" w14:textId="77777777" w:rsidR="001C0F56" w:rsidRPr="001C0F56" w:rsidRDefault="001C0F56" w:rsidP="001C0F56">
            <w:pPr>
              <w:jc w:val="center"/>
              <w:rPr>
                <w:rFonts w:cs="Times New Roman"/>
                <w:szCs w:val="21"/>
              </w:rPr>
            </w:pPr>
            <w:r w:rsidRPr="001C0F56">
              <w:rPr>
                <w:rFonts w:eastAsia="Calibri" w:cs="Times New Roman"/>
                <w:b/>
                <w:szCs w:val="21"/>
              </w:rPr>
              <w:t>notes</w:t>
            </w:r>
          </w:p>
        </w:tc>
      </w:tr>
      <w:tr w:rsidR="001C0F56" w:rsidRPr="001C0F56" w14:paraId="1EB4FF1F" w14:textId="77777777" w:rsidTr="001C0F56">
        <w:tc>
          <w:tcPr>
            <w:tcW w:w="1656" w:type="dxa"/>
            <w:vAlign w:val="center"/>
          </w:tcPr>
          <w:p w14:paraId="1C10433F" w14:textId="77777777" w:rsidR="001C0F56" w:rsidRPr="001C0F56" w:rsidRDefault="001C0F56" w:rsidP="001C0F56">
            <w:pPr>
              <w:jc w:val="center"/>
              <w:rPr>
                <w:rFonts w:cs="Times New Roman"/>
                <w:szCs w:val="21"/>
              </w:rPr>
            </w:pPr>
            <w:r w:rsidRPr="001C0F56">
              <w:rPr>
                <w:rFonts w:eastAsia="Calibri" w:cs="Times New Roman"/>
                <w:szCs w:val="21"/>
              </w:rPr>
              <w:t>Kruskal-Wallis</w:t>
            </w:r>
          </w:p>
        </w:tc>
        <w:tc>
          <w:tcPr>
            <w:tcW w:w="1008" w:type="dxa"/>
            <w:vAlign w:val="center"/>
          </w:tcPr>
          <w:p w14:paraId="36F09A89" w14:textId="77777777" w:rsidR="001C0F56" w:rsidRPr="001C0F56" w:rsidRDefault="001C0F56" w:rsidP="001C0F56">
            <w:pPr>
              <w:jc w:val="center"/>
              <w:rPr>
                <w:rFonts w:cs="Times New Roman"/>
                <w:szCs w:val="21"/>
              </w:rPr>
            </w:pPr>
            <w:r w:rsidRPr="001C0F56">
              <w:rPr>
                <w:rFonts w:eastAsia="Calibri" w:cs="Times New Roman"/>
                <w:szCs w:val="21"/>
              </w:rPr>
              <w:t>13</w:t>
            </w:r>
          </w:p>
        </w:tc>
        <w:tc>
          <w:tcPr>
            <w:tcW w:w="1368" w:type="dxa"/>
            <w:vAlign w:val="center"/>
          </w:tcPr>
          <w:p w14:paraId="47653AA8" w14:textId="77777777" w:rsidR="001C0F56" w:rsidRPr="001C0F56" w:rsidRDefault="001C0F56" w:rsidP="001C0F56">
            <w:pPr>
              <w:jc w:val="center"/>
              <w:rPr>
                <w:rFonts w:cs="Times New Roman"/>
                <w:szCs w:val="21"/>
              </w:rPr>
            </w:pPr>
            <w:r w:rsidRPr="001C0F56">
              <w:rPr>
                <w:rFonts w:eastAsia="Calibri" w:cs="Times New Roman"/>
                <w:szCs w:val="21"/>
              </w:rPr>
              <w:t>511</w:t>
            </w:r>
          </w:p>
        </w:tc>
        <w:tc>
          <w:tcPr>
            <w:tcW w:w="936" w:type="dxa"/>
            <w:vAlign w:val="center"/>
          </w:tcPr>
          <w:p w14:paraId="1188246A" w14:textId="77777777" w:rsidR="001C0F56" w:rsidRPr="001C0F56" w:rsidRDefault="001C0F56" w:rsidP="001C0F56">
            <w:pPr>
              <w:jc w:val="center"/>
              <w:rPr>
                <w:rFonts w:cs="Times New Roman"/>
                <w:szCs w:val="21"/>
              </w:rPr>
            </w:pPr>
            <w:r w:rsidRPr="001C0F56">
              <w:rPr>
                <w:rFonts w:eastAsia="Calibri" w:cs="Times New Roman"/>
                <w:szCs w:val="21"/>
              </w:rPr>
              <w:t>24.8</w:t>
            </w:r>
          </w:p>
        </w:tc>
        <w:tc>
          <w:tcPr>
            <w:tcW w:w="648" w:type="dxa"/>
            <w:vAlign w:val="center"/>
          </w:tcPr>
          <w:p w14:paraId="2EE9A0C5" w14:textId="77777777" w:rsidR="001C0F56" w:rsidRPr="001C0F56" w:rsidRDefault="001C0F56" w:rsidP="001C0F56">
            <w:pPr>
              <w:jc w:val="center"/>
              <w:rPr>
                <w:rFonts w:cs="Times New Roman"/>
                <w:szCs w:val="21"/>
              </w:rPr>
            </w:pPr>
            <w:r w:rsidRPr="001C0F56">
              <w:rPr>
                <w:rFonts w:eastAsia="Calibri" w:cs="Times New Roman"/>
                <w:szCs w:val="21"/>
              </w:rPr>
              <w:t>12</w:t>
            </w:r>
          </w:p>
        </w:tc>
        <w:tc>
          <w:tcPr>
            <w:tcW w:w="936" w:type="dxa"/>
            <w:vAlign w:val="center"/>
          </w:tcPr>
          <w:p w14:paraId="53C96A20" w14:textId="77777777" w:rsidR="001C0F56" w:rsidRPr="001C0F56" w:rsidRDefault="001C0F56" w:rsidP="001C0F56">
            <w:pPr>
              <w:jc w:val="center"/>
              <w:rPr>
                <w:rFonts w:cs="Times New Roman"/>
                <w:szCs w:val="21"/>
              </w:rPr>
            </w:pPr>
            <w:r w:rsidRPr="001C0F56">
              <w:rPr>
                <w:rFonts w:eastAsia="Calibri" w:cs="Times New Roman"/>
                <w:szCs w:val="21"/>
              </w:rPr>
              <w:t>0.016</w:t>
            </w:r>
          </w:p>
        </w:tc>
        <w:tc>
          <w:tcPr>
            <w:tcW w:w="1368" w:type="dxa"/>
            <w:vAlign w:val="center"/>
          </w:tcPr>
          <w:p w14:paraId="70F92F2E" w14:textId="77777777" w:rsidR="001C0F56" w:rsidRPr="001C0F56" w:rsidRDefault="001C0F56" w:rsidP="001C0F56">
            <w:pPr>
              <w:jc w:val="center"/>
              <w:rPr>
                <w:rFonts w:cs="Times New Roman"/>
                <w:szCs w:val="21"/>
              </w:rPr>
            </w:pPr>
            <w:r w:rsidRPr="001C0F56">
              <w:rPr>
                <w:rFonts w:eastAsia="Calibri" w:cs="Times New Roman"/>
                <w:szCs w:val="21"/>
              </w:rPr>
              <w:t>0.0</w:t>
            </w:r>
          </w:p>
        </w:tc>
        <w:tc>
          <w:tcPr>
            <w:tcW w:w="6336" w:type="dxa"/>
            <w:vAlign w:val="center"/>
          </w:tcPr>
          <w:p w14:paraId="2293E495" w14:textId="77777777" w:rsidR="001C0F56" w:rsidRPr="001C0F56" w:rsidRDefault="001C0F56" w:rsidP="001C0F56">
            <w:pPr>
              <w:jc w:val="center"/>
              <w:rPr>
                <w:rFonts w:cs="Times New Roman"/>
                <w:szCs w:val="21"/>
              </w:rPr>
            </w:pPr>
            <w:r w:rsidRPr="001C0F56">
              <w:rPr>
                <w:rFonts w:eastAsia="Calibri" w:cs="Times New Roman"/>
                <w:szCs w:val="21"/>
              </w:rPr>
              <w:t>Eligible areas require n&gt;=5 comparable drug forms</w:t>
            </w:r>
          </w:p>
        </w:tc>
      </w:tr>
    </w:tbl>
    <w:p w14:paraId="517C636D" w14:textId="77777777" w:rsidR="001C0F56" w:rsidRDefault="001C0F56" w:rsidP="001C0F56">
      <w:pPr>
        <w:widowControl/>
        <w:jc w:val="left"/>
        <w:rPr>
          <w:rFonts w:ascii="Times New Roman" w:hAnsi="Times New Roman" w:cs="Times New Roman"/>
        </w:rPr>
      </w:pPr>
    </w:p>
    <w:p w14:paraId="20AC1DAF" w14:textId="0B6082BA" w:rsidR="001C0F56" w:rsidRPr="001C0F56" w:rsidRDefault="001C0F56" w:rsidP="001C0F56">
      <w:pPr>
        <w:widowControl/>
        <w:jc w:val="left"/>
        <w:rPr>
          <w:rFonts w:ascii="Times New Roman" w:hAnsi="Times New Roman" w:cs="Times New Roman"/>
        </w:rPr>
      </w:pPr>
      <w:r w:rsidRPr="001C0F56">
        <w:rPr>
          <w:rFonts w:ascii="Times New Roman" w:hAnsi="Times New Roman" w:cs="Times New Roman"/>
        </w:rPr>
        <w:t>Supplementary Table S</w:t>
      </w:r>
      <w:r>
        <w:rPr>
          <w:rFonts w:ascii="Times New Roman" w:hAnsi="Times New Roman" w:cs="Times New Roman" w:hint="eastAsia"/>
        </w:rPr>
        <w:t>2</w:t>
      </w:r>
      <w:r w:rsidRPr="001C0F56">
        <w:rPr>
          <w:rFonts w:ascii="Times New Roman" w:hAnsi="Times New Roman" w:cs="Times New Roman"/>
        </w:rPr>
        <w:t>. One-vs-rest Mann-Whitney results by therapeutic category</w:t>
      </w:r>
    </w:p>
    <w:tbl>
      <w:tblPr>
        <w:tblStyle w:val="11"/>
        <w:tblW w:w="14459" w:type="dxa"/>
        <w:tblLayout w:type="fixed"/>
        <w:tblLook w:val="04A0" w:firstRow="1" w:lastRow="0" w:firstColumn="1" w:lastColumn="0" w:noHBand="0" w:noVBand="1"/>
      </w:tblPr>
      <w:tblGrid>
        <w:gridCol w:w="2664"/>
        <w:gridCol w:w="504"/>
        <w:gridCol w:w="1652"/>
        <w:gridCol w:w="709"/>
        <w:gridCol w:w="992"/>
        <w:gridCol w:w="992"/>
        <w:gridCol w:w="1134"/>
        <w:gridCol w:w="992"/>
        <w:gridCol w:w="709"/>
        <w:gridCol w:w="992"/>
        <w:gridCol w:w="1418"/>
        <w:gridCol w:w="850"/>
        <w:gridCol w:w="851"/>
      </w:tblGrid>
      <w:tr w:rsidR="001C0F56" w:rsidRPr="001C0F56" w14:paraId="695E2A69" w14:textId="77777777" w:rsidTr="001C0F56">
        <w:trPr>
          <w:cnfStyle w:val="100000000000" w:firstRow="1" w:lastRow="0" w:firstColumn="0" w:lastColumn="0" w:oddVBand="0" w:evenVBand="0" w:oddHBand="0" w:evenHBand="0" w:firstRowFirstColumn="0" w:firstRowLastColumn="0" w:lastRowFirstColumn="0" w:lastRowLastColumn="0"/>
        </w:trPr>
        <w:tc>
          <w:tcPr>
            <w:tcW w:w="2664" w:type="dxa"/>
          </w:tcPr>
          <w:p w14:paraId="05FB78C0" w14:textId="77777777" w:rsidR="001C0F56" w:rsidRPr="001C0F56" w:rsidRDefault="001C0F56" w:rsidP="00FA7A35">
            <w:pPr>
              <w:jc w:val="center"/>
              <w:rPr>
                <w:rFonts w:cs="Times New Roman"/>
                <w:szCs w:val="21"/>
              </w:rPr>
            </w:pPr>
            <w:r w:rsidRPr="001C0F56">
              <w:rPr>
                <w:rFonts w:eastAsia="Calibri" w:cs="Times New Roman"/>
                <w:b/>
                <w:szCs w:val="21"/>
              </w:rPr>
              <w:t>category</w:t>
            </w:r>
          </w:p>
        </w:tc>
        <w:tc>
          <w:tcPr>
            <w:tcW w:w="504" w:type="dxa"/>
          </w:tcPr>
          <w:p w14:paraId="1B541DBE" w14:textId="77777777" w:rsidR="001C0F56" w:rsidRPr="001C0F56" w:rsidRDefault="001C0F56" w:rsidP="00FA7A35">
            <w:pPr>
              <w:jc w:val="center"/>
              <w:rPr>
                <w:rFonts w:cs="Times New Roman"/>
                <w:szCs w:val="21"/>
              </w:rPr>
            </w:pPr>
            <w:r w:rsidRPr="001C0F56">
              <w:rPr>
                <w:rFonts w:eastAsia="Calibri" w:cs="Times New Roman"/>
                <w:b/>
                <w:szCs w:val="21"/>
              </w:rPr>
              <w:t>n</w:t>
            </w:r>
          </w:p>
        </w:tc>
        <w:tc>
          <w:tcPr>
            <w:tcW w:w="1652" w:type="dxa"/>
          </w:tcPr>
          <w:p w14:paraId="0505BA26" w14:textId="7A358DA5" w:rsidR="001C0F56" w:rsidRPr="001C0F56" w:rsidRDefault="001C0F56" w:rsidP="00FA7A35">
            <w:pPr>
              <w:jc w:val="center"/>
              <w:rPr>
                <w:rFonts w:cs="Times New Roman"/>
                <w:szCs w:val="21"/>
              </w:rPr>
            </w:pPr>
            <w:r w:rsidRPr="001C0F56">
              <w:rPr>
                <w:rFonts w:eastAsia="Calibri" w:cs="Times New Roman"/>
                <w:b/>
                <w:szCs w:val="21"/>
              </w:rPr>
              <w:t>Median</w:t>
            </w:r>
            <w:r>
              <w:rPr>
                <w:rFonts w:eastAsiaTheme="minorEastAsia" w:cs="Times New Roman" w:hint="eastAsia"/>
                <w:b/>
                <w:szCs w:val="21"/>
              </w:rPr>
              <w:t xml:space="preserve"> </w:t>
            </w:r>
            <w:r w:rsidRPr="001C0F56">
              <w:rPr>
                <w:rFonts w:eastAsia="Calibri" w:cs="Times New Roman"/>
                <w:b/>
                <w:szCs w:val="21"/>
              </w:rPr>
              <w:t>uptake</w:t>
            </w:r>
          </w:p>
        </w:tc>
        <w:tc>
          <w:tcPr>
            <w:tcW w:w="709" w:type="dxa"/>
          </w:tcPr>
          <w:p w14:paraId="47C2F927" w14:textId="77777777" w:rsidR="001C0F56" w:rsidRPr="001C0F56" w:rsidRDefault="001C0F56" w:rsidP="00FA7A35">
            <w:pPr>
              <w:jc w:val="center"/>
              <w:rPr>
                <w:rFonts w:cs="Times New Roman"/>
                <w:szCs w:val="21"/>
              </w:rPr>
            </w:pPr>
            <w:r w:rsidRPr="001C0F56">
              <w:rPr>
                <w:rFonts w:eastAsia="Calibri" w:cs="Times New Roman"/>
                <w:b/>
                <w:szCs w:val="21"/>
              </w:rPr>
              <w:t>IQR</w:t>
            </w:r>
          </w:p>
        </w:tc>
        <w:tc>
          <w:tcPr>
            <w:tcW w:w="992" w:type="dxa"/>
          </w:tcPr>
          <w:p w14:paraId="1DDD3399" w14:textId="33E6A9E1" w:rsidR="001C0F56" w:rsidRPr="001C0F56" w:rsidRDefault="001C0F56" w:rsidP="00FA7A35">
            <w:pPr>
              <w:jc w:val="center"/>
              <w:rPr>
                <w:rFonts w:cs="Times New Roman"/>
                <w:szCs w:val="21"/>
              </w:rPr>
            </w:pPr>
            <w:r w:rsidRPr="001C0F56">
              <w:rPr>
                <w:rFonts w:eastAsia="Calibri" w:cs="Times New Roman"/>
                <w:b/>
                <w:szCs w:val="21"/>
              </w:rPr>
              <w:t>Mean</w:t>
            </w:r>
            <w:r>
              <w:rPr>
                <w:rFonts w:eastAsiaTheme="minorEastAsia" w:cs="Times New Roman" w:hint="eastAsia"/>
                <w:b/>
                <w:szCs w:val="21"/>
              </w:rPr>
              <w:t xml:space="preserve"> </w:t>
            </w:r>
            <w:r w:rsidRPr="001C0F56">
              <w:rPr>
                <w:rFonts w:eastAsia="Calibri" w:cs="Times New Roman"/>
                <w:b/>
                <w:szCs w:val="21"/>
              </w:rPr>
              <w:t>uptake</w:t>
            </w:r>
          </w:p>
        </w:tc>
        <w:tc>
          <w:tcPr>
            <w:tcW w:w="992" w:type="dxa"/>
          </w:tcPr>
          <w:p w14:paraId="4A1133AC" w14:textId="2DCC7896" w:rsidR="001C0F56" w:rsidRPr="001C0F56" w:rsidRDefault="001C0F56" w:rsidP="00FA7A35">
            <w:pPr>
              <w:jc w:val="center"/>
              <w:rPr>
                <w:rFonts w:cs="Times New Roman"/>
                <w:szCs w:val="21"/>
              </w:rPr>
            </w:pPr>
            <w:r w:rsidRPr="001C0F56">
              <w:rPr>
                <w:rFonts w:eastAsia="Calibri" w:cs="Times New Roman"/>
                <w:b/>
                <w:szCs w:val="21"/>
              </w:rPr>
              <w:t>Median</w:t>
            </w:r>
            <w:r>
              <w:rPr>
                <w:rFonts w:eastAsiaTheme="minorEastAsia" w:cs="Times New Roman" w:hint="eastAsia"/>
                <w:b/>
                <w:szCs w:val="21"/>
              </w:rPr>
              <w:t xml:space="preserve"> </w:t>
            </w:r>
            <w:r w:rsidRPr="001C0F56">
              <w:rPr>
                <w:rFonts w:eastAsia="Calibri" w:cs="Times New Roman"/>
                <w:b/>
                <w:szCs w:val="21"/>
              </w:rPr>
              <w:t>other</w:t>
            </w:r>
          </w:p>
        </w:tc>
        <w:tc>
          <w:tcPr>
            <w:tcW w:w="1134" w:type="dxa"/>
          </w:tcPr>
          <w:p w14:paraId="10F82514" w14:textId="36E1213D" w:rsidR="001C0F56" w:rsidRPr="001C0F56" w:rsidRDefault="001C0F56" w:rsidP="00FA7A35">
            <w:pPr>
              <w:jc w:val="center"/>
              <w:rPr>
                <w:rFonts w:cs="Times New Roman"/>
                <w:szCs w:val="21"/>
              </w:rPr>
            </w:pPr>
            <w:r w:rsidRPr="001C0F56">
              <w:rPr>
                <w:rFonts w:eastAsia="Calibri" w:cs="Times New Roman"/>
                <w:b/>
                <w:szCs w:val="21"/>
              </w:rPr>
              <w:t>Mann</w:t>
            </w:r>
            <w:r>
              <w:rPr>
                <w:rFonts w:eastAsiaTheme="minorEastAsia" w:cs="Times New Roman" w:hint="eastAsia"/>
                <w:b/>
                <w:szCs w:val="21"/>
              </w:rPr>
              <w:t xml:space="preserve"> </w:t>
            </w:r>
            <w:proofErr w:type="spellStart"/>
            <w:r w:rsidRPr="001C0F56">
              <w:rPr>
                <w:rFonts w:eastAsia="Calibri" w:cs="Times New Roman"/>
                <w:b/>
                <w:szCs w:val="21"/>
              </w:rPr>
              <w:t>whitney</w:t>
            </w:r>
            <w:proofErr w:type="spellEnd"/>
            <w:r>
              <w:rPr>
                <w:rFonts w:eastAsiaTheme="minorEastAsia" w:cs="Times New Roman" w:hint="eastAsia"/>
                <w:b/>
                <w:szCs w:val="21"/>
              </w:rPr>
              <w:t xml:space="preserve"> </w:t>
            </w:r>
            <w:r w:rsidRPr="001C0F56">
              <w:rPr>
                <w:rFonts w:eastAsia="Calibri" w:cs="Times New Roman"/>
                <w:b/>
                <w:szCs w:val="21"/>
              </w:rPr>
              <w:t>u</w:t>
            </w:r>
          </w:p>
        </w:tc>
        <w:tc>
          <w:tcPr>
            <w:tcW w:w="992" w:type="dxa"/>
          </w:tcPr>
          <w:p w14:paraId="1AB330B5" w14:textId="77777777" w:rsidR="001C0F56" w:rsidRPr="001C0F56" w:rsidRDefault="001C0F56" w:rsidP="00FA7A35">
            <w:pPr>
              <w:jc w:val="center"/>
              <w:rPr>
                <w:rFonts w:cs="Times New Roman"/>
                <w:szCs w:val="21"/>
              </w:rPr>
            </w:pPr>
            <w:r w:rsidRPr="001C0F56">
              <w:rPr>
                <w:rFonts w:eastAsia="Calibri" w:cs="Times New Roman"/>
                <w:b/>
                <w:szCs w:val="21"/>
              </w:rPr>
              <w:t>p</w:t>
            </w:r>
          </w:p>
        </w:tc>
        <w:tc>
          <w:tcPr>
            <w:tcW w:w="709" w:type="dxa"/>
          </w:tcPr>
          <w:p w14:paraId="67604B52" w14:textId="77777777" w:rsidR="001C0F56" w:rsidRPr="001C0F56" w:rsidRDefault="001C0F56" w:rsidP="00FA7A35">
            <w:pPr>
              <w:jc w:val="center"/>
              <w:rPr>
                <w:rFonts w:cs="Times New Roman"/>
                <w:szCs w:val="21"/>
              </w:rPr>
            </w:pPr>
            <w:r w:rsidRPr="001C0F56">
              <w:rPr>
                <w:rFonts w:eastAsia="Calibri" w:cs="Times New Roman"/>
                <w:b/>
                <w:szCs w:val="21"/>
              </w:rPr>
              <w:t>q</w:t>
            </w:r>
          </w:p>
        </w:tc>
        <w:tc>
          <w:tcPr>
            <w:tcW w:w="992" w:type="dxa"/>
          </w:tcPr>
          <w:p w14:paraId="74367223" w14:textId="1E03E186" w:rsidR="001C0F56" w:rsidRPr="001C0F56" w:rsidRDefault="001C0F56" w:rsidP="00FA7A35">
            <w:pPr>
              <w:jc w:val="center"/>
              <w:rPr>
                <w:rFonts w:cs="Times New Roman"/>
                <w:szCs w:val="21"/>
              </w:rPr>
            </w:pPr>
            <w:r w:rsidRPr="001C0F56">
              <w:rPr>
                <w:rFonts w:eastAsia="Calibri" w:cs="Times New Roman"/>
                <w:b/>
                <w:szCs w:val="21"/>
              </w:rPr>
              <w:t>HL</w:t>
            </w:r>
            <w:r>
              <w:rPr>
                <w:rFonts w:eastAsiaTheme="minorEastAsia" w:cs="Times New Roman" w:hint="eastAsia"/>
                <w:b/>
                <w:szCs w:val="21"/>
              </w:rPr>
              <w:t xml:space="preserve"> </w:t>
            </w:r>
            <w:r w:rsidRPr="001C0F56">
              <w:rPr>
                <w:rFonts w:eastAsia="Calibri" w:cs="Times New Roman"/>
                <w:b/>
                <w:szCs w:val="21"/>
              </w:rPr>
              <w:t>diff</w:t>
            </w:r>
          </w:p>
        </w:tc>
        <w:tc>
          <w:tcPr>
            <w:tcW w:w="1418" w:type="dxa"/>
          </w:tcPr>
          <w:p w14:paraId="67C59163" w14:textId="538C89F9" w:rsidR="001C0F56" w:rsidRPr="001C0F56" w:rsidRDefault="001C0F56" w:rsidP="00FA7A35">
            <w:pPr>
              <w:jc w:val="center"/>
              <w:rPr>
                <w:rFonts w:cs="Times New Roman"/>
                <w:szCs w:val="21"/>
              </w:rPr>
            </w:pPr>
            <w:r w:rsidRPr="001C0F56">
              <w:rPr>
                <w:rFonts w:eastAsia="Calibri" w:cs="Times New Roman"/>
                <w:b/>
                <w:szCs w:val="21"/>
              </w:rPr>
              <w:t>HL</w:t>
            </w:r>
            <w:r>
              <w:rPr>
                <w:rFonts w:eastAsiaTheme="minorEastAsia" w:cs="Times New Roman" w:hint="eastAsia"/>
                <w:b/>
                <w:szCs w:val="21"/>
              </w:rPr>
              <w:t xml:space="preserve"> </w:t>
            </w:r>
            <w:r w:rsidRPr="001C0F56">
              <w:rPr>
                <w:rFonts w:eastAsia="Calibri" w:cs="Times New Roman"/>
                <w:b/>
                <w:szCs w:val="21"/>
              </w:rPr>
              <w:t>95CI</w:t>
            </w:r>
          </w:p>
        </w:tc>
        <w:tc>
          <w:tcPr>
            <w:tcW w:w="850" w:type="dxa"/>
          </w:tcPr>
          <w:p w14:paraId="216779BA" w14:textId="77777777" w:rsidR="001C0F56" w:rsidRPr="001C0F56" w:rsidRDefault="001C0F56" w:rsidP="00FA7A35">
            <w:pPr>
              <w:jc w:val="center"/>
              <w:rPr>
                <w:rFonts w:cs="Times New Roman"/>
                <w:szCs w:val="21"/>
              </w:rPr>
            </w:pPr>
            <w:r w:rsidRPr="001C0F56">
              <w:rPr>
                <w:rFonts w:eastAsia="Calibri" w:cs="Times New Roman"/>
                <w:b/>
                <w:szCs w:val="21"/>
              </w:rPr>
              <w:t>RBC</w:t>
            </w:r>
          </w:p>
        </w:tc>
        <w:tc>
          <w:tcPr>
            <w:tcW w:w="851" w:type="dxa"/>
          </w:tcPr>
          <w:p w14:paraId="19B5AA97" w14:textId="77777777" w:rsidR="001C0F56" w:rsidRPr="001C0F56" w:rsidRDefault="001C0F56" w:rsidP="00FA7A35">
            <w:pPr>
              <w:jc w:val="center"/>
              <w:rPr>
                <w:rFonts w:cs="Times New Roman"/>
                <w:szCs w:val="21"/>
              </w:rPr>
            </w:pPr>
            <w:r w:rsidRPr="001C0F56">
              <w:rPr>
                <w:rFonts w:eastAsia="Calibri" w:cs="Times New Roman"/>
                <w:b/>
                <w:szCs w:val="21"/>
              </w:rPr>
              <w:t>signal</w:t>
            </w:r>
          </w:p>
        </w:tc>
      </w:tr>
      <w:tr w:rsidR="001C0F56" w:rsidRPr="001C0F56" w14:paraId="6CEF5A3F" w14:textId="77777777" w:rsidTr="001C0F56">
        <w:tc>
          <w:tcPr>
            <w:tcW w:w="2664" w:type="dxa"/>
          </w:tcPr>
          <w:p w14:paraId="5C8DE9E4" w14:textId="77777777" w:rsidR="001C0F56" w:rsidRPr="001C0F56" w:rsidRDefault="001C0F56" w:rsidP="00FA7A35">
            <w:pPr>
              <w:rPr>
                <w:rFonts w:cs="Times New Roman"/>
                <w:szCs w:val="21"/>
              </w:rPr>
            </w:pPr>
            <w:r w:rsidRPr="001C0F56">
              <w:rPr>
                <w:rFonts w:eastAsia="Calibri" w:cs="Times New Roman"/>
                <w:szCs w:val="21"/>
              </w:rPr>
              <w:t>Sensory Organs</w:t>
            </w:r>
          </w:p>
        </w:tc>
        <w:tc>
          <w:tcPr>
            <w:tcW w:w="504" w:type="dxa"/>
          </w:tcPr>
          <w:p w14:paraId="4B52B14F" w14:textId="77777777" w:rsidR="001C0F56" w:rsidRPr="001C0F56" w:rsidRDefault="001C0F56" w:rsidP="00FA7A35">
            <w:pPr>
              <w:jc w:val="center"/>
              <w:rPr>
                <w:rFonts w:cs="Times New Roman"/>
                <w:szCs w:val="21"/>
              </w:rPr>
            </w:pPr>
            <w:r w:rsidRPr="001C0F56">
              <w:rPr>
                <w:rFonts w:eastAsia="Calibri" w:cs="Times New Roman"/>
                <w:szCs w:val="21"/>
              </w:rPr>
              <w:t>24</w:t>
            </w:r>
          </w:p>
        </w:tc>
        <w:tc>
          <w:tcPr>
            <w:tcW w:w="1652" w:type="dxa"/>
          </w:tcPr>
          <w:p w14:paraId="3E69099A" w14:textId="77777777" w:rsidR="001C0F56" w:rsidRPr="001C0F56" w:rsidRDefault="001C0F56" w:rsidP="00FA7A35">
            <w:pPr>
              <w:jc w:val="center"/>
              <w:rPr>
                <w:rFonts w:cs="Times New Roman"/>
                <w:szCs w:val="21"/>
              </w:rPr>
            </w:pPr>
            <w:r w:rsidRPr="001C0F56">
              <w:rPr>
                <w:rFonts w:eastAsia="Calibri" w:cs="Times New Roman"/>
                <w:szCs w:val="21"/>
              </w:rPr>
              <w:t>27.4</w:t>
            </w:r>
          </w:p>
        </w:tc>
        <w:tc>
          <w:tcPr>
            <w:tcW w:w="709" w:type="dxa"/>
          </w:tcPr>
          <w:p w14:paraId="5EA233FB" w14:textId="77777777" w:rsidR="001C0F56" w:rsidRPr="001C0F56" w:rsidRDefault="001C0F56" w:rsidP="00FA7A35">
            <w:pPr>
              <w:jc w:val="center"/>
              <w:rPr>
                <w:rFonts w:cs="Times New Roman"/>
                <w:szCs w:val="21"/>
              </w:rPr>
            </w:pPr>
            <w:r w:rsidRPr="001C0F56">
              <w:rPr>
                <w:rFonts w:eastAsia="Calibri" w:cs="Times New Roman"/>
                <w:szCs w:val="21"/>
              </w:rPr>
              <w:t>2.1-50.6</w:t>
            </w:r>
          </w:p>
        </w:tc>
        <w:tc>
          <w:tcPr>
            <w:tcW w:w="992" w:type="dxa"/>
          </w:tcPr>
          <w:p w14:paraId="0FB118A0" w14:textId="77777777" w:rsidR="001C0F56" w:rsidRPr="001C0F56" w:rsidRDefault="001C0F56" w:rsidP="00FA7A35">
            <w:pPr>
              <w:jc w:val="center"/>
              <w:rPr>
                <w:rFonts w:cs="Times New Roman"/>
                <w:szCs w:val="21"/>
              </w:rPr>
            </w:pPr>
            <w:r w:rsidRPr="001C0F56">
              <w:rPr>
                <w:rFonts w:eastAsia="Calibri" w:cs="Times New Roman"/>
                <w:szCs w:val="21"/>
              </w:rPr>
              <w:t>33.3</w:t>
            </w:r>
          </w:p>
        </w:tc>
        <w:tc>
          <w:tcPr>
            <w:tcW w:w="992" w:type="dxa"/>
          </w:tcPr>
          <w:p w14:paraId="180A6FF2" w14:textId="77777777" w:rsidR="001C0F56" w:rsidRPr="001C0F56" w:rsidRDefault="001C0F56" w:rsidP="00FA7A35">
            <w:pPr>
              <w:jc w:val="center"/>
              <w:rPr>
                <w:rFonts w:cs="Times New Roman"/>
                <w:szCs w:val="21"/>
              </w:rPr>
            </w:pPr>
            <w:r w:rsidRPr="001C0F56">
              <w:rPr>
                <w:rFonts w:eastAsia="Calibri" w:cs="Times New Roman"/>
                <w:szCs w:val="21"/>
              </w:rPr>
              <w:t>59.4</w:t>
            </w:r>
          </w:p>
        </w:tc>
        <w:tc>
          <w:tcPr>
            <w:tcW w:w="1134" w:type="dxa"/>
          </w:tcPr>
          <w:p w14:paraId="637544C5" w14:textId="77777777" w:rsidR="001C0F56" w:rsidRPr="001C0F56" w:rsidRDefault="001C0F56" w:rsidP="00FA7A35">
            <w:pPr>
              <w:jc w:val="center"/>
              <w:rPr>
                <w:rFonts w:cs="Times New Roman"/>
                <w:szCs w:val="21"/>
              </w:rPr>
            </w:pPr>
            <w:r w:rsidRPr="001C0F56">
              <w:rPr>
                <w:rFonts w:eastAsia="Calibri" w:cs="Times New Roman"/>
                <w:szCs w:val="21"/>
              </w:rPr>
              <w:t>3823.0</w:t>
            </w:r>
          </w:p>
        </w:tc>
        <w:tc>
          <w:tcPr>
            <w:tcW w:w="992" w:type="dxa"/>
          </w:tcPr>
          <w:p w14:paraId="24DC19B4" w14:textId="77777777" w:rsidR="001C0F56" w:rsidRPr="001C0F56" w:rsidRDefault="001C0F56" w:rsidP="00FA7A35">
            <w:pPr>
              <w:jc w:val="center"/>
              <w:rPr>
                <w:rFonts w:cs="Times New Roman"/>
                <w:szCs w:val="21"/>
              </w:rPr>
            </w:pPr>
            <w:r w:rsidRPr="001C0F56">
              <w:rPr>
                <w:rFonts w:eastAsia="Calibri" w:cs="Times New Roman"/>
                <w:szCs w:val="21"/>
              </w:rPr>
              <w:t>0.004</w:t>
            </w:r>
          </w:p>
        </w:tc>
        <w:tc>
          <w:tcPr>
            <w:tcW w:w="709" w:type="dxa"/>
          </w:tcPr>
          <w:p w14:paraId="2AD2C397" w14:textId="77777777" w:rsidR="001C0F56" w:rsidRPr="001C0F56" w:rsidRDefault="001C0F56" w:rsidP="00FA7A35">
            <w:pPr>
              <w:jc w:val="center"/>
              <w:rPr>
                <w:rFonts w:cs="Times New Roman"/>
                <w:szCs w:val="21"/>
              </w:rPr>
            </w:pPr>
            <w:r w:rsidRPr="001C0F56">
              <w:rPr>
                <w:rFonts w:eastAsia="Calibri" w:cs="Times New Roman"/>
                <w:szCs w:val="21"/>
              </w:rPr>
              <w:t>0.049</w:t>
            </w:r>
          </w:p>
        </w:tc>
        <w:tc>
          <w:tcPr>
            <w:tcW w:w="992" w:type="dxa"/>
          </w:tcPr>
          <w:p w14:paraId="72A65058" w14:textId="77777777" w:rsidR="001C0F56" w:rsidRPr="001C0F56" w:rsidRDefault="001C0F56" w:rsidP="00FA7A35">
            <w:pPr>
              <w:jc w:val="center"/>
              <w:rPr>
                <w:rFonts w:cs="Times New Roman"/>
                <w:szCs w:val="21"/>
              </w:rPr>
            </w:pPr>
            <w:r w:rsidRPr="001C0F56">
              <w:rPr>
                <w:rFonts w:eastAsia="Calibri" w:cs="Times New Roman"/>
                <w:szCs w:val="21"/>
              </w:rPr>
              <w:t>-20.9</w:t>
            </w:r>
          </w:p>
        </w:tc>
        <w:tc>
          <w:tcPr>
            <w:tcW w:w="1418" w:type="dxa"/>
          </w:tcPr>
          <w:p w14:paraId="71652DA9" w14:textId="77777777" w:rsidR="001C0F56" w:rsidRPr="001C0F56" w:rsidRDefault="001C0F56" w:rsidP="00FA7A35">
            <w:pPr>
              <w:jc w:val="center"/>
              <w:rPr>
                <w:rFonts w:cs="Times New Roman"/>
                <w:szCs w:val="21"/>
              </w:rPr>
            </w:pPr>
            <w:r w:rsidRPr="001C0F56">
              <w:rPr>
                <w:rFonts w:eastAsia="Calibri" w:cs="Times New Roman"/>
                <w:szCs w:val="21"/>
              </w:rPr>
              <w:t>-37.1 to -6.6</w:t>
            </w:r>
          </w:p>
        </w:tc>
        <w:tc>
          <w:tcPr>
            <w:tcW w:w="850" w:type="dxa"/>
          </w:tcPr>
          <w:p w14:paraId="5195A999" w14:textId="77777777" w:rsidR="001C0F56" w:rsidRPr="001C0F56" w:rsidRDefault="001C0F56" w:rsidP="00FA7A35">
            <w:pPr>
              <w:jc w:val="center"/>
              <w:rPr>
                <w:rFonts w:cs="Times New Roman"/>
                <w:szCs w:val="21"/>
              </w:rPr>
            </w:pPr>
            <w:r w:rsidRPr="001C0F56">
              <w:rPr>
                <w:rFonts w:eastAsia="Calibri" w:cs="Times New Roman"/>
                <w:szCs w:val="21"/>
              </w:rPr>
              <w:t>-0.350</w:t>
            </w:r>
          </w:p>
        </w:tc>
        <w:tc>
          <w:tcPr>
            <w:tcW w:w="851" w:type="dxa"/>
          </w:tcPr>
          <w:p w14:paraId="75984080" w14:textId="77777777" w:rsidR="001C0F56" w:rsidRPr="001C0F56" w:rsidRDefault="001C0F56" w:rsidP="00FA7A35">
            <w:pPr>
              <w:jc w:val="center"/>
              <w:rPr>
                <w:rFonts w:cs="Times New Roman"/>
                <w:szCs w:val="21"/>
              </w:rPr>
            </w:pPr>
            <w:r w:rsidRPr="001C0F56">
              <w:rPr>
                <w:rFonts w:eastAsia="Calibri" w:cs="Times New Roman"/>
                <w:szCs w:val="21"/>
              </w:rPr>
              <w:t>yes</w:t>
            </w:r>
          </w:p>
        </w:tc>
      </w:tr>
      <w:tr w:rsidR="001C0F56" w:rsidRPr="001C0F56" w14:paraId="34A7E01A" w14:textId="77777777" w:rsidTr="001C0F56">
        <w:tc>
          <w:tcPr>
            <w:tcW w:w="2664" w:type="dxa"/>
          </w:tcPr>
          <w:p w14:paraId="35660485" w14:textId="77777777" w:rsidR="001C0F56" w:rsidRPr="001C0F56" w:rsidRDefault="001C0F56" w:rsidP="00FA7A35">
            <w:pPr>
              <w:rPr>
                <w:rFonts w:cs="Times New Roman"/>
                <w:szCs w:val="21"/>
              </w:rPr>
            </w:pPr>
            <w:r w:rsidRPr="001C0F56">
              <w:rPr>
                <w:rFonts w:eastAsia="Calibri" w:cs="Times New Roman"/>
                <w:szCs w:val="21"/>
              </w:rPr>
              <w:t>Antiparasitic Products</w:t>
            </w:r>
          </w:p>
        </w:tc>
        <w:tc>
          <w:tcPr>
            <w:tcW w:w="504" w:type="dxa"/>
          </w:tcPr>
          <w:p w14:paraId="25C82FDE" w14:textId="77777777" w:rsidR="001C0F56" w:rsidRPr="001C0F56" w:rsidRDefault="001C0F56" w:rsidP="00FA7A35">
            <w:pPr>
              <w:jc w:val="center"/>
              <w:rPr>
                <w:rFonts w:cs="Times New Roman"/>
                <w:szCs w:val="21"/>
              </w:rPr>
            </w:pPr>
            <w:r w:rsidRPr="001C0F56">
              <w:rPr>
                <w:rFonts w:eastAsia="Calibri" w:cs="Times New Roman"/>
                <w:szCs w:val="21"/>
              </w:rPr>
              <w:t>3</w:t>
            </w:r>
          </w:p>
        </w:tc>
        <w:tc>
          <w:tcPr>
            <w:tcW w:w="1652" w:type="dxa"/>
          </w:tcPr>
          <w:p w14:paraId="0BE1316B" w14:textId="77777777" w:rsidR="001C0F56" w:rsidRPr="001C0F56" w:rsidRDefault="001C0F56" w:rsidP="00FA7A35">
            <w:pPr>
              <w:jc w:val="center"/>
              <w:rPr>
                <w:rFonts w:cs="Times New Roman"/>
                <w:szCs w:val="21"/>
              </w:rPr>
            </w:pPr>
            <w:r w:rsidRPr="001C0F56">
              <w:rPr>
                <w:rFonts w:eastAsia="Calibri" w:cs="Times New Roman"/>
                <w:szCs w:val="21"/>
              </w:rPr>
              <w:t>35.5</w:t>
            </w:r>
          </w:p>
        </w:tc>
        <w:tc>
          <w:tcPr>
            <w:tcW w:w="709" w:type="dxa"/>
          </w:tcPr>
          <w:p w14:paraId="59317A36" w14:textId="77777777" w:rsidR="001C0F56" w:rsidRPr="001C0F56" w:rsidRDefault="001C0F56" w:rsidP="00FA7A35">
            <w:pPr>
              <w:jc w:val="center"/>
              <w:rPr>
                <w:rFonts w:cs="Times New Roman"/>
                <w:szCs w:val="21"/>
              </w:rPr>
            </w:pPr>
            <w:r w:rsidRPr="001C0F56">
              <w:rPr>
                <w:rFonts w:eastAsia="Calibri" w:cs="Times New Roman"/>
                <w:szCs w:val="21"/>
              </w:rPr>
              <w:t>18.1-63.6</w:t>
            </w:r>
          </w:p>
        </w:tc>
        <w:tc>
          <w:tcPr>
            <w:tcW w:w="992" w:type="dxa"/>
          </w:tcPr>
          <w:p w14:paraId="5A2A4720" w14:textId="77777777" w:rsidR="001C0F56" w:rsidRPr="001C0F56" w:rsidRDefault="001C0F56" w:rsidP="00FA7A35">
            <w:pPr>
              <w:jc w:val="center"/>
              <w:rPr>
                <w:rFonts w:cs="Times New Roman"/>
                <w:szCs w:val="21"/>
              </w:rPr>
            </w:pPr>
            <w:r w:rsidRPr="001C0F56">
              <w:rPr>
                <w:rFonts w:eastAsia="Calibri" w:cs="Times New Roman"/>
                <w:szCs w:val="21"/>
              </w:rPr>
              <w:t>42.6</w:t>
            </w:r>
          </w:p>
        </w:tc>
        <w:tc>
          <w:tcPr>
            <w:tcW w:w="992" w:type="dxa"/>
          </w:tcPr>
          <w:p w14:paraId="22F78AD7" w14:textId="77777777" w:rsidR="001C0F56" w:rsidRPr="001C0F56" w:rsidRDefault="001C0F56" w:rsidP="00FA7A35">
            <w:pPr>
              <w:jc w:val="center"/>
              <w:rPr>
                <w:rFonts w:cs="Times New Roman"/>
                <w:szCs w:val="21"/>
              </w:rPr>
            </w:pPr>
            <w:r w:rsidRPr="001C0F56">
              <w:rPr>
                <w:rFonts w:eastAsia="Calibri" w:cs="Times New Roman"/>
                <w:szCs w:val="21"/>
              </w:rPr>
              <w:t>57.7</w:t>
            </w:r>
          </w:p>
        </w:tc>
        <w:tc>
          <w:tcPr>
            <w:tcW w:w="1134" w:type="dxa"/>
          </w:tcPr>
          <w:p w14:paraId="0D962962" w14:textId="77777777" w:rsidR="001C0F56" w:rsidRPr="001C0F56" w:rsidRDefault="001C0F56" w:rsidP="00FA7A35">
            <w:pPr>
              <w:jc w:val="center"/>
              <w:rPr>
                <w:rFonts w:cs="Times New Roman"/>
                <w:szCs w:val="21"/>
              </w:rPr>
            </w:pPr>
            <w:r w:rsidRPr="001C0F56">
              <w:rPr>
                <w:rFonts w:eastAsia="Calibri" w:cs="Times New Roman"/>
                <w:szCs w:val="21"/>
              </w:rPr>
              <w:t>NA</w:t>
            </w:r>
          </w:p>
        </w:tc>
        <w:tc>
          <w:tcPr>
            <w:tcW w:w="992" w:type="dxa"/>
          </w:tcPr>
          <w:p w14:paraId="54BE4ED2" w14:textId="77777777" w:rsidR="001C0F56" w:rsidRPr="001C0F56" w:rsidRDefault="001C0F56" w:rsidP="00FA7A35">
            <w:pPr>
              <w:jc w:val="center"/>
              <w:rPr>
                <w:rFonts w:cs="Times New Roman"/>
                <w:szCs w:val="21"/>
              </w:rPr>
            </w:pPr>
            <w:r w:rsidRPr="001C0F56">
              <w:rPr>
                <w:rFonts w:eastAsia="Calibri" w:cs="Times New Roman"/>
                <w:szCs w:val="21"/>
              </w:rPr>
              <w:t>NA</w:t>
            </w:r>
          </w:p>
        </w:tc>
        <w:tc>
          <w:tcPr>
            <w:tcW w:w="709" w:type="dxa"/>
          </w:tcPr>
          <w:p w14:paraId="23E2AD4D" w14:textId="77777777" w:rsidR="001C0F56" w:rsidRPr="001C0F56" w:rsidRDefault="001C0F56" w:rsidP="00FA7A35">
            <w:pPr>
              <w:jc w:val="center"/>
              <w:rPr>
                <w:rFonts w:cs="Times New Roman"/>
                <w:szCs w:val="21"/>
              </w:rPr>
            </w:pPr>
            <w:r w:rsidRPr="001C0F56">
              <w:rPr>
                <w:rFonts w:eastAsia="Calibri" w:cs="Times New Roman"/>
                <w:szCs w:val="21"/>
              </w:rPr>
              <w:t>NA</w:t>
            </w:r>
          </w:p>
        </w:tc>
        <w:tc>
          <w:tcPr>
            <w:tcW w:w="992" w:type="dxa"/>
          </w:tcPr>
          <w:p w14:paraId="4A1F22BD" w14:textId="77777777" w:rsidR="001C0F56" w:rsidRPr="001C0F56" w:rsidRDefault="001C0F56" w:rsidP="00FA7A35">
            <w:pPr>
              <w:jc w:val="center"/>
              <w:rPr>
                <w:rFonts w:cs="Times New Roman"/>
                <w:szCs w:val="21"/>
              </w:rPr>
            </w:pPr>
            <w:r w:rsidRPr="001C0F56">
              <w:rPr>
                <w:rFonts w:eastAsia="Calibri" w:cs="Times New Roman"/>
                <w:szCs w:val="21"/>
              </w:rPr>
              <w:t>NA</w:t>
            </w:r>
          </w:p>
        </w:tc>
        <w:tc>
          <w:tcPr>
            <w:tcW w:w="1418" w:type="dxa"/>
          </w:tcPr>
          <w:p w14:paraId="2784763E" w14:textId="77777777" w:rsidR="001C0F56" w:rsidRPr="001C0F56" w:rsidRDefault="001C0F56" w:rsidP="00FA7A35">
            <w:pPr>
              <w:jc w:val="center"/>
              <w:rPr>
                <w:rFonts w:cs="Times New Roman"/>
                <w:szCs w:val="21"/>
              </w:rPr>
            </w:pPr>
            <w:r w:rsidRPr="001C0F56">
              <w:rPr>
                <w:rFonts w:eastAsia="Calibri" w:cs="Times New Roman"/>
                <w:szCs w:val="21"/>
              </w:rPr>
              <w:t>NA</w:t>
            </w:r>
          </w:p>
        </w:tc>
        <w:tc>
          <w:tcPr>
            <w:tcW w:w="850" w:type="dxa"/>
          </w:tcPr>
          <w:p w14:paraId="1FB8EA3D" w14:textId="77777777" w:rsidR="001C0F56" w:rsidRPr="001C0F56" w:rsidRDefault="001C0F56" w:rsidP="00FA7A35">
            <w:pPr>
              <w:jc w:val="center"/>
              <w:rPr>
                <w:rFonts w:cs="Times New Roman"/>
                <w:szCs w:val="21"/>
              </w:rPr>
            </w:pPr>
            <w:r w:rsidRPr="001C0F56">
              <w:rPr>
                <w:rFonts w:eastAsia="Calibri" w:cs="Times New Roman"/>
                <w:szCs w:val="21"/>
              </w:rPr>
              <w:t>NA</w:t>
            </w:r>
          </w:p>
        </w:tc>
        <w:tc>
          <w:tcPr>
            <w:tcW w:w="851" w:type="dxa"/>
          </w:tcPr>
          <w:p w14:paraId="13FEE51A" w14:textId="77777777" w:rsidR="001C0F56" w:rsidRPr="001C0F56" w:rsidRDefault="001C0F56" w:rsidP="00FA7A35">
            <w:pPr>
              <w:jc w:val="center"/>
              <w:rPr>
                <w:rFonts w:cs="Times New Roman"/>
                <w:szCs w:val="21"/>
              </w:rPr>
            </w:pPr>
            <w:r w:rsidRPr="001C0F56">
              <w:rPr>
                <w:rFonts w:eastAsia="Calibri" w:cs="Times New Roman"/>
                <w:szCs w:val="21"/>
              </w:rPr>
              <w:t>no</w:t>
            </w:r>
          </w:p>
        </w:tc>
      </w:tr>
      <w:tr w:rsidR="001C0F56" w:rsidRPr="001C0F56" w14:paraId="65B74CC2" w14:textId="77777777" w:rsidTr="001C0F56">
        <w:tc>
          <w:tcPr>
            <w:tcW w:w="2664" w:type="dxa"/>
          </w:tcPr>
          <w:p w14:paraId="274D0E21" w14:textId="77777777" w:rsidR="001C0F56" w:rsidRPr="001C0F56" w:rsidRDefault="001C0F56" w:rsidP="00FA7A35">
            <w:pPr>
              <w:rPr>
                <w:rFonts w:cs="Times New Roman"/>
                <w:szCs w:val="21"/>
              </w:rPr>
            </w:pPr>
            <w:r w:rsidRPr="001C0F56">
              <w:rPr>
                <w:rFonts w:eastAsia="Calibri" w:cs="Times New Roman"/>
                <w:szCs w:val="21"/>
              </w:rPr>
              <w:t>Cardiovascular System</w:t>
            </w:r>
          </w:p>
        </w:tc>
        <w:tc>
          <w:tcPr>
            <w:tcW w:w="504" w:type="dxa"/>
          </w:tcPr>
          <w:p w14:paraId="5223C2CE" w14:textId="77777777" w:rsidR="001C0F56" w:rsidRPr="001C0F56" w:rsidRDefault="001C0F56" w:rsidP="00FA7A35">
            <w:pPr>
              <w:jc w:val="center"/>
              <w:rPr>
                <w:rFonts w:cs="Times New Roman"/>
                <w:szCs w:val="21"/>
              </w:rPr>
            </w:pPr>
            <w:r w:rsidRPr="001C0F56">
              <w:rPr>
                <w:rFonts w:eastAsia="Calibri" w:cs="Times New Roman"/>
                <w:szCs w:val="21"/>
              </w:rPr>
              <w:t>67</w:t>
            </w:r>
          </w:p>
        </w:tc>
        <w:tc>
          <w:tcPr>
            <w:tcW w:w="1652" w:type="dxa"/>
          </w:tcPr>
          <w:p w14:paraId="40F5493B" w14:textId="77777777" w:rsidR="001C0F56" w:rsidRPr="001C0F56" w:rsidRDefault="001C0F56" w:rsidP="00FA7A35">
            <w:pPr>
              <w:jc w:val="center"/>
              <w:rPr>
                <w:rFonts w:cs="Times New Roman"/>
                <w:szCs w:val="21"/>
              </w:rPr>
            </w:pPr>
            <w:r w:rsidRPr="001C0F56">
              <w:rPr>
                <w:rFonts w:eastAsia="Calibri" w:cs="Times New Roman"/>
                <w:szCs w:val="21"/>
              </w:rPr>
              <w:t>42.4</w:t>
            </w:r>
          </w:p>
        </w:tc>
        <w:tc>
          <w:tcPr>
            <w:tcW w:w="709" w:type="dxa"/>
          </w:tcPr>
          <w:p w14:paraId="1D072198" w14:textId="77777777" w:rsidR="001C0F56" w:rsidRPr="001C0F56" w:rsidRDefault="001C0F56" w:rsidP="00FA7A35">
            <w:pPr>
              <w:jc w:val="center"/>
              <w:rPr>
                <w:rFonts w:cs="Times New Roman"/>
                <w:szCs w:val="21"/>
              </w:rPr>
            </w:pPr>
            <w:r w:rsidRPr="001C0F56">
              <w:rPr>
                <w:rFonts w:eastAsia="Calibri" w:cs="Times New Roman"/>
                <w:szCs w:val="21"/>
              </w:rPr>
              <w:t>13.1-73.4</w:t>
            </w:r>
          </w:p>
        </w:tc>
        <w:tc>
          <w:tcPr>
            <w:tcW w:w="992" w:type="dxa"/>
          </w:tcPr>
          <w:p w14:paraId="35A090CC" w14:textId="77777777" w:rsidR="001C0F56" w:rsidRPr="001C0F56" w:rsidRDefault="001C0F56" w:rsidP="00FA7A35">
            <w:pPr>
              <w:jc w:val="center"/>
              <w:rPr>
                <w:rFonts w:cs="Times New Roman"/>
                <w:szCs w:val="21"/>
              </w:rPr>
            </w:pPr>
            <w:r w:rsidRPr="001C0F56">
              <w:rPr>
                <w:rFonts w:eastAsia="Calibri" w:cs="Times New Roman"/>
                <w:szCs w:val="21"/>
              </w:rPr>
              <w:t>44.5</w:t>
            </w:r>
          </w:p>
        </w:tc>
        <w:tc>
          <w:tcPr>
            <w:tcW w:w="992" w:type="dxa"/>
          </w:tcPr>
          <w:p w14:paraId="6BDFAE02" w14:textId="77777777" w:rsidR="001C0F56" w:rsidRPr="001C0F56" w:rsidRDefault="001C0F56" w:rsidP="00FA7A35">
            <w:pPr>
              <w:jc w:val="center"/>
              <w:rPr>
                <w:rFonts w:cs="Times New Roman"/>
                <w:szCs w:val="21"/>
              </w:rPr>
            </w:pPr>
            <w:r w:rsidRPr="001C0F56">
              <w:rPr>
                <w:rFonts w:eastAsia="Calibri" w:cs="Times New Roman"/>
                <w:szCs w:val="21"/>
              </w:rPr>
              <w:t>59.8</w:t>
            </w:r>
          </w:p>
        </w:tc>
        <w:tc>
          <w:tcPr>
            <w:tcW w:w="1134" w:type="dxa"/>
          </w:tcPr>
          <w:p w14:paraId="7F238300" w14:textId="77777777" w:rsidR="001C0F56" w:rsidRPr="001C0F56" w:rsidRDefault="001C0F56" w:rsidP="00FA7A35">
            <w:pPr>
              <w:jc w:val="center"/>
              <w:rPr>
                <w:rFonts w:cs="Times New Roman"/>
                <w:szCs w:val="21"/>
              </w:rPr>
            </w:pPr>
            <w:r w:rsidRPr="001C0F56">
              <w:rPr>
                <w:rFonts w:eastAsia="Calibri" w:cs="Times New Roman"/>
                <w:szCs w:val="21"/>
              </w:rPr>
              <w:t>12449.0</w:t>
            </w:r>
          </w:p>
        </w:tc>
        <w:tc>
          <w:tcPr>
            <w:tcW w:w="992" w:type="dxa"/>
          </w:tcPr>
          <w:p w14:paraId="10659602" w14:textId="77777777" w:rsidR="001C0F56" w:rsidRPr="001C0F56" w:rsidRDefault="001C0F56" w:rsidP="00FA7A35">
            <w:pPr>
              <w:jc w:val="center"/>
              <w:rPr>
                <w:rFonts w:cs="Times New Roman"/>
                <w:szCs w:val="21"/>
              </w:rPr>
            </w:pPr>
            <w:r w:rsidRPr="001C0F56">
              <w:rPr>
                <w:rFonts w:eastAsia="Calibri" w:cs="Times New Roman"/>
                <w:szCs w:val="21"/>
              </w:rPr>
              <w:t>0.026</w:t>
            </w:r>
          </w:p>
        </w:tc>
        <w:tc>
          <w:tcPr>
            <w:tcW w:w="709" w:type="dxa"/>
          </w:tcPr>
          <w:p w14:paraId="243879B5" w14:textId="77777777" w:rsidR="001C0F56" w:rsidRPr="001C0F56" w:rsidRDefault="001C0F56" w:rsidP="00FA7A35">
            <w:pPr>
              <w:jc w:val="center"/>
              <w:rPr>
                <w:rFonts w:cs="Times New Roman"/>
                <w:szCs w:val="21"/>
              </w:rPr>
            </w:pPr>
            <w:r w:rsidRPr="001C0F56">
              <w:rPr>
                <w:rFonts w:eastAsia="Calibri" w:cs="Times New Roman"/>
                <w:szCs w:val="21"/>
              </w:rPr>
              <w:t>0.169</w:t>
            </w:r>
          </w:p>
        </w:tc>
        <w:tc>
          <w:tcPr>
            <w:tcW w:w="992" w:type="dxa"/>
          </w:tcPr>
          <w:p w14:paraId="25A1EA53" w14:textId="77777777" w:rsidR="001C0F56" w:rsidRPr="001C0F56" w:rsidRDefault="001C0F56" w:rsidP="00FA7A35">
            <w:pPr>
              <w:jc w:val="center"/>
              <w:rPr>
                <w:rFonts w:cs="Times New Roman"/>
                <w:szCs w:val="21"/>
              </w:rPr>
            </w:pPr>
            <w:r w:rsidRPr="001C0F56">
              <w:rPr>
                <w:rFonts w:eastAsia="Calibri" w:cs="Times New Roman"/>
                <w:szCs w:val="21"/>
              </w:rPr>
              <w:t>-9.8</w:t>
            </w:r>
          </w:p>
        </w:tc>
        <w:tc>
          <w:tcPr>
            <w:tcW w:w="1418" w:type="dxa"/>
          </w:tcPr>
          <w:p w14:paraId="4FA73643" w14:textId="77777777" w:rsidR="001C0F56" w:rsidRPr="001C0F56" w:rsidRDefault="001C0F56" w:rsidP="00FA7A35">
            <w:pPr>
              <w:jc w:val="center"/>
              <w:rPr>
                <w:rFonts w:cs="Times New Roman"/>
                <w:szCs w:val="21"/>
              </w:rPr>
            </w:pPr>
            <w:r w:rsidRPr="001C0F56">
              <w:rPr>
                <w:rFonts w:eastAsia="Calibri" w:cs="Times New Roman"/>
                <w:szCs w:val="21"/>
              </w:rPr>
              <w:t>-19.4 to -0.9</w:t>
            </w:r>
          </w:p>
        </w:tc>
        <w:tc>
          <w:tcPr>
            <w:tcW w:w="850" w:type="dxa"/>
          </w:tcPr>
          <w:p w14:paraId="5CD98673" w14:textId="77777777" w:rsidR="001C0F56" w:rsidRPr="001C0F56" w:rsidRDefault="001C0F56" w:rsidP="00FA7A35">
            <w:pPr>
              <w:jc w:val="center"/>
              <w:rPr>
                <w:rFonts w:cs="Times New Roman"/>
                <w:szCs w:val="21"/>
              </w:rPr>
            </w:pPr>
            <w:r w:rsidRPr="001C0F56">
              <w:rPr>
                <w:rFonts w:eastAsia="Calibri" w:cs="Times New Roman"/>
                <w:szCs w:val="21"/>
              </w:rPr>
              <w:t>-0.169</w:t>
            </w:r>
          </w:p>
        </w:tc>
        <w:tc>
          <w:tcPr>
            <w:tcW w:w="851" w:type="dxa"/>
          </w:tcPr>
          <w:p w14:paraId="2007C903" w14:textId="77777777" w:rsidR="001C0F56" w:rsidRPr="001C0F56" w:rsidRDefault="001C0F56" w:rsidP="00FA7A35">
            <w:pPr>
              <w:jc w:val="center"/>
              <w:rPr>
                <w:rFonts w:cs="Times New Roman"/>
                <w:szCs w:val="21"/>
              </w:rPr>
            </w:pPr>
            <w:r w:rsidRPr="001C0F56">
              <w:rPr>
                <w:rFonts w:eastAsia="Calibri" w:cs="Times New Roman"/>
                <w:szCs w:val="21"/>
              </w:rPr>
              <w:t>no</w:t>
            </w:r>
          </w:p>
        </w:tc>
      </w:tr>
      <w:tr w:rsidR="001C0F56" w:rsidRPr="001C0F56" w14:paraId="3D9A4275" w14:textId="77777777" w:rsidTr="001C0F56">
        <w:tc>
          <w:tcPr>
            <w:tcW w:w="2664" w:type="dxa"/>
          </w:tcPr>
          <w:p w14:paraId="4408920E" w14:textId="77777777" w:rsidR="001C0F56" w:rsidRPr="001C0F56" w:rsidRDefault="001C0F56" w:rsidP="00FA7A35">
            <w:pPr>
              <w:rPr>
                <w:rFonts w:cs="Times New Roman"/>
                <w:szCs w:val="21"/>
              </w:rPr>
            </w:pPr>
            <w:r w:rsidRPr="001C0F56">
              <w:rPr>
                <w:rFonts w:eastAsia="Calibri" w:cs="Times New Roman"/>
                <w:szCs w:val="21"/>
              </w:rPr>
              <w:t>Other</w:t>
            </w:r>
          </w:p>
        </w:tc>
        <w:tc>
          <w:tcPr>
            <w:tcW w:w="504" w:type="dxa"/>
          </w:tcPr>
          <w:p w14:paraId="17D80C4A" w14:textId="77777777" w:rsidR="001C0F56" w:rsidRPr="001C0F56" w:rsidRDefault="001C0F56" w:rsidP="00FA7A35">
            <w:pPr>
              <w:jc w:val="center"/>
              <w:rPr>
                <w:rFonts w:cs="Times New Roman"/>
                <w:szCs w:val="21"/>
              </w:rPr>
            </w:pPr>
            <w:r w:rsidRPr="001C0F56">
              <w:rPr>
                <w:rFonts w:eastAsia="Calibri" w:cs="Times New Roman"/>
                <w:szCs w:val="21"/>
              </w:rPr>
              <w:t>20</w:t>
            </w:r>
          </w:p>
        </w:tc>
        <w:tc>
          <w:tcPr>
            <w:tcW w:w="1652" w:type="dxa"/>
          </w:tcPr>
          <w:p w14:paraId="565C2742" w14:textId="77777777" w:rsidR="001C0F56" w:rsidRPr="001C0F56" w:rsidRDefault="001C0F56" w:rsidP="00FA7A35">
            <w:pPr>
              <w:jc w:val="center"/>
              <w:rPr>
                <w:rFonts w:cs="Times New Roman"/>
                <w:szCs w:val="21"/>
              </w:rPr>
            </w:pPr>
            <w:r w:rsidRPr="001C0F56">
              <w:rPr>
                <w:rFonts w:eastAsia="Calibri" w:cs="Times New Roman"/>
                <w:szCs w:val="21"/>
              </w:rPr>
              <w:t>44.4</w:t>
            </w:r>
          </w:p>
        </w:tc>
        <w:tc>
          <w:tcPr>
            <w:tcW w:w="709" w:type="dxa"/>
          </w:tcPr>
          <w:p w14:paraId="285AE78B" w14:textId="77777777" w:rsidR="001C0F56" w:rsidRPr="001C0F56" w:rsidRDefault="001C0F56" w:rsidP="00FA7A35">
            <w:pPr>
              <w:jc w:val="center"/>
              <w:rPr>
                <w:rFonts w:cs="Times New Roman"/>
                <w:szCs w:val="21"/>
              </w:rPr>
            </w:pPr>
            <w:r w:rsidRPr="001C0F56">
              <w:rPr>
                <w:rFonts w:eastAsia="Calibri" w:cs="Times New Roman"/>
                <w:szCs w:val="21"/>
              </w:rPr>
              <w:t>7.5-79.8</w:t>
            </w:r>
          </w:p>
        </w:tc>
        <w:tc>
          <w:tcPr>
            <w:tcW w:w="992" w:type="dxa"/>
          </w:tcPr>
          <w:p w14:paraId="42718DCC" w14:textId="77777777" w:rsidR="001C0F56" w:rsidRPr="001C0F56" w:rsidRDefault="001C0F56" w:rsidP="00FA7A35">
            <w:pPr>
              <w:jc w:val="center"/>
              <w:rPr>
                <w:rFonts w:cs="Times New Roman"/>
                <w:szCs w:val="21"/>
              </w:rPr>
            </w:pPr>
            <w:r w:rsidRPr="001C0F56">
              <w:rPr>
                <w:rFonts w:eastAsia="Calibri" w:cs="Times New Roman"/>
                <w:szCs w:val="21"/>
              </w:rPr>
              <w:t>44.3</w:t>
            </w:r>
          </w:p>
        </w:tc>
        <w:tc>
          <w:tcPr>
            <w:tcW w:w="992" w:type="dxa"/>
          </w:tcPr>
          <w:p w14:paraId="19599DD5" w14:textId="77777777" w:rsidR="001C0F56" w:rsidRPr="001C0F56" w:rsidRDefault="001C0F56" w:rsidP="00FA7A35">
            <w:pPr>
              <w:jc w:val="center"/>
              <w:rPr>
                <w:rFonts w:cs="Times New Roman"/>
                <w:szCs w:val="21"/>
              </w:rPr>
            </w:pPr>
            <w:r w:rsidRPr="001C0F56">
              <w:rPr>
                <w:rFonts w:eastAsia="Calibri" w:cs="Times New Roman"/>
                <w:szCs w:val="21"/>
              </w:rPr>
              <w:t>58.2</w:t>
            </w:r>
          </w:p>
        </w:tc>
        <w:tc>
          <w:tcPr>
            <w:tcW w:w="1134" w:type="dxa"/>
          </w:tcPr>
          <w:p w14:paraId="1E08BC3D" w14:textId="77777777" w:rsidR="001C0F56" w:rsidRPr="001C0F56" w:rsidRDefault="001C0F56" w:rsidP="00FA7A35">
            <w:pPr>
              <w:jc w:val="center"/>
              <w:rPr>
                <w:rFonts w:cs="Times New Roman"/>
                <w:szCs w:val="21"/>
              </w:rPr>
            </w:pPr>
            <w:r w:rsidRPr="001C0F56">
              <w:rPr>
                <w:rFonts w:eastAsia="Calibri" w:cs="Times New Roman"/>
                <w:szCs w:val="21"/>
              </w:rPr>
              <w:t>4111.0</w:t>
            </w:r>
          </w:p>
        </w:tc>
        <w:tc>
          <w:tcPr>
            <w:tcW w:w="992" w:type="dxa"/>
          </w:tcPr>
          <w:p w14:paraId="502A2B0E" w14:textId="77777777" w:rsidR="001C0F56" w:rsidRPr="001C0F56" w:rsidRDefault="001C0F56" w:rsidP="00FA7A35">
            <w:pPr>
              <w:jc w:val="center"/>
              <w:rPr>
                <w:rFonts w:cs="Times New Roman"/>
                <w:szCs w:val="21"/>
              </w:rPr>
            </w:pPr>
            <w:r w:rsidRPr="001C0F56">
              <w:rPr>
                <w:rFonts w:eastAsia="Calibri" w:cs="Times New Roman"/>
                <w:szCs w:val="21"/>
              </w:rPr>
              <w:t>0.203</w:t>
            </w:r>
          </w:p>
        </w:tc>
        <w:tc>
          <w:tcPr>
            <w:tcW w:w="709" w:type="dxa"/>
          </w:tcPr>
          <w:p w14:paraId="7CC28914" w14:textId="77777777" w:rsidR="001C0F56" w:rsidRPr="001C0F56" w:rsidRDefault="001C0F56" w:rsidP="00FA7A35">
            <w:pPr>
              <w:jc w:val="center"/>
              <w:rPr>
                <w:rFonts w:cs="Times New Roman"/>
                <w:szCs w:val="21"/>
              </w:rPr>
            </w:pPr>
            <w:r w:rsidRPr="001C0F56">
              <w:rPr>
                <w:rFonts w:eastAsia="Calibri" w:cs="Times New Roman"/>
                <w:szCs w:val="21"/>
              </w:rPr>
              <w:t>0.440</w:t>
            </w:r>
          </w:p>
        </w:tc>
        <w:tc>
          <w:tcPr>
            <w:tcW w:w="992" w:type="dxa"/>
          </w:tcPr>
          <w:p w14:paraId="4E11D208" w14:textId="77777777" w:rsidR="001C0F56" w:rsidRPr="001C0F56" w:rsidRDefault="001C0F56" w:rsidP="00FA7A35">
            <w:pPr>
              <w:jc w:val="center"/>
              <w:rPr>
                <w:rFonts w:cs="Times New Roman"/>
                <w:szCs w:val="21"/>
              </w:rPr>
            </w:pPr>
            <w:r w:rsidRPr="001C0F56">
              <w:rPr>
                <w:rFonts w:eastAsia="Calibri" w:cs="Times New Roman"/>
                <w:szCs w:val="21"/>
              </w:rPr>
              <w:t>-7.8</w:t>
            </w:r>
          </w:p>
        </w:tc>
        <w:tc>
          <w:tcPr>
            <w:tcW w:w="1418" w:type="dxa"/>
          </w:tcPr>
          <w:p w14:paraId="1CB349DC" w14:textId="77777777" w:rsidR="001C0F56" w:rsidRPr="001C0F56" w:rsidRDefault="001C0F56" w:rsidP="00FA7A35">
            <w:pPr>
              <w:jc w:val="center"/>
              <w:rPr>
                <w:rFonts w:cs="Times New Roman"/>
                <w:szCs w:val="21"/>
              </w:rPr>
            </w:pPr>
            <w:r w:rsidRPr="001C0F56">
              <w:rPr>
                <w:rFonts w:eastAsia="Calibri" w:cs="Times New Roman"/>
                <w:szCs w:val="21"/>
              </w:rPr>
              <w:t>-25.8 to 4.3</w:t>
            </w:r>
          </w:p>
        </w:tc>
        <w:tc>
          <w:tcPr>
            <w:tcW w:w="850" w:type="dxa"/>
          </w:tcPr>
          <w:p w14:paraId="2525454E" w14:textId="77777777" w:rsidR="001C0F56" w:rsidRPr="001C0F56" w:rsidRDefault="001C0F56" w:rsidP="00FA7A35">
            <w:pPr>
              <w:jc w:val="center"/>
              <w:rPr>
                <w:rFonts w:cs="Times New Roman"/>
                <w:szCs w:val="21"/>
              </w:rPr>
            </w:pPr>
            <w:r w:rsidRPr="001C0F56">
              <w:rPr>
                <w:rFonts w:eastAsia="Calibri" w:cs="Times New Roman"/>
                <w:szCs w:val="21"/>
              </w:rPr>
              <w:t>-0.168</w:t>
            </w:r>
          </w:p>
        </w:tc>
        <w:tc>
          <w:tcPr>
            <w:tcW w:w="851" w:type="dxa"/>
          </w:tcPr>
          <w:p w14:paraId="21E086A6" w14:textId="77777777" w:rsidR="001C0F56" w:rsidRPr="001C0F56" w:rsidRDefault="001C0F56" w:rsidP="00FA7A35">
            <w:pPr>
              <w:jc w:val="center"/>
              <w:rPr>
                <w:rFonts w:cs="Times New Roman"/>
                <w:szCs w:val="21"/>
              </w:rPr>
            </w:pPr>
            <w:r w:rsidRPr="001C0F56">
              <w:rPr>
                <w:rFonts w:eastAsia="Calibri" w:cs="Times New Roman"/>
                <w:szCs w:val="21"/>
              </w:rPr>
              <w:t>no</w:t>
            </w:r>
          </w:p>
        </w:tc>
      </w:tr>
      <w:tr w:rsidR="001C0F56" w:rsidRPr="001C0F56" w14:paraId="7616337C" w14:textId="77777777" w:rsidTr="001C0F56">
        <w:tc>
          <w:tcPr>
            <w:tcW w:w="2664" w:type="dxa"/>
          </w:tcPr>
          <w:p w14:paraId="61F4462A" w14:textId="77777777" w:rsidR="001C0F56" w:rsidRPr="001C0F56" w:rsidRDefault="001C0F56" w:rsidP="00FA7A35">
            <w:pPr>
              <w:rPr>
                <w:rFonts w:cs="Times New Roman"/>
                <w:szCs w:val="21"/>
              </w:rPr>
            </w:pPr>
            <w:proofErr w:type="spellStart"/>
            <w:r w:rsidRPr="001C0F56">
              <w:rPr>
                <w:rFonts w:eastAsia="Calibri" w:cs="Times New Roman"/>
                <w:szCs w:val="21"/>
              </w:rPr>
              <w:t>Dermatologicals</w:t>
            </w:r>
            <w:proofErr w:type="spellEnd"/>
          </w:p>
        </w:tc>
        <w:tc>
          <w:tcPr>
            <w:tcW w:w="504" w:type="dxa"/>
          </w:tcPr>
          <w:p w14:paraId="733493EB" w14:textId="77777777" w:rsidR="001C0F56" w:rsidRPr="001C0F56" w:rsidRDefault="001C0F56" w:rsidP="00FA7A35">
            <w:pPr>
              <w:jc w:val="center"/>
              <w:rPr>
                <w:rFonts w:cs="Times New Roman"/>
                <w:szCs w:val="21"/>
              </w:rPr>
            </w:pPr>
            <w:r w:rsidRPr="001C0F56">
              <w:rPr>
                <w:rFonts w:eastAsia="Calibri" w:cs="Times New Roman"/>
                <w:szCs w:val="21"/>
              </w:rPr>
              <w:t>11</w:t>
            </w:r>
          </w:p>
        </w:tc>
        <w:tc>
          <w:tcPr>
            <w:tcW w:w="1652" w:type="dxa"/>
          </w:tcPr>
          <w:p w14:paraId="431B9655" w14:textId="77777777" w:rsidR="001C0F56" w:rsidRPr="001C0F56" w:rsidRDefault="001C0F56" w:rsidP="00FA7A35">
            <w:pPr>
              <w:jc w:val="center"/>
              <w:rPr>
                <w:rFonts w:cs="Times New Roman"/>
                <w:szCs w:val="21"/>
              </w:rPr>
            </w:pPr>
            <w:r w:rsidRPr="001C0F56">
              <w:rPr>
                <w:rFonts w:eastAsia="Calibri" w:cs="Times New Roman"/>
                <w:szCs w:val="21"/>
              </w:rPr>
              <w:t>48.4</w:t>
            </w:r>
          </w:p>
        </w:tc>
        <w:tc>
          <w:tcPr>
            <w:tcW w:w="709" w:type="dxa"/>
          </w:tcPr>
          <w:p w14:paraId="14630D61" w14:textId="77777777" w:rsidR="001C0F56" w:rsidRPr="001C0F56" w:rsidRDefault="001C0F56" w:rsidP="00FA7A35">
            <w:pPr>
              <w:jc w:val="center"/>
              <w:rPr>
                <w:rFonts w:cs="Times New Roman"/>
                <w:szCs w:val="21"/>
              </w:rPr>
            </w:pPr>
            <w:r w:rsidRPr="001C0F56">
              <w:rPr>
                <w:rFonts w:eastAsia="Calibri" w:cs="Times New Roman"/>
                <w:szCs w:val="21"/>
              </w:rPr>
              <w:t>26.4-65.0</w:t>
            </w:r>
          </w:p>
        </w:tc>
        <w:tc>
          <w:tcPr>
            <w:tcW w:w="992" w:type="dxa"/>
          </w:tcPr>
          <w:p w14:paraId="3704F531" w14:textId="77777777" w:rsidR="001C0F56" w:rsidRPr="001C0F56" w:rsidRDefault="001C0F56" w:rsidP="00FA7A35">
            <w:pPr>
              <w:jc w:val="center"/>
              <w:rPr>
                <w:rFonts w:cs="Times New Roman"/>
                <w:szCs w:val="21"/>
              </w:rPr>
            </w:pPr>
            <w:r w:rsidRPr="001C0F56">
              <w:rPr>
                <w:rFonts w:eastAsia="Calibri" w:cs="Times New Roman"/>
                <w:szCs w:val="21"/>
              </w:rPr>
              <w:t>46.6</w:t>
            </w:r>
          </w:p>
        </w:tc>
        <w:tc>
          <w:tcPr>
            <w:tcW w:w="992" w:type="dxa"/>
          </w:tcPr>
          <w:p w14:paraId="543F200F" w14:textId="77777777" w:rsidR="001C0F56" w:rsidRPr="001C0F56" w:rsidRDefault="001C0F56" w:rsidP="00FA7A35">
            <w:pPr>
              <w:jc w:val="center"/>
              <w:rPr>
                <w:rFonts w:cs="Times New Roman"/>
                <w:szCs w:val="21"/>
              </w:rPr>
            </w:pPr>
            <w:r w:rsidRPr="001C0F56">
              <w:rPr>
                <w:rFonts w:eastAsia="Calibri" w:cs="Times New Roman"/>
                <w:szCs w:val="21"/>
              </w:rPr>
              <w:t>57.8</w:t>
            </w:r>
          </w:p>
        </w:tc>
        <w:tc>
          <w:tcPr>
            <w:tcW w:w="1134" w:type="dxa"/>
          </w:tcPr>
          <w:p w14:paraId="14BDAF53" w14:textId="77777777" w:rsidR="001C0F56" w:rsidRPr="001C0F56" w:rsidRDefault="001C0F56" w:rsidP="00FA7A35">
            <w:pPr>
              <w:jc w:val="center"/>
              <w:rPr>
                <w:rFonts w:cs="Times New Roman"/>
                <w:szCs w:val="21"/>
              </w:rPr>
            </w:pPr>
            <w:r w:rsidRPr="001C0F56">
              <w:rPr>
                <w:rFonts w:eastAsia="Calibri" w:cs="Times New Roman"/>
                <w:szCs w:val="21"/>
              </w:rPr>
              <w:t>2396.0</w:t>
            </w:r>
          </w:p>
        </w:tc>
        <w:tc>
          <w:tcPr>
            <w:tcW w:w="992" w:type="dxa"/>
          </w:tcPr>
          <w:p w14:paraId="4BFBCEC1" w14:textId="77777777" w:rsidR="001C0F56" w:rsidRPr="001C0F56" w:rsidRDefault="001C0F56" w:rsidP="00FA7A35">
            <w:pPr>
              <w:jc w:val="center"/>
              <w:rPr>
                <w:rFonts w:cs="Times New Roman"/>
                <w:szCs w:val="21"/>
              </w:rPr>
            </w:pPr>
            <w:r w:rsidRPr="001C0F56">
              <w:rPr>
                <w:rFonts w:eastAsia="Calibri" w:cs="Times New Roman"/>
                <w:szCs w:val="21"/>
              </w:rPr>
              <w:t>0.448</w:t>
            </w:r>
          </w:p>
        </w:tc>
        <w:tc>
          <w:tcPr>
            <w:tcW w:w="709" w:type="dxa"/>
          </w:tcPr>
          <w:p w14:paraId="1637A685" w14:textId="77777777" w:rsidR="001C0F56" w:rsidRPr="001C0F56" w:rsidRDefault="001C0F56" w:rsidP="00FA7A35">
            <w:pPr>
              <w:jc w:val="center"/>
              <w:rPr>
                <w:rFonts w:cs="Times New Roman"/>
                <w:szCs w:val="21"/>
              </w:rPr>
            </w:pPr>
            <w:r w:rsidRPr="001C0F56">
              <w:rPr>
                <w:rFonts w:eastAsia="Calibri" w:cs="Times New Roman"/>
                <w:szCs w:val="21"/>
              </w:rPr>
              <w:t>0.663</w:t>
            </w:r>
          </w:p>
        </w:tc>
        <w:tc>
          <w:tcPr>
            <w:tcW w:w="992" w:type="dxa"/>
          </w:tcPr>
          <w:p w14:paraId="6FFBFF13" w14:textId="77777777" w:rsidR="001C0F56" w:rsidRPr="001C0F56" w:rsidRDefault="001C0F56" w:rsidP="00FA7A35">
            <w:pPr>
              <w:jc w:val="center"/>
              <w:rPr>
                <w:rFonts w:cs="Times New Roman"/>
                <w:szCs w:val="21"/>
              </w:rPr>
            </w:pPr>
            <w:r w:rsidRPr="001C0F56">
              <w:rPr>
                <w:rFonts w:eastAsia="Calibri" w:cs="Times New Roman"/>
                <w:szCs w:val="21"/>
              </w:rPr>
              <w:t>-7.1</w:t>
            </w:r>
          </w:p>
        </w:tc>
        <w:tc>
          <w:tcPr>
            <w:tcW w:w="1418" w:type="dxa"/>
          </w:tcPr>
          <w:p w14:paraId="31757609" w14:textId="77777777" w:rsidR="001C0F56" w:rsidRPr="001C0F56" w:rsidRDefault="001C0F56" w:rsidP="00FA7A35">
            <w:pPr>
              <w:jc w:val="center"/>
              <w:rPr>
                <w:rFonts w:cs="Times New Roman"/>
                <w:szCs w:val="21"/>
              </w:rPr>
            </w:pPr>
            <w:r w:rsidRPr="001C0F56">
              <w:rPr>
                <w:rFonts w:eastAsia="Calibri" w:cs="Times New Roman"/>
                <w:szCs w:val="21"/>
              </w:rPr>
              <w:t>-25.3 to 8.1</w:t>
            </w:r>
          </w:p>
        </w:tc>
        <w:tc>
          <w:tcPr>
            <w:tcW w:w="850" w:type="dxa"/>
          </w:tcPr>
          <w:p w14:paraId="023E141C" w14:textId="77777777" w:rsidR="001C0F56" w:rsidRPr="001C0F56" w:rsidRDefault="001C0F56" w:rsidP="00FA7A35">
            <w:pPr>
              <w:jc w:val="center"/>
              <w:rPr>
                <w:rFonts w:cs="Times New Roman"/>
                <w:szCs w:val="21"/>
              </w:rPr>
            </w:pPr>
            <w:r w:rsidRPr="001C0F56">
              <w:rPr>
                <w:rFonts w:eastAsia="Calibri" w:cs="Times New Roman"/>
                <w:szCs w:val="21"/>
              </w:rPr>
              <w:t>-0.134</w:t>
            </w:r>
          </w:p>
        </w:tc>
        <w:tc>
          <w:tcPr>
            <w:tcW w:w="851" w:type="dxa"/>
          </w:tcPr>
          <w:p w14:paraId="22962BAC" w14:textId="77777777" w:rsidR="001C0F56" w:rsidRPr="001C0F56" w:rsidRDefault="001C0F56" w:rsidP="00FA7A35">
            <w:pPr>
              <w:jc w:val="center"/>
              <w:rPr>
                <w:rFonts w:cs="Times New Roman"/>
                <w:szCs w:val="21"/>
              </w:rPr>
            </w:pPr>
            <w:r w:rsidRPr="001C0F56">
              <w:rPr>
                <w:rFonts w:eastAsia="Calibri" w:cs="Times New Roman"/>
                <w:szCs w:val="21"/>
              </w:rPr>
              <w:t>no</w:t>
            </w:r>
          </w:p>
        </w:tc>
      </w:tr>
      <w:tr w:rsidR="001C0F56" w:rsidRPr="001C0F56" w14:paraId="1D178078" w14:textId="77777777" w:rsidTr="001C0F56">
        <w:tc>
          <w:tcPr>
            <w:tcW w:w="2664" w:type="dxa"/>
          </w:tcPr>
          <w:p w14:paraId="4CC21043" w14:textId="77777777" w:rsidR="001C0F56" w:rsidRPr="001C0F56" w:rsidRDefault="001C0F56" w:rsidP="00FA7A35">
            <w:pPr>
              <w:rPr>
                <w:rFonts w:cs="Times New Roman"/>
                <w:szCs w:val="21"/>
              </w:rPr>
            </w:pPr>
            <w:r w:rsidRPr="001C0F56">
              <w:rPr>
                <w:rFonts w:eastAsia="Calibri" w:cs="Times New Roman"/>
                <w:szCs w:val="21"/>
              </w:rPr>
              <w:t>Systemic Hormones</w:t>
            </w:r>
          </w:p>
        </w:tc>
        <w:tc>
          <w:tcPr>
            <w:tcW w:w="504" w:type="dxa"/>
          </w:tcPr>
          <w:p w14:paraId="4BF6A9B0" w14:textId="77777777" w:rsidR="001C0F56" w:rsidRPr="001C0F56" w:rsidRDefault="001C0F56" w:rsidP="00FA7A35">
            <w:pPr>
              <w:jc w:val="center"/>
              <w:rPr>
                <w:rFonts w:cs="Times New Roman"/>
                <w:szCs w:val="21"/>
              </w:rPr>
            </w:pPr>
            <w:r w:rsidRPr="001C0F56">
              <w:rPr>
                <w:rFonts w:eastAsia="Calibri" w:cs="Times New Roman"/>
                <w:szCs w:val="21"/>
              </w:rPr>
              <w:t>20</w:t>
            </w:r>
          </w:p>
        </w:tc>
        <w:tc>
          <w:tcPr>
            <w:tcW w:w="1652" w:type="dxa"/>
          </w:tcPr>
          <w:p w14:paraId="50D8AC7D" w14:textId="77777777" w:rsidR="001C0F56" w:rsidRPr="001C0F56" w:rsidRDefault="001C0F56" w:rsidP="00FA7A35">
            <w:pPr>
              <w:jc w:val="center"/>
              <w:rPr>
                <w:rFonts w:cs="Times New Roman"/>
                <w:szCs w:val="21"/>
              </w:rPr>
            </w:pPr>
            <w:r w:rsidRPr="001C0F56">
              <w:rPr>
                <w:rFonts w:eastAsia="Calibri" w:cs="Times New Roman"/>
                <w:szCs w:val="21"/>
              </w:rPr>
              <w:t>56.1</w:t>
            </w:r>
          </w:p>
        </w:tc>
        <w:tc>
          <w:tcPr>
            <w:tcW w:w="709" w:type="dxa"/>
          </w:tcPr>
          <w:p w14:paraId="235E124D" w14:textId="77777777" w:rsidR="001C0F56" w:rsidRPr="001C0F56" w:rsidRDefault="001C0F56" w:rsidP="00FA7A35">
            <w:pPr>
              <w:jc w:val="center"/>
              <w:rPr>
                <w:rFonts w:cs="Times New Roman"/>
                <w:szCs w:val="21"/>
              </w:rPr>
            </w:pPr>
            <w:r w:rsidRPr="001C0F56">
              <w:rPr>
                <w:rFonts w:eastAsia="Calibri" w:cs="Times New Roman"/>
                <w:szCs w:val="21"/>
              </w:rPr>
              <w:t>28.5-89.1</w:t>
            </w:r>
          </w:p>
        </w:tc>
        <w:tc>
          <w:tcPr>
            <w:tcW w:w="992" w:type="dxa"/>
          </w:tcPr>
          <w:p w14:paraId="6AF0D41C" w14:textId="77777777" w:rsidR="001C0F56" w:rsidRPr="001C0F56" w:rsidRDefault="001C0F56" w:rsidP="00FA7A35">
            <w:pPr>
              <w:jc w:val="center"/>
              <w:rPr>
                <w:rFonts w:cs="Times New Roman"/>
                <w:szCs w:val="21"/>
              </w:rPr>
            </w:pPr>
            <w:r w:rsidRPr="001C0F56">
              <w:rPr>
                <w:rFonts w:eastAsia="Calibri" w:cs="Times New Roman"/>
                <w:szCs w:val="21"/>
              </w:rPr>
              <w:t>55.3</w:t>
            </w:r>
          </w:p>
        </w:tc>
        <w:tc>
          <w:tcPr>
            <w:tcW w:w="992" w:type="dxa"/>
          </w:tcPr>
          <w:p w14:paraId="34062298" w14:textId="77777777" w:rsidR="001C0F56" w:rsidRPr="001C0F56" w:rsidRDefault="001C0F56" w:rsidP="00FA7A35">
            <w:pPr>
              <w:jc w:val="center"/>
              <w:rPr>
                <w:rFonts w:cs="Times New Roman"/>
                <w:szCs w:val="21"/>
              </w:rPr>
            </w:pPr>
            <w:r w:rsidRPr="001C0F56">
              <w:rPr>
                <w:rFonts w:eastAsia="Calibri" w:cs="Times New Roman"/>
                <w:szCs w:val="21"/>
              </w:rPr>
              <w:t>57.6</w:t>
            </w:r>
          </w:p>
        </w:tc>
        <w:tc>
          <w:tcPr>
            <w:tcW w:w="1134" w:type="dxa"/>
          </w:tcPr>
          <w:p w14:paraId="6A69F4C3" w14:textId="77777777" w:rsidR="001C0F56" w:rsidRPr="001C0F56" w:rsidRDefault="001C0F56" w:rsidP="00FA7A35">
            <w:pPr>
              <w:jc w:val="center"/>
              <w:rPr>
                <w:rFonts w:cs="Times New Roman"/>
                <w:szCs w:val="21"/>
              </w:rPr>
            </w:pPr>
            <w:r w:rsidRPr="001C0F56">
              <w:rPr>
                <w:rFonts w:eastAsia="Calibri" w:cs="Times New Roman"/>
                <w:szCs w:val="21"/>
              </w:rPr>
              <w:t>5217.0</w:t>
            </w:r>
          </w:p>
        </w:tc>
        <w:tc>
          <w:tcPr>
            <w:tcW w:w="992" w:type="dxa"/>
          </w:tcPr>
          <w:p w14:paraId="7DDFCAFB" w14:textId="77777777" w:rsidR="001C0F56" w:rsidRPr="001C0F56" w:rsidRDefault="001C0F56" w:rsidP="00FA7A35">
            <w:pPr>
              <w:jc w:val="center"/>
              <w:rPr>
                <w:rFonts w:cs="Times New Roman"/>
                <w:szCs w:val="21"/>
              </w:rPr>
            </w:pPr>
            <w:r w:rsidRPr="001C0F56">
              <w:rPr>
                <w:rFonts w:eastAsia="Calibri" w:cs="Times New Roman"/>
                <w:szCs w:val="21"/>
              </w:rPr>
              <w:t>0.671</w:t>
            </w:r>
          </w:p>
        </w:tc>
        <w:tc>
          <w:tcPr>
            <w:tcW w:w="709" w:type="dxa"/>
          </w:tcPr>
          <w:p w14:paraId="0D7AFFD7" w14:textId="77777777" w:rsidR="001C0F56" w:rsidRPr="001C0F56" w:rsidRDefault="001C0F56" w:rsidP="00FA7A35">
            <w:pPr>
              <w:jc w:val="center"/>
              <w:rPr>
                <w:rFonts w:cs="Times New Roman"/>
                <w:szCs w:val="21"/>
              </w:rPr>
            </w:pPr>
            <w:r w:rsidRPr="001C0F56">
              <w:rPr>
                <w:rFonts w:eastAsia="Calibri" w:cs="Times New Roman"/>
                <w:szCs w:val="21"/>
              </w:rPr>
              <w:t>0.715</w:t>
            </w:r>
          </w:p>
        </w:tc>
        <w:tc>
          <w:tcPr>
            <w:tcW w:w="992" w:type="dxa"/>
          </w:tcPr>
          <w:p w14:paraId="42B589F0" w14:textId="77777777" w:rsidR="001C0F56" w:rsidRPr="001C0F56" w:rsidRDefault="001C0F56" w:rsidP="00FA7A35">
            <w:pPr>
              <w:jc w:val="center"/>
              <w:rPr>
                <w:rFonts w:cs="Times New Roman"/>
                <w:szCs w:val="21"/>
              </w:rPr>
            </w:pPr>
            <w:r w:rsidRPr="001C0F56">
              <w:rPr>
                <w:rFonts w:eastAsia="Calibri" w:cs="Times New Roman"/>
                <w:szCs w:val="21"/>
              </w:rPr>
              <w:t>2.5</w:t>
            </w:r>
          </w:p>
        </w:tc>
        <w:tc>
          <w:tcPr>
            <w:tcW w:w="1418" w:type="dxa"/>
          </w:tcPr>
          <w:p w14:paraId="497983D2" w14:textId="77777777" w:rsidR="001C0F56" w:rsidRPr="001C0F56" w:rsidRDefault="001C0F56" w:rsidP="00FA7A35">
            <w:pPr>
              <w:jc w:val="center"/>
              <w:rPr>
                <w:rFonts w:cs="Times New Roman"/>
                <w:szCs w:val="21"/>
              </w:rPr>
            </w:pPr>
            <w:r w:rsidRPr="001C0F56">
              <w:rPr>
                <w:rFonts w:eastAsia="Calibri" w:cs="Times New Roman"/>
                <w:szCs w:val="21"/>
              </w:rPr>
              <w:t>-12.8 to 16.5</w:t>
            </w:r>
          </w:p>
        </w:tc>
        <w:tc>
          <w:tcPr>
            <w:tcW w:w="850" w:type="dxa"/>
          </w:tcPr>
          <w:p w14:paraId="55C2DBA4" w14:textId="77777777" w:rsidR="001C0F56" w:rsidRPr="001C0F56" w:rsidRDefault="001C0F56" w:rsidP="00FA7A35">
            <w:pPr>
              <w:jc w:val="center"/>
              <w:rPr>
                <w:rFonts w:cs="Times New Roman"/>
                <w:szCs w:val="21"/>
              </w:rPr>
            </w:pPr>
            <w:r w:rsidRPr="001C0F56">
              <w:rPr>
                <w:rFonts w:eastAsia="Calibri" w:cs="Times New Roman"/>
                <w:szCs w:val="21"/>
              </w:rPr>
              <w:t>0.056</w:t>
            </w:r>
          </w:p>
        </w:tc>
        <w:tc>
          <w:tcPr>
            <w:tcW w:w="851" w:type="dxa"/>
          </w:tcPr>
          <w:p w14:paraId="2F70FFF1" w14:textId="77777777" w:rsidR="001C0F56" w:rsidRPr="001C0F56" w:rsidRDefault="001C0F56" w:rsidP="00FA7A35">
            <w:pPr>
              <w:jc w:val="center"/>
              <w:rPr>
                <w:rFonts w:cs="Times New Roman"/>
                <w:szCs w:val="21"/>
              </w:rPr>
            </w:pPr>
            <w:r w:rsidRPr="001C0F56">
              <w:rPr>
                <w:rFonts w:eastAsia="Calibri" w:cs="Times New Roman"/>
                <w:szCs w:val="21"/>
              </w:rPr>
              <w:t>no</w:t>
            </w:r>
          </w:p>
        </w:tc>
      </w:tr>
      <w:tr w:rsidR="001C0F56" w:rsidRPr="001C0F56" w14:paraId="72CE2EDB" w14:textId="77777777" w:rsidTr="001C0F56">
        <w:tc>
          <w:tcPr>
            <w:tcW w:w="2664" w:type="dxa"/>
          </w:tcPr>
          <w:p w14:paraId="29A82CC0" w14:textId="77777777" w:rsidR="001C0F56" w:rsidRPr="001C0F56" w:rsidRDefault="001C0F56" w:rsidP="00FA7A35">
            <w:pPr>
              <w:rPr>
                <w:rFonts w:cs="Times New Roman"/>
                <w:szCs w:val="21"/>
              </w:rPr>
            </w:pPr>
            <w:r w:rsidRPr="001C0F56">
              <w:rPr>
                <w:rFonts w:eastAsia="Calibri" w:cs="Times New Roman"/>
                <w:szCs w:val="21"/>
              </w:rPr>
              <w:t>Musculoskeletal System</w:t>
            </w:r>
          </w:p>
        </w:tc>
        <w:tc>
          <w:tcPr>
            <w:tcW w:w="504" w:type="dxa"/>
          </w:tcPr>
          <w:p w14:paraId="33C97B39" w14:textId="77777777" w:rsidR="001C0F56" w:rsidRPr="001C0F56" w:rsidRDefault="001C0F56" w:rsidP="00FA7A35">
            <w:pPr>
              <w:jc w:val="center"/>
              <w:rPr>
                <w:rFonts w:cs="Times New Roman"/>
                <w:szCs w:val="21"/>
              </w:rPr>
            </w:pPr>
            <w:r w:rsidRPr="001C0F56">
              <w:rPr>
                <w:rFonts w:eastAsia="Calibri" w:cs="Times New Roman"/>
                <w:szCs w:val="21"/>
              </w:rPr>
              <w:t>24</w:t>
            </w:r>
          </w:p>
        </w:tc>
        <w:tc>
          <w:tcPr>
            <w:tcW w:w="1652" w:type="dxa"/>
          </w:tcPr>
          <w:p w14:paraId="5388F965" w14:textId="77777777" w:rsidR="001C0F56" w:rsidRPr="001C0F56" w:rsidRDefault="001C0F56" w:rsidP="00FA7A35">
            <w:pPr>
              <w:jc w:val="center"/>
              <w:rPr>
                <w:rFonts w:cs="Times New Roman"/>
                <w:szCs w:val="21"/>
              </w:rPr>
            </w:pPr>
            <w:r w:rsidRPr="001C0F56">
              <w:rPr>
                <w:rFonts w:eastAsia="Calibri" w:cs="Times New Roman"/>
                <w:szCs w:val="21"/>
              </w:rPr>
              <w:t>57.1</w:t>
            </w:r>
          </w:p>
        </w:tc>
        <w:tc>
          <w:tcPr>
            <w:tcW w:w="709" w:type="dxa"/>
          </w:tcPr>
          <w:p w14:paraId="48D480AA" w14:textId="77777777" w:rsidR="001C0F56" w:rsidRPr="001C0F56" w:rsidRDefault="001C0F56" w:rsidP="00FA7A35">
            <w:pPr>
              <w:jc w:val="center"/>
              <w:rPr>
                <w:rFonts w:cs="Times New Roman"/>
                <w:szCs w:val="21"/>
              </w:rPr>
            </w:pPr>
            <w:r w:rsidRPr="001C0F56">
              <w:rPr>
                <w:rFonts w:eastAsia="Calibri" w:cs="Times New Roman"/>
                <w:szCs w:val="21"/>
              </w:rPr>
              <w:t>21.6-89.2</w:t>
            </w:r>
          </w:p>
        </w:tc>
        <w:tc>
          <w:tcPr>
            <w:tcW w:w="992" w:type="dxa"/>
          </w:tcPr>
          <w:p w14:paraId="1B58E5F5" w14:textId="77777777" w:rsidR="001C0F56" w:rsidRPr="001C0F56" w:rsidRDefault="001C0F56" w:rsidP="00FA7A35">
            <w:pPr>
              <w:jc w:val="center"/>
              <w:rPr>
                <w:rFonts w:cs="Times New Roman"/>
                <w:szCs w:val="21"/>
              </w:rPr>
            </w:pPr>
            <w:r w:rsidRPr="001C0F56">
              <w:rPr>
                <w:rFonts w:eastAsia="Calibri" w:cs="Times New Roman"/>
                <w:szCs w:val="21"/>
              </w:rPr>
              <w:t>55.6</w:t>
            </w:r>
          </w:p>
        </w:tc>
        <w:tc>
          <w:tcPr>
            <w:tcW w:w="992" w:type="dxa"/>
          </w:tcPr>
          <w:p w14:paraId="3C7AA692" w14:textId="77777777" w:rsidR="001C0F56" w:rsidRPr="001C0F56" w:rsidRDefault="001C0F56" w:rsidP="00FA7A35">
            <w:pPr>
              <w:jc w:val="center"/>
              <w:rPr>
                <w:rFonts w:cs="Times New Roman"/>
                <w:szCs w:val="21"/>
              </w:rPr>
            </w:pPr>
            <w:r w:rsidRPr="001C0F56">
              <w:rPr>
                <w:rFonts w:eastAsia="Calibri" w:cs="Times New Roman"/>
                <w:szCs w:val="21"/>
              </w:rPr>
              <w:t>57.6</w:t>
            </w:r>
          </w:p>
        </w:tc>
        <w:tc>
          <w:tcPr>
            <w:tcW w:w="1134" w:type="dxa"/>
          </w:tcPr>
          <w:p w14:paraId="4854FC37" w14:textId="77777777" w:rsidR="001C0F56" w:rsidRPr="001C0F56" w:rsidRDefault="001C0F56" w:rsidP="00FA7A35">
            <w:pPr>
              <w:jc w:val="center"/>
              <w:rPr>
                <w:rFonts w:cs="Times New Roman"/>
                <w:szCs w:val="21"/>
              </w:rPr>
            </w:pPr>
            <w:r w:rsidRPr="001C0F56">
              <w:rPr>
                <w:rFonts w:eastAsia="Calibri" w:cs="Times New Roman"/>
                <w:szCs w:val="21"/>
              </w:rPr>
              <w:t>6214.0</w:t>
            </w:r>
          </w:p>
        </w:tc>
        <w:tc>
          <w:tcPr>
            <w:tcW w:w="992" w:type="dxa"/>
          </w:tcPr>
          <w:p w14:paraId="7F5CA743" w14:textId="77777777" w:rsidR="001C0F56" w:rsidRPr="001C0F56" w:rsidRDefault="001C0F56" w:rsidP="00FA7A35">
            <w:pPr>
              <w:jc w:val="center"/>
              <w:rPr>
                <w:rFonts w:cs="Times New Roman"/>
                <w:szCs w:val="21"/>
              </w:rPr>
            </w:pPr>
            <w:r w:rsidRPr="001C0F56">
              <w:rPr>
                <w:rFonts w:eastAsia="Calibri" w:cs="Times New Roman"/>
                <w:szCs w:val="21"/>
              </w:rPr>
              <w:t>0.639</w:t>
            </w:r>
          </w:p>
        </w:tc>
        <w:tc>
          <w:tcPr>
            <w:tcW w:w="709" w:type="dxa"/>
          </w:tcPr>
          <w:p w14:paraId="2089BB04" w14:textId="77777777" w:rsidR="001C0F56" w:rsidRPr="001C0F56" w:rsidRDefault="001C0F56" w:rsidP="00FA7A35">
            <w:pPr>
              <w:jc w:val="center"/>
              <w:rPr>
                <w:rFonts w:cs="Times New Roman"/>
                <w:szCs w:val="21"/>
              </w:rPr>
            </w:pPr>
            <w:r w:rsidRPr="001C0F56">
              <w:rPr>
                <w:rFonts w:eastAsia="Calibri" w:cs="Times New Roman"/>
                <w:szCs w:val="21"/>
              </w:rPr>
              <w:t>0.715</w:t>
            </w:r>
          </w:p>
        </w:tc>
        <w:tc>
          <w:tcPr>
            <w:tcW w:w="992" w:type="dxa"/>
          </w:tcPr>
          <w:p w14:paraId="5ED83DBA" w14:textId="77777777" w:rsidR="001C0F56" w:rsidRPr="001C0F56" w:rsidRDefault="001C0F56" w:rsidP="00FA7A35">
            <w:pPr>
              <w:jc w:val="center"/>
              <w:rPr>
                <w:rFonts w:cs="Times New Roman"/>
                <w:szCs w:val="21"/>
              </w:rPr>
            </w:pPr>
            <w:r w:rsidRPr="001C0F56">
              <w:rPr>
                <w:rFonts w:eastAsia="Calibri" w:cs="Times New Roman"/>
                <w:szCs w:val="21"/>
              </w:rPr>
              <w:t>2.6</w:t>
            </w:r>
          </w:p>
        </w:tc>
        <w:tc>
          <w:tcPr>
            <w:tcW w:w="1418" w:type="dxa"/>
          </w:tcPr>
          <w:p w14:paraId="28C4E808" w14:textId="77777777" w:rsidR="001C0F56" w:rsidRPr="001C0F56" w:rsidRDefault="001C0F56" w:rsidP="00FA7A35">
            <w:pPr>
              <w:jc w:val="center"/>
              <w:rPr>
                <w:rFonts w:cs="Times New Roman"/>
                <w:szCs w:val="21"/>
              </w:rPr>
            </w:pPr>
            <w:r w:rsidRPr="001C0F56">
              <w:rPr>
                <w:rFonts w:eastAsia="Calibri" w:cs="Times New Roman"/>
                <w:szCs w:val="21"/>
              </w:rPr>
              <w:t>-10.7 to 14.8</w:t>
            </w:r>
          </w:p>
        </w:tc>
        <w:tc>
          <w:tcPr>
            <w:tcW w:w="850" w:type="dxa"/>
          </w:tcPr>
          <w:p w14:paraId="25063E1E" w14:textId="77777777" w:rsidR="001C0F56" w:rsidRPr="001C0F56" w:rsidRDefault="001C0F56" w:rsidP="00FA7A35">
            <w:pPr>
              <w:jc w:val="center"/>
              <w:rPr>
                <w:rFonts w:cs="Times New Roman"/>
                <w:szCs w:val="21"/>
              </w:rPr>
            </w:pPr>
            <w:r w:rsidRPr="001C0F56">
              <w:rPr>
                <w:rFonts w:eastAsia="Calibri" w:cs="Times New Roman"/>
                <w:szCs w:val="21"/>
              </w:rPr>
              <w:t>0.057</w:t>
            </w:r>
          </w:p>
        </w:tc>
        <w:tc>
          <w:tcPr>
            <w:tcW w:w="851" w:type="dxa"/>
          </w:tcPr>
          <w:p w14:paraId="7B89DC1D" w14:textId="77777777" w:rsidR="001C0F56" w:rsidRPr="001C0F56" w:rsidRDefault="001C0F56" w:rsidP="00FA7A35">
            <w:pPr>
              <w:jc w:val="center"/>
              <w:rPr>
                <w:rFonts w:cs="Times New Roman"/>
                <w:szCs w:val="21"/>
              </w:rPr>
            </w:pPr>
            <w:r w:rsidRPr="001C0F56">
              <w:rPr>
                <w:rFonts w:eastAsia="Calibri" w:cs="Times New Roman"/>
                <w:szCs w:val="21"/>
              </w:rPr>
              <w:t>no</w:t>
            </w:r>
          </w:p>
        </w:tc>
      </w:tr>
      <w:tr w:rsidR="001C0F56" w:rsidRPr="001C0F56" w14:paraId="32DF16A2" w14:textId="77777777" w:rsidTr="001C0F56">
        <w:tc>
          <w:tcPr>
            <w:tcW w:w="2664" w:type="dxa"/>
          </w:tcPr>
          <w:p w14:paraId="6AE87E2B" w14:textId="77777777" w:rsidR="001C0F56" w:rsidRPr="001C0F56" w:rsidRDefault="001C0F56" w:rsidP="00FA7A35">
            <w:pPr>
              <w:rPr>
                <w:rFonts w:cs="Times New Roman"/>
                <w:szCs w:val="21"/>
              </w:rPr>
            </w:pPr>
            <w:r w:rsidRPr="001C0F56">
              <w:rPr>
                <w:rFonts w:eastAsia="Calibri" w:cs="Times New Roman"/>
                <w:szCs w:val="21"/>
              </w:rPr>
              <w:t>Antineoplastic and Immunomodulating Agents</w:t>
            </w:r>
          </w:p>
        </w:tc>
        <w:tc>
          <w:tcPr>
            <w:tcW w:w="504" w:type="dxa"/>
          </w:tcPr>
          <w:p w14:paraId="743D2623" w14:textId="77777777" w:rsidR="001C0F56" w:rsidRPr="001C0F56" w:rsidRDefault="001C0F56" w:rsidP="00FA7A35">
            <w:pPr>
              <w:jc w:val="center"/>
              <w:rPr>
                <w:rFonts w:cs="Times New Roman"/>
                <w:szCs w:val="21"/>
              </w:rPr>
            </w:pPr>
            <w:r w:rsidRPr="001C0F56">
              <w:rPr>
                <w:rFonts w:eastAsia="Calibri" w:cs="Times New Roman"/>
                <w:szCs w:val="21"/>
              </w:rPr>
              <w:t>86</w:t>
            </w:r>
          </w:p>
        </w:tc>
        <w:tc>
          <w:tcPr>
            <w:tcW w:w="1652" w:type="dxa"/>
          </w:tcPr>
          <w:p w14:paraId="68ED09EB" w14:textId="77777777" w:rsidR="001C0F56" w:rsidRPr="001C0F56" w:rsidRDefault="001C0F56" w:rsidP="00FA7A35">
            <w:pPr>
              <w:jc w:val="center"/>
              <w:rPr>
                <w:rFonts w:cs="Times New Roman"/>
                <w:szCs w:val="21"/>
              </w:rPr>
            </w:pPr>
            <w:r w:rsidRPr="001C0F56">
              <w:rPr>
                <w:rFonts w:eastAsia="Calibri" w:cs="Times New Roman"/>
                <w:szCs w:val="21"/>
              </w:rPr>
              <w:t>57.5</w:t>
            </w:r>
          </w:p>
        </w:tc>
        <w:tc>
          <w:tcPr>
            <w:tcW w:w="709" w:type="dxa"/>
          </w:tcPr>
          <w:p w14:paraId="68A26A4A" w14:textId="77777777" w:rsidR="001C0F56" w:rsidRPr="001C0F56" w:rsidRDefault="001C0F56" w:rsidP="00FA7A35">
            <w:pPr>
              <w:jc w:val="center"/>
              <w:rPr>
                <w:rFonts w:cs="Times New Roman"/>
                <w:szCs w:val="21"/>
              </w:rPr>
            </w:pPr>
            <w:r w:rsidRPr="001C0F56">
              <w:rPr>
                <w:rFonts w:eastAsia="Calibri" w:cs="Times New Roman"/>
                <w:szCs w:val="21"/>
              </w:rPr>
              <w:t>6.4-85.8</w:t>
            </w:r>
          </w:p>
        </w:tc>
        <w:tc>
          <w:tcPr>
            <w:tcW w:w="992" w:type="dxa"/>
          </w:tcPr>
          <w:p w14:paraId="39D484A1" w14:textId="77777777" w:rsidR="001C0F56" w:rsidRPr="001C0F56" w:rsidRDefault="001C0F56" w:rsidP="00FA7A35">
            <w:pPr>
              <w:jc w:val="center"/>
              <w:rPr>
                <w:rFonts w:cs="Times New Roman"/>
                <w:szCs w:val="21"/>
              </w:rPr>
            </w:pPr>
            <w:r w:rsidRPr="001C0F56">
              <w:rPr>
                <w:rFonts w:eastAsia="Calibri" w:cs="Times New Roman"/>
                <w:szCs w:val="21"/>
              </w:rPr>
              <w:t>50.3</w:t>
            </w:r>
          </w:p>
        </w:tc>
        <w:tc>
          <w:tcPr>
            <w:tcW w:w="992" w:type="dxa"/>
          </w:tcPr>
          <w:p w14:paraId="28F0F5F9" w14:textId="77777777" w:rsidR="001C0F56" w:rsidRPr="001C0F56" w:rsidRDefault="001C0F56" w:rsidP="00FA7A35">
            <w:pPr>
              <w:jc w:val="center"/>
              <w:rPr>
                <w:rFonts w:cs="Times New Roman"/>
                <w:szCs w:val="21"/>
              </w:rPr>
            </w:pPr>
            <w:r w:rsidRPr="001C0F56">
              <w:rPr>
                <w:rFonts w:eastAsia="Calibri" w:cs="Times New Roman"/>
                <w:szCs w:val="21"/>
              </w:rPr>
              <w:t>57.6</w:t>
            </w:r>
          </w:p>
        </w:tc>
        <w:tc>
          <w:tcPr>
            <w:tcW w:w="1134" w:type="dxa"/>
          </w:tcPr>
          <w:p w14:paraId="3F1910FF" w14:textId="77777777" w:rsidR="001C0F56" w:rsidRPr="001C0F56" w:rsidRDefault="001C0F56" w:rsidP="00FA7A35">
            <w:pPr>
              <w:jc w:val="center"/>
              <w:rPr>
                <w:rFonts w:cs="Times New Roman"/>
                <w:szCs w:val="21"/>
              </w:rPr>
            </w:pPr>
            <w:r w:rsidRPr="001C0F56">
              <w:rPr>
                <w:rFonts w:eastAsia="Calibri" w:cs="Times New Roman"/>
                <w:szCs w:val="21"/>
              </w:rPr>
              <w:t>17515.0</w:t>
            </w:r>
          </w:p>
        </w:tc>
        <w:tc>
          <w:tcPr>
            <w:tcW w:w="992" w:type="dxa"/>
          </w:tcPr>
          <w:p w14:paraId="3FADE1AD" w14:textId="77777777" w:rsidR="001C0F56" w:rsidRPr="001C0F56" w:rsidRDefault="001C0F56" w:rsidP="00FA7A35">
            <w:pPr>
              <w:jc w:val="center"/>
              <w:rPr>
                <w:rFonts w:cs="Times New Roman"/>
                <w:szCs w:val="21"/>
              </w:rPr>
            </w:pPr>
            <w:r w:rsidRPr="001C0F56">
              <w:rPr>
                <w:rFonts w:eastAsia="Calibri" w:cs="Times New Roman"/>
                <w:szCs w:val="21"/>
              </w:rPr>
              <w:t>0.480</w:t>
            </w:r>
          </w:p>
        </w:tc>
        <w:tc>
          <w:tcPr>
            <w:tcW w:w="709" w:type="dxa"/>
          </w:tcPr>
          <w:p w14:paraId="0CB777ED" w14:textId="77777777" w:rsidR="001C0F56" w:rsidRPr="001C0F56" w:rsidRDefault="001C0F56" w:rsidP="00FA7A35">
            <w:pPr>
              <w:jc w:val="center"/>
              <w:rPr>
                <w:rFonts w:cs="Times New Roman"/>
                <w:szCs w:val="21"/>
              </w:rPr>
            </w:pPr>
            <w:r w:rsidRPr="001C0F56">
              <w:rPr>
                <w:rFonts w:eastAsia="Calibri" w:cs="Times New Roman"/>
                <w:szCs w:val="21"/>
              </w:rPr>
              <w:t>0.663</w:t>
            </w:r>
          </w:p>
        </w:tc>
        <w:tc>
          <w:tcPr>
            <w:tcW w:w="992" w:type="dxa"/>
          </w:tcPr>
          <w:p w14:paraId="75807CE9" w14:textId="77777777" w:rsidR="001C0F56" w:rsidRPr="001C0F56" w:rsidRDefault="001C0F56" w:rsidP="00FA7A35">
            <w:pPr>
              <w:jc w:val="center"/>
              <w:rPr>
                <w:rFonts w:cs="Times New Roman"/>
                <w:szCs w:val="21"/>
              </w:rPr>
            </w:pPr>
            <w:r w:rsidRPr="001C0F56">
              <w:rPr>
                <w:rFonts w:eastAsia="Calibri" w:cs="Times New Roman"/>
                <w:szCs w:val="21"/>
              </w:rPr>
              <w:t>-1.9</w:t>
            </w:r>
          </w:p>
        </w:tc>
        <w:tc>
          <w:tcPr>
            <w:tcW w:w="1418" w:type="dxa"/>
          </w:tcPr>
          <w:p w14:paraId="5D44F13A" w14:textId="77777777" w:rsidR="001C0F56" w:rsidRPr="001C0F56" w:rsidRDefault="001C0F56" w:rsidP="00FA7A35">
            <w:pPr>
              <w:jc w:val="center"/>
              <w:rPr>
                <w:rFonts w:cs="Times New Roman"/>
                <w:szCs w:val="21"/>
              </w:rPr>
            </w:pPr>
            <w:r w:rsidRPr="001C0F56">
              <w:rPr>
                <w:rFonts w:eastAsia="Calibri" w:cs="Times New Roman"/>
                <w:szCs w:val="21"/>
              </w:rPr>
              <w:t>-10.2 to 4.3</w:t>
            </w:r>
          </w:p>
        </w:tc>
        <w:tc>
          <w:tcPr>
            <w:tcW w:w="850" w:type="dxa"/>
          </w:tcPr>
          <w:p w14:paraId="38E71E34" w14:textId="77777777" w:rsidR="001C0F56" w:rsidRPr="001C0F56" w:rsidRDefault="001C0F56" w:rsidP="00FA7A35">
            <w:pPr>
              <w:jc w:val="center"/>
              <w:rPr>
                <w:rFonts w:cs="Times New Roman"/>
                <w:szCs w:val="21"/>
              </w:rPr>
            </w:pPr>
            <w:r w:rsidRPr="001C0F56">
              <w:rPr>
                <w:rFonts w:eastAsia="Calibri" w:cs="Times New Roman"/>
                <w:szCs w:val="21"/>
              </w:rPr>
              <w:t>-0.048</w:t>
            </w:r>
          </w:p>
        </w:tc>
        <w:tc>
          <w:tcPr>
            <w:tcW w:w="851" w:type="dxa"/>
          </w:tcPr>
          <w:p w14:paraId="157E8C75" w14:textId="77777777" w:rsidR="001C0F56" w:rsidRPr="001C0F56" w:rsidRDefault="001C0F56" w:rsidP="00FA7A35">
            <w:pPr>
              <w:jc w:val="center"/>
              <w:rPr>
                <w:rFonts w:cs="Times New Roman"/>
                <w:szCs w:val="21"/>
              </w:rPr>
            </w:pPr>
            <w:r w:rsidRPr="001C0F56">
              <w:rPr>
                <w:rFonts w:eastAsia="Calibri" w:cs="Times New Roman"/>
                <w:szCs w:val="21"/>
              </w:rPr>
              <w:t>no</w:t>
            </w:r>
          </w:p>
        </w:tc>
      </w:tr>
      <w:tr w:rsidR="001C0F56" w:rsidRPr="001C0F56" w14:paraId="45D27EB3" w14:textId="77777777" w:rsidTr="001C0F56">
        <w:tc>
          <w:tcPr>
            <w:tcW w:w="2664" w:type="dxa"/>
          </w:tcPr>
          <w:p w14:paraId="33740C2F" w14:textId="77777777" w:rsidR="001C0F56" w:rsidRPr="001C0F56" w:rsidRDefault="001C0F56" w:rsidP="00FA7A35">
            <w:pPr>
              <w:rPr>
                <w:rFonts w:cs="Times New Roman"/>
                <w:szCs w:val="21"/>
              </w:rPr>
            </w:pPr>
            <w:r w:rsidRPr="001C0F56">
              <w:rPr>
                <w:rFonts w:eastAsia="Calibri" w:cs="Times New Roman"/>
                <w:szCs w:val="21"/>
              </w:rPr>
              <w:t>Alimentary Tract and Metabolism</w:t>
            </w:r>
          </w:p>
        </w:tc>
        <w:tc>
          <w:tcPr>
            <w:tcW w:w="504" w:type="dxa"/>
          </w:tcPr>
          <w:p w14:paraId="06043DEC" w14:textId="77777777" w:rsidR="001C0F56" w:rsidRPr="001C0F56" w:rsidRDefault="001C0F56" w:rsidP="00FA7A35">
            <w:pPr>
              <w:jc w:val="center"/>
              <w:rPr>
                <w:rFonts w:cs="Times New Roman"/>
                <w:szCs w:val="21"/>
              </w:rPr>
            </w:pPr>
            <w:r w:rsidRPr="001C0F56">
              <w:rPr>
                <w:rFonts w:eastAsia="Calibri" w:cs="Times New Roman"/>
                <w:szCs w:val="21"/>
              </w:rPr>
              <w:t>69</w:t>
            </w:r>
          </w:p>
        </w:tc>
        <w:tc>
          <w:tcPr>
            <w:tcW w:w="1652" w:type="dxa"/>
          </w:tcPr>
          <w:p w14:paraId="6BC827DA" w14:textId="77777777" w:rsidR="001C0F56" w:rsidRPr="001C0F56" w:rsidRDefault="001C0F56" w:rsidP="00FA7A35">
            <w:pPr>
              <w:jc w:val="center"/>
              <w:rPr>
                <w:rFonts w:cs="Times New Roman"/>
                <w:szCs w:val="21"/>
              </w:rPr>
            </w:pPr>
            <w:r w:rsidRPr="001C0F56">
              <w:rPr>
                <w:rFonts w:eastAsia="Calibri" w:cs="Times New Roman"/>
                <w:szCs w:val="21"/>
              </w:rPr>
              <w:t>63.0</w:t>
            </w:r>
          </w:p>
        </w:tc>
        <w:tc>
          <w:tcPr>
            <w:tcW w:w="709" w:type="dxa"/>
          </w:tcPr>
          <w:p w14:paraId="78ADBAF9" w14:textId="77777777" w:rsidR="001C0F56" w:rsidRPr="001C0F56" w:rsidRDefault="001C0F56" w:rsidP="00FA7A35">
            <w:pPr>
              <w:jc w:val="center"/>
              <w:rPr>
                <w:rFonts w:cs="Times New Roman"/>
                <w:szCs w:val="21"/>
              </w:rPr>
            </w:pPr>
            <w:r w:rsidRPr="001C0F56">
              <w:rPr>
                <w:rFonts w:eastAsia="Calibri" w:cs="Times New Roman"/>
                <w:szCs w:val="21"/>
              </w:rPr>
              <w:t>43.9-82.8</w:t>
            </w:r>
          </w:p>
        </w:tc>
        <w:tc>
          <w:tcPr>
            <w:tcW w:w="992" w:type="dxa"/>
          </w:tcPr>
          <w:p w14:paraId="3BEAC823" w14:textId="77777777" w:rsidR="001C0F56" w:rsidRPr="001C0F56" w:rsidRDefault="001C0F56" w:rsidP="00FA7A35">
            <w:pPr>
              <w:jc w:val="center"/>
              <w:rPr>
                <w:rFonts w:cs="Times New Roman"/>
                <w:szCs w:val="21"/>
              </w:rPr>
            </w:pPr>
            <w:r w:rsidRPr="001C0F56">
              <w:rPr>
                <w:rFonts w:eastAsia="Calibri" w:cs="Times New Roman"/>
                <w:szCs w:val="21"/>
              </w:rPr>
              <w:t>60.2</w:t>
            </w:r>
          </w:p>
        </w:tc>
        <w:tc>
          <w:tcPr>
            <w:tcW w:w="992" w:type="dxa"/>
          </w:tcPr>
          <w:p w14:paraId="390CACEC" w14:textId="77777777" w:rsidR="001C0F56" w:rsidRPr="001C0F56" w:rsidRDefault="001C0F56" w:rsidP="00FA7A35">
            <w:pPr>
              <w:jc w:val="center"/>
              <w:rPr>
                <w:rFonts w:cs="Times New Roman"/>
                <w:szCs w:val="21"/>
              </w:rPr>
            </w:pPr>
            <w:r w:rsidRPr="001C0F56">
              <w:rPr>
                <w:rFonts w:eastAsia="Calibri" w:cs="Times New Roman"/>
                <w:szCs w:val="21"/>
              </w:rPr>
              <w:t>56.8</w:t>
            </w:r>
          </w:p>
        </w:tc>
        <w:tc>
          <w:tcPr>
            <w:tcW w:w="1134" w:type="dxa"/>
          </w:tcPr>
          <w:p w14:paraId="3652BB24" w14:textId="77777777" w:rsidR="001C0F56" w:rsidRPr="001C0F56" w:rsidRDefault="001C0F56" w:rsidP="00FA7A35">
            <w:pPr>
              <w:jc w:val="center"/>
              <w:rPr>
                <w:rFonts w:cs="Times New Roman"/>
                <w:szCs w:val="21"/>
              </w:rPr>
            </w:pPr>
            <w:r w:rsidRPr="001C0F56">
              <w:rPr>
                <w:rFonts w:eastAsia="Calibri" w:cs="Times New Roman"/>
                <w:szCs w:val="21"/>
              </w:rPr>
              <w:t>17297.0</w:t>
            </w:r>
          </w:p>
        </w:tc>
        <w:tc>
          <w:tcPr>
            <w:tcW w:w="992" w:type="dxa"/>
          </w:tcPr>
          <w:p w14:paraId="1EE23304" w14:textId="77777777" w:rsidR="001C0F56" w:rsidRPr="001C0F56" w:rsidRDefault="001C0F56" w:rsidP="00FA7A35">
            <w:pPr>
              <w:jc w:val="center"/>
              <w:rPr>
                <w:rFonts w:cs="Times New Roman"/>
                <w:szCs w:val="21"/>
              </w:rPr>
            </w:pPr>
            <w:r w:rsidRPr="001C0F56">
              <w:rPr>
                <w:rFonts w:eastAsia="Calibri" w:cs="Times New Roman"/>
                <w:szCs w:val="21"/>
              </w:rPr>
              <w:t>0.090</w:t>
            </w:r>
          </w:p>
        </w:tc>
        <w:tc>
          <w:tcPr>
            <w:tcW w:w="709" w:type="dxa"/>
          </w:tcPr>
          <w:p w14:paraId="66CBD93F" w14:textId="77777777" w:rsidR="001C0F56" w:rsidRPr="001C0F56" w:rsidRDefault="001C0F56" w:rsidP="00FA7A35">
            <w:pPr>
              <w:jc w:val="center"/>
              <w:rPr>
                <w:rFonts w:cs="Times New Roman"/>
                <w:szCs w:val="21"/>
              </w:rPr>
            </w:pPr>
            <w:r w:rsidRPr="001C0F56">
              <w:rPr>
                <w:rFonts w:eastAsia="Calibri" w:cs="Times New Roman"/>
                <w:szCs w:val="21"/>
              </w:rPr>
              <w:t>0.294</w:t>
            </w:r>
          </w:p>
        </w:tc>
        <w:tc>
          <w:tcPr>
            <w:tcW w:w="992" w:type="dxa"/>
          </w:tcPr>
          <w:p w14:paraId="355A39F4" w14:textId="77777777" w:rsidR="001C0F56" w:rsidRPr="001C0F56" w:rsidRDefault="001C0F56" w:rsidP="00FA7A35">
            <w:pPr>
              <w:jc w:val="center"/>
              <w:rPr>
                <w:rFonts w:cs="Times New Roman"/>
                <w:szCs w:val="21"/>
              </w:rPr>
            </w:pPr>
            <w:r w:rsidRPr="001C0F56">
              <w:rPr>
                <w:rFonts w:eastAsia="Calibri" w:cs="Times New Roman"/>
                <w:szCs w:val="21"/>
              </w:rPr>
              <w:t>7.0</w:t>
            </w:r>
          </w:p>
        </w:tc>
        <w:tc>
          <w:tcPr>
            <w:tcW w:w="1418" w:type="dxa"/>
          </w:tcPr>
          <w:p w14:paraId="616E06FA" w14:textId="77777777" w:rsidR="001C0F56" w:rsidRPr="001C0F56" w:rsidRDefault="001C0F56" w:rsidP="00FA7A35">
            <w:pPr>
              <w:jc w:val="center"/>
              <w:rPr>
                <w:rFonts w:cs="Times New Roman"/>
                <w:szCs w:val="21"/>
              </w:rPr>
            </w:pPr>
            <w:r w:rsidRPr="001C0F56">
              <w:rPr>
                <w:rFonts w:eastAsia="Calibri" w:cs="Times New Roman"/>
                <w:szCs w:val="21"/>
              </w:rPr>
              <w:t>-0.0 to 13.9</w:t>
            </w:r>
          </w:p>
        </w:tc>
        <w:tc>
          <w:tcPr>
            <w:tcW w:w="850" w:type="dxa"/>
          </w:tcPr>
          <w:p w14:paraId="550E8DA5" w14:textId="77777777" w:rsidR="001C0F56" w:rsidRPr="001C0F56" w:rsidRDefault="001C0F56" w:rsidP="00FA7A35">
            <w:pPr>
              <w:jc w:val="center"/>
              <w:rPr>
                <w:rFonts w:cs="Times New Roman"/>
                <w:szCs w:val="21"/>
              </w:rPr>
            </w:pPr>
            <w:r w:rsidRPr="001C0F56">
              <w:rPr>
                <w:rFonts w:eastAsia="Calibri" w:cs="Times New Roman"/>
                <w:szCs w:val="21"/>
              </w:rPr>
              <w:t>0.127</w:t>
            </w:r>
          </w:p>
        </w:tc>
        <w:tc>
          <w:tcPr>
            <w:tcW w:w="851" w:type="dxa"/>
          </w:tcPr>
          <w:p w14:paraId="2A5CD134" w14:textId="77777777" w:rsidR="001C0F56" w:rsidRPr="001C0F56" w:rsidRDefault="001C0F56" w:rsidP="00FA7A35">
            <w:pPr>
              <w:jc w:val="center"/>
              <w:rPr>
                <w:rFonts w:cs="Times New Roman"/>
                <w:szCs w:val="21"/>
              </w:rPr>
            </w:pPr>
            <w:r w:rsidRPr="001C0F56">
              <w:rPr>
                <w:rFonts w:eastAsia="Calibri" w:cs="Times New Roman"/>
                <w:szCs w:val="21"/>
              </w:rPr>
              <w:t>no</w:t>
            </w:r>
          </w:p>
        </w:tc>
      </w:tr>
      <w:tr w:rsidR="001C0F56" w:rsidRPr="001C0F56" w14:paraId="37E2029C" w14:textId="77777777" w:rsidTr="001C0F56">
        <w:tc>
          <w:tcPr>
            <w:tcW w:w="2664" w:type="dxa"/>
          </w:tcPr>
          <w:p w14:paraId="37536574" w14:textId="77777777" w:rsidR="001C0F56" w:rsidRPr="001C0F56" w:rsidRDefault="001C0F56" w:rsidP="00FA7A35">
            <w:pPr>
              <w:rPr>
                <w:rFonts w:cs="Times New Roman"/>
                <w:szCs w:val="21"/>
              </w:rPr>
            </w:pPr>
            <w:r w:rsidRPr="001C0F56">
              <w:rPr>
                <w:rFonts w:eastAsia="Calibri" w:cs="Times New Roman"/>
                <w:szCs w:val="21"/>
              </w:rPr>
              <w:lastRenderedPageBreak/>
              <w:t>Blood and Blood-Forming Organs</w:t>
            </w:r>
          </w:p>
        </w:tc>
        <w:tc>
          <w:tcPr>
            <w:tcW w:w="504" w:type="dxa"/>
          </w:tcPr>
          <w:p w14:paraId="1567F779" w14:textId="77777777" w:rsidR="001C0F56" w:rsidRPr="001C0F56" w:rsidRDefault="001C0F56" w:rsidP="00FA7A35">
            <w:pPr>
              <w:jc w:val="center"/>
              <w:rPr>
                <w:rFonts w:cs="Times New Roman"/>
                <w:szCs w:val="21"/>
              </w:rPr>
            </w:pPr>
            <w:r w:rsidRPr="001C0F56">
              <w:rPr>
                <w:rFonts w:eastAsia="Calibri" w:cs="Times New Roman"/>
                <w:szCs w:val="21"/>
              </w:rPr>
              <w:t>47</w:t>
            </w:r>
          </w:p>
        </w:tc>
        <w:tc>
          <w:tcPr>
            <w:tcW w:w="1652" w:type="dxa"/>
          </w:tcPr>
          <w:p w14:paraId="508D98C0" w14:textId="77777777" w:rsidR="001C0F56" w:rsidRPr="001C0F56" w:rsidRDefault="001C0F56" w:rsidP="00FA7A35">
            <w:pPr>
              <w:jc w:val="center"/>
              <w:rPr>
                <w:rFonts w:cs="Times New Roman"/>
                <w:szCs w:val="21"/>
              </w:rPr>
            </w:pPr>
            <w:r w:rsidRPr="001C0F56">
              <w:rPr>
                <w:rFonts w:eastAsia="Calibri" w:cs="Times New Roman"/>
                <w:szCs w:val="21"/>
              </w:rPr>
              <w:t>64.9</w:t>
            </w:r>
          </w:p>
        </w:tc>
        <w:tc>
          <w:tcPr>
            <w:tcW w:w="709" w:type="dxa"/>
          </w:tcPr>
          <w:p w14:paraId="6329D5A4" w14:textId="77777777" w:rsidR="001C0F56" w:rsidRPr="001C0F56" w:rsidRDefault="001C0F56" w:rsidP="00FA7A35">
            <w:pPr>
              <w:jc w:val="center"/>
              <w:rPr>
                <w:rFonts w:cs="Times New Roman"/>
                <w:szCs w:val="21"/>
              </w:rPr>
            </w:pPr>
            <w:r w:rsidRPr="001C0F56">
              <w:rPr>
                <w:rFonts w:eastAsia="Calibri" w:cs="Times New Roman"/>
                <w:szCs w:val="21"/>
              </w:rPr>
              <w:t>33.8-81.2</w:t>
            </w:r>
          </w:p>
        </w:tc>
        <w:tc>
          <w:tcPr>
            <w:tcW w:w="992" w:type="dxa"/>
          </w:tcPr>
          <w:p w14:paraId="56F5D0E4" w14:textId="77777777" w:rsidR="001C0F56" w:rsidRPr="001C0F56" w:rsidRDefault="001C0F56" w:rsidP="00FA7A35">
            <w:pPr>
              <w:jc w:val="center"/>
              <w:rPr>
                <w:rFonts w:cs="Times New Roman"/>
                <w:szCs w:val="21"/>
              </w:rPr>
            </w:pPr>
            <w:r w:rsidRPr="001C0F56">
              <w:rPr>
                <w:rFonts w:eastAsia="Calibri" w:cs="Times New Roman"/>
                <w:szCs w:val="21"/>
              </w:rPr>
              <w:t>56.6</w:t>
            </w:r>
          </w:p>
        </w:tc>
        <w:tc>
          <w:tcPr>
            <w:tcW w:w="992" w:type="dxa"/>
          </w:tcPr>
          <w:p w14:paraId="2F5B8C47" w14:textId="77777777" w:rsidR="001C0F56" w:rsidRPr="001C0F56" w:rsidRDefault="001C0F56" w:rsidP="00FA7A35">
            <w:pPr>
              <w:jc w:val="center"/>
              <w:rPr>
                <w:rFonts w:cs="Times New Roman"/>
                <w:szCs w:val="21"/>
              </w:rPr>
            </w:pPr>
            <w:r w:rsidRPr="001C0F56">
              <w:rPr>
                <w:rFonts w:eastAsia="Calibri" w:cs="Times New Roman"/>
                <w:szCs w:val="21"/>
              </w:rPr>
              <w:t>56.8</w:t>
            </w:r>
          </w:p>
        </w:tc>
        <w:tc>
          <w:tcPr>
            <w:tcW w:w="1134" w:type="dxa"/>
          </w:tcPr>
          <w:p w14:paraId="66214447" w14:textId="77777777" w:rsidR="001C0F56" w:rsidRPr="001C0F56" w:rsidRDefault="001C0F56" w:rsidP="00FA7A35">
            <w:pPr>
              <w:jc w:val="center"/>
              <w:rPr>
                <w:rFonts w:cs="Times New Roman"/>
                <w:szCs w:val="21"/>
              </w:rPr>
            </w:pPr>
            <w:r w:rsidRPr="001C0F56">
              <w:rPr>
                <w:rFonts w:eastAsia="Calibri" w:cs="Times New Roman"/>
                <w:szCs w:val="21"/>
              </w:rPr>
              <w:t>11615.0</w:t>
            </w:r>
          </w:p>
        </w:tc>
        <w:tc>
          <w:tcPr>
            <w:tcW w:w="992" w:type="dxa"/>
          </w:tcPr>
          <w:p w14:paraId="25453262" w14:textId="77777777" w:rsidR="001C0F56" w:rsidRPr="001C0F56" w:rsidRDefault="001C0F56" w:rsidP="00FA7A35">
            <w:pPr>
              <w:jc w:val="center"/>
              <w:rPr>
                <w:rFonts w:cs="Times New Roman"/>
                <w:szCs w:val="21"/>
              </w:rPr>
            </w:pPr>
            <w:r w:rsidRPr="001C0F56">
              <w:rPr>
                <w:rFonts w:eastAsia="Calibri" w:cs="Times New Roman"/>
                <w:szCs w:val="21"/>
              </w:rPr>
              <w:t>0.510</w:t>
            </w:r>
          </w:p>
        </w:tc>
        <w:tc>
          <w:tcPr>
            <w:tcW w:w="709" w:type="dxa"/>
          </w:tcPr>
          <w:p w14:paraId="6AAAA43A" w14:textId="77777777" w:rsidR="001C0F56" w:rsidRPr="001C0F56" w:rsidRDefault="001C0F56" w:rsidP="00FA7A35">
            <w:pPr>
              <w:jc w:val="center"/>
              <w:rPr>
                <w:rFonts w:cs="Times New Roman"/>
                <w:szCs w:val="21"/>
              </w:rPr>
            </w:pPr>
            <w:r w:rsidRPr="001C0F56">
              <w:rPr>
                <w:rFonts w:eastAsia="Calibri" w:cs="Times New Roman"/>
                <w:szCs w:val="21"/>
              </w:rPr>
              <w:t>0.663</w:t>
            </w:r>
          </w:p>
        </w:tc>
        <w:tc>
          <w:tcPr>
            <w:tcW w:w="992" w:type="dxa"/>
          </w:tcPr>
          <w:p w14:paraId="2F6B41FA" w14:textId="77777777" w:rsidR="001C0F56" w:rsidRPr="001C0F56" w:rsidRDefault="001C0F56" w:rsidP="00FA7A35">
            <w:pPr>
              <w:jc w:val="center"/>
              <w:rPr>
                <w:rFonts w:cs="Times New Roman"/>
                <w:szCs w:val="21"/>
              </w:rPr>
            </w:pPr>
            <w:r w:rsidRPr="001C0F56">
              <w:rPr>
                <w:rFonts w:eastAsia="Calibri" w:cs="Times New Roman"/>
                <w:szCs w:val="21"/>
              </w:rPr>
              <w:t>2.3</w:t>
            </w:r>
          </w:p>
        </w:tc>
        <w:tc>
          <w:tcPr>
            <w:tcW w:w="1418" w:type="dxa"/>
          </w:tcPr>
          <w:p w14:paraId="40CEE5CB" w14:textId="77777777" w:rsidR="001C0F56" w:rsidRPr="001C0F56" w:rsidRDefault="001C0F56" w:rsidP="00FA7A35">
            <w:pPr>
              <w:jc w:val="center"/>
              <w:rPr>
                <w:rFonts w:cs="Times New Roman"/>
                <w:szCs w:val="21"/>
              </w:rPr>
            </w:pPr>
            <w:r w:rsidRPr="001C0F56">
              <w:rPr>
                <w:rFonts w:eastAsia="Calibri" w:cs="Times New Roman"/>
                <w:szCs w:val="21"/>
              </w:rPr>
              <w:t>-4.9 to 11.9</w:t>
            </w:r>
          </w:p>
        </w:tc>
        <w:tc>
          <w:tcPr>
            <w:tcW w:w="850" w:type="dxa"/>
          </w:tcPr>
          <w:p w14:paraId="5C526BA5" w14:textId="77777777" w:rsidR="001C0F56" w:rsidRPr="001C0F56" w:rsidRDefault="001C0F56" w:rsidP="00FA7A35">
            <w:pPr>
              <w:jc w:val="center"/>
              <w:rPr>
                <w:rFonts w:cs="Times New Roman"/>
                <w:szCs w:val="21"/>
              </w:rPr>
            </w:pPr>
            <w:r w:rsidRPr="001C0F56">
              <w:rPr>
                <w:rFonts w:eastAsia="Calibri" w:cs="Times New Roman"/>
                <w:szCs w:val="21"/>
              </w:rPr>
              <w:t>0.058</w:t>
            </w:r>
          </w:p>
        </w:tc>
        <w:tc>
          <w:tcPr>
            <w:tcW w:w="851" w:type="dxa"/>
          </w:tcPr>
          <w:p w14:paraId="60F87D0B" w14:textId="77777777" w:rsidR="001C0F56" w:rsidRPr="001C0F56" w:rsidRDefault="001C0F56" w:rsidP="00FA7A35">
            <w:pPr>
              <w:jc w:val="center"/>
              <w:rPr>
                <w:rFonts w:cs="Times New Roman"/>
                <w:szCs w:val="21"/>
              </w:rPr>
            </w:pPr>
            <w:r w:rsidRPr="001C0F56">
              <w:rPr>
                <w:rFonts w:eastAsia="Calibri" w:cs="Times New Roman"/>
                <w:szCs w:val="21"/>
              </w:rPr>
              <w:t>no</w:t>
            </w:r>
          </w:p>
        </w:tc>
      </w:tr>
      <w:tr w:rsidR="001C0F56" w:rsidRPr="001C0F56" w14:paraId="542E032A" w14:textId="77777777" w:rsidTr="001C0F56">
        <w:tc>
          <w:tcPr>
            <w:tcW w:w="2664" w:type="dxa"/>
          </w:tcPr>
          <w:p w14:paraId="748AFEEC" w14:textId="77777777" w:rsidR="001C0F56" w:rsidRPr="001C0F56" w:rsidRDefault="001C0F56" w:rsidP="00FA7A35">
            <w:pPr>
              <w:rPr>
                <w:rFonts w:cs="Times New Roman"/>
                <w:szCs w:val="21"/>
              </w:rPr>
            </w:pPr>
            <w:r w:rsidRPr="001C0F56">
              <w:rPr>
                <w:rFonts w:eastAsia="Calibri" w:cs="Times New Roman"/>
                <w:szCs w:val="21"/>
              </w:rPr>
              <w:t>Nervous System</w:t>
            </w:r>
          </w:p>
        </w:tc>
        <w:tc>
          <w:tcPr>
            <w:tcW w:w="504" w:type="dxa"/>
          </w:tcPr>
          <w:p w14:paraId="1362A54A" w14:textId="77777777" w:rsidR="001C0F56" w:rsidRPr="001C0F56" w:rsidRDefault="001C0F56" w:rsidP="00FA7A35">
            <w:pPr>
              <w:jc w:val="center"/>
              <w:rPr>
                <w:rFonts w:cs="Times New Roman"/>
                <w:szCs w:val="21"/>
              </w:rPr>
            </w:pPr>
            <w:r w:rsidRPr="001C0F56">
              <w:rPr>
                <w:rFonts w:eastAsia="Calibri" w:cs="Times New Roman"/>
                <w:szCs w:val="21"/>
              </w:rPr>
              <w:t>69</w:t>
            </w:r>
          </w:p>
        </w:tc>
        <w:tc>
          <w:tcPr>
            <w:tcW w:w="1652" w:type="dxa"/>
          </w:tcPr>
          <w:p w14:paraId="4A6BBD9B" w14:textId="77777777" w:rsidR="001C0F56" w:rsidRPr="001C0F56" w:rsidRDefault="001C0F56" w:rsidP="00FA7A35">
            <w:pPr>
              <w:jc w:val="center"/>
              <w:rPr>
                <w:rFonts w:cs="Times New Roman"/>
                <w:szCs w:val="21"/>
              </w:rPr>
            </w:pPr>
            <w:r w:rsidRPr="001C0F56">
              <w:rPr>
                <w:rFonts w:eastAsia="Calibri" w:cs="Times New Roman"/>
                <w:szCs w:val="21"/>
              </w:rPr>
              <w:t>65.2</w:t>
            </w:r>
          </w:p>
        </w:tc>
        <w:tc>
          <w:tcPr>
            <w:tcW w:w="709" w:type="dxa"/>
          </w:tcPr>
          <w:p w14:paraId="2255C637" w14:textId="77777777" w:rsidR="001C0F56" w:rsidRPr="001C0F56" w:rsidRDefault="001C0F56" w:rsidP="00FA7A35">
            <w:pPr>
              <w:jc w:val="center"/>
              <w:rPr>
                <w:rFonts w:cs="Times New Roman"/>
                <w:szCs w:val="21"/>
              </w:rPr>
            </w:pPr>
            <w:r w:rsidRPr="001C0F56">
              <w:rPr>
                <w:rFonts w:eastAsia="Calibri" w:cs="Times New Roman"/>
                <w:szCs w:val="21"/>
              </w:rPr>
              <w:t>24.1-85.9</w:t>
            </w:r>
          </w:p>
        </w:tc>
        <w:tc>
          <w:tcPr>
            <w:tcW w:w="992" w:type="dxa"/>
          </w:tcPr>
          <w:p w14:paraId="4FA1FCD4" w14:textId="77777777" w:rsidR="001C0F56" w:rsidRPr="001C0F56" w:rsidRDefault="001C0F56" w:rsidP="00FA7A35">
            <w:pPr>
              <w:jc w:val="center"/>
              <w:rPr>
                <w:rFonts w:cs="Times New Roman"/>
                <w:szCs w:val="21"/>
              </w:rPr>
            </w:pPr>
            <w:r w:rsidRPr="001C0F56">
              <w:rPr>
                <w:rFonts w:eastAsia="Calibri" w:cs="Times New Roman"/>
                <w:szCs w:val="21"/>
              </w:rPr>
              <w:t>54.3</w:t>
            </w:r>
          </w:p>
        </w:tc>
        <w:tc>
          <w:tcPr>
            <w:tcW w:w="992" w:type="dxa"/>
          </w:tcPr>
          <w:p w14:paraId="146D2A7C" w14:textId="77777777" w:rsidR="001C0F56" w:rsidRPr="001C0F56" w:rsidRDefault="001C0F56" w:rsidP="00FA7A35">
            <w:pPr>
              <w:jc w:val="center"/>
              <w:rPr>
                <w:rFonts w:cs="Times New Roman"/>
                <w:szCs w:val="21"/>
              </w:rPr>
            </w:pPr>
            <w:r w:rsidRPr="001C0F56">
              <w:rPr>
                <w:rFonts w:eastAsia="Calibri" w:cs="Times New Roman"/>
                <w:szCs w:val="21"/>
              </w:rPr>
              <w:t>57.0</w:t>
            </w:r>
          </w:p>
        </w:tc>
        <w:tc>
          <w:tcPr>
            <w:tcW w:w="1134" w:type="dxa"/>
          </w:tcPr>
          <w:p w14:paraId="3B0385E1" w14:textId="77777777" w:rsidR="001C0F56" w:rsidRPr="001C0F56" w:rsidRDefault="001C0F56" w:rsidP="00FA7A35">
            <w:pPr>
              <w:jc w:val="center"/>
              <w:rPr>
                <w:rFonts w:cs="Times New Roman"/>
                <w:szCs w:val="21"/>
              </w:rPr>
            </w:pPr>
            <w:r w:rsidRPr="001C0F56">
              <w:rPr>
                <w:rFonts w:eastAsia="Calibri" w:cs="Times New Roman"/>
                <w:szCs w:val="21"/>
              </w:rPr>
              <w:t>15772.0</w:t>
            </w:r>
          </w:p>
        </w:tc>
        <w:tc>
          <w:tcPr>
            <w:tcW w:w="992" w:type="dxa"/>
          </w:tcPr>
          <w:p w14:paraId="1133D05F" w14:textId="77777777" w:rsidR="001C0F56" w:rsidRPr="001C0F56" w:rsidRDefault="001C0F56" w:rsidP="00FA7A35">
            <w:pPr>
              <w:jc w:val="center"/>
              <w:rPr>
                <w:rFonts w:cs="Times New Roman"/>
                <w:szCs w:val="21"/>
              </w:rPr>
            </w:pPr>
            <w:r w:rsidRPr="001C0F56">
              <w:rPr>
                <w:rFonts w:eastAsia="Calibri" w:cs="Times New Roman"/>
                <w:szCs w:val="21"/>
              </w:rPr>
              <w:t>0.715</w:t>
            </w:r>
          </w:p>
        </w:tc>
        <w:tc>
          <w:tcPr>
            <w:tcW w:w="709" w:type="dxa"/>
          </w:tcPr>
          <w:p w14:paraId="0BCD98DE" w14:textId="77777777" w:rsidR="001C0F56" w:rsidRPr="001C0F56" w:rsidRDefault="001C0F56" w:rsidP="00FA7A35">
            <w:pPr>
              <w:jc w:val="center"/>
              <w:rPr>
                <w:rFonts w:cs="Times New Roman"/>
                <w:szCs w:val="21"/>
              </w:rPr>
            </w:pPr>
            <w:r w:rsidRPr="001C0F56">
              <w:rPr>
                <w:rFonts w:eastAsia="Calibri" w:cs="Times New Roman"/>
                <w:szCs w:val="21"/>
              </w:rPr>
              <w:t>0.715</w:t>
            </w:r>
          </w:p>
        </w:tc>
        <w:tc>
          <w:tcPr>
            <w:tcW w:w="992" w:type="dxa"/>
          </w:tcPr>
          <w:p w14:paraId="696E33A5" w14:textId="77777777" w:rsidR="001C0F56" w:rsidRPr="001C0F56" w:rsidRDefault="001C0F56" w:rsidP="00FA7A35">
            <w:pPr>
              <w:jc w:val="center"/>
              <w:rPr>
                <w:rFonts w:cs="Times New Roman"/>
                <w:szCs w:val="21"/>
              </w:rPr>
            </w:pPr>
            <w:r w:rsidRPr="001C0F56">
              <w:rPr>
                <w:rFonts w:eastAsia="Calibri" w:cs="Times New Roman"/>
                <w:szCs w:val="21"/>
              </w:rPr>
              <w:t>1.2</w:t>
            </w:r>
          </w:p>
        </w:tc>
        <w:tc>
          <w:tcPr>
            <w:tcW w:w="1418" w:type="dxa"/>
          </w:tcPr>
          <w:p w14:paraId="43C02738" w14:textId="77777777" w:rsidR="001C0F56" w:rsidRPr="001C0F56" w:rsidRDefault="001C0F56" w:rsidP="00FA7A35">
            <w:pPr>
              <w:jc w:val="center"/>
              <w:rPr>
                <w:rFonts w:cs="Times New Roman"/>
                <w:szCs w:val="21"/>
              </w:rPr>
            </w:pPr>
            <w:r w:rsidRPr="001C0F56">
              <w:rPr>
                <w:rFonts w:eastAsia="Calibri" w:cs="Times New Roman"/>
                <w:szCs w:val="21"/>
              </w:rPr>
              <w:t>-6.5 to 8.9</w:t>
            </w:r>
          </w:p>
        </w:tc>
        <w:tc>
          <w:tcPr>
            <w:tcW w:w="850" w:type="dxa"/>
          </w:tcPr>
          <w:p w14:paraId="3DAD66DC" w14:textId="77777777" w:rsidR="001C0F56" w:rsidRPr="001C0F56" w:rsidRDefault="001C0F56" w:rsidP="00FA7A35">
            <w:pPr>
              <w:jc w:val="center"/>
              <w:rPr>
                <w:rFonts w:cs="Times New Roman"/>
                <w:szCs w:val="21"/>
              </w:rPr>
            </w:pPr>
            <w:r w:rsidRPr="001C0F56">
              <w:rPr>
                <w:rFonts w:eastAsia="Calibri" w:cs="Times New Roman"/>
                <w:szCs w:val="21"/>
              </w:rPr>
              <w:t>0.027</w:t>
            </w:r>
          </w:p>
        </w:tc>
        <w:tc>
          <w:tcPr>
            <w:tcW w:w="851" w:type="dxa"/>
          </w:tcPr>
          <w:p w14:paraId="404FE5C1" w14:textId="77777777" w:rsidR="001C0F56" w:rsidRPr="001C0F56" w:rsidRDefault="001C0F56" w:rsidP="00FA7A35">
            <w:pPr>
              <w:jc w:val="center"/>
              <w:rPr>
                <w:rFonts w:cs="Times New Roman"/>
                <w:szCs w:val="21"/>
              </w:rPr>
            </w:pPr>
            <w:r w:rsidRPr="001C0F56">
              <w:rPr>
                <w:rFonts w:eastAsia="Calibri" w:cs="Times New Roman"/>
                <w:szCs w:val="21"/>
              </w:rPr>
              <w:t>no</w:t>
            </w:r>
          </w:p>
        </w:tc>
      </w:tr>
      <w:tr w:rsidR="001C0F56" w:rsidRPr="001C0F56" w14:paraId="780CD551" w14:textId="77777777" w:rsidTr="001C0F56">
        <w:tc>
          <w:tcPr>
            <w:tcW w:w="2664" w:type="dxa"/>
          </w:tcPr>
          <w:p w14:paraId="043C4B3C" w14:textId="77777777" w:rsidR="001C0F56" w:rsidRPr="001C0F56" w:rsidRDefault="001C0F56" w:rsidP="00FA7A35">
            <w:pPr>
              <w:rPr>
                <w:rFonts w:cs="Times New Roman"/>
                <w:szCs w:val="21"/>
              </w:rPr>
            </w:pPr>
            <w:r w:rsidRPr="001C0F56">
              <w:rPr>
                <w:rFonts w:eastAsia="Calibri" w:cs="Times New Roman"/>
                <w:szCs w:val="21"/>
              </w:rPr>
              <w:t>Genitourinary System and Sex Hormones</w:t>
            </w:r>
          </w:p>
        </w:tc>
        <w:tc>
          <w:tcPr>
            <w:tcW w:w="504" w:type="dxa"/>
          </w:tcPr>
          <w:p w14:paraId="181F02A2" w14:textId="77777777" w:rsidR="001C0F56" w:rsidRPr="001C0F56" w:rsidRDefault="001C0F56" w:rsidP="00FA7A35">
            <w:pPr>
              <w:jc w:val="center"/>
              <w:rPr>
                <w:rFonts w:cs="Times New Roman"/>
                <w:szCs w:val="21"/>
              </w:rPr>
            </w:pPr>
            <w:r w:rsidRPr="001C0F56">
              <w:rPr>
                <w:rFonts w:eastAsia="Calibri" w:cs="Times New Roman"/>
                <w:szCs w:val="21"/>
              </w:rPr>
              <w:t>27</w:t>
            </w:r>
          </w:p>
        </w:tc>
        <w:tc>
          <w:tcPr>
            <w:tcW w:w="1652" w:type="dxa"/>
          </w:tcPr>
          <w:p w14:paraId="78B4BF6A" w14:textId="77777777" w:rsidR="001C0F56" w:rsidRPr="001C0F56" w:rsidRDefault="001C0F56" w:rsidP="00FA7A35">
            <w:pPr>
              <w:jc w:val="center"/>
              <w:rPr>
                <w:rFonts w:cs="Times New Roman"/>
                <w:szCs w:val="21"/>
              </w:rPr>
            </w:pPr>
            <w:r w:rsidRPr="001C0F56">
              <w:rPr>
                <w:rFonts w:eastAsia="Calibri" w:cs="Times New Roman"/>
                <w:szCs w:val="21"/>
              </w:rPr>
              <w:t>70.6</w:t>
            </w:r>
          </w:p>
        </w:tc>
        <w:tc>
          <w:tcPr>
            <w:tcW w:w="709" w:type="dxa"/>
          </w:tcPr>
          <w:p w14:paraId="4920390C" w14:textId="77777777" w:rsidR="001C0F56" w:rsidRPr="001C0F56" w:rsidRDefault="001C0F56" w:rsidP="00FA7A35">
            <w:pPr>
              <w:jc w:val="center"/>
              <w:rPr>
                <w:rFonts w:cs="Times New Roman"/>
                <w:szCs w:val="21"/>
              </w:rPr>
            </w:pPr>
            <w:r w:rsidRPr="001C0F56">
              <w:rPr>
                <w:rFonts w:eastAsia="Calibri" w:cs="Times New Roman"/>
                <w:szCs w:val="21"/>
              </w:rPr>
              <w:t>25.7-96.1</w:t>
            </w:r>
          </w:p>
        </w:tc>
        <w:tc>
          <w:tcPr>
            <w:tcW w:w="992" w:type="dxa"/>
          </w:tcPr>
          <w:p w14:paraId="74395ECB" w14:textId="77777777" w:rsidR="001C0F56" w:rsidRPr="001C0F56" w:rsidRDefault="001C0F56" w:rsidP="00FA7A35">
            <w:pPr>
              <w:jc w:val="center"/>
              <w:rPr>
                <w:rFonts w:cs="Times New Roman"/>
                <w:szCs w:val="21"/>
              </w:rPr>
            </w:pPr>
            <w:r w:rsidRPr="001C0F56">
              <w:rPr>
                <w:rFonts w:eastAsia="Calibri" w:cs="Times New Roman"/>
                <w:szCs w:val="21"/>
              </w:rPr>
              <w:t>58.1</w:t>
            </w:r>
          </w:p>
        </w:tc>
        <w:tc>
          <w:tcPr>
            <w:tcW w:w="992" w:type="dxa"/>
          </w:tcPr>
          <w:p w14:paraId="57F67EFE" w14:textId="77777777" w:rsidR="001C0F56" w:rsidRPr="001C0F56" w:rsidRDefault="001C0F56" w:rsidP="00FA7A35">
            <w:pPr>
              <w:jc w:val="center"/>
              <w:rPr>
                <w:rFonts w:cs="Times New Roman"/>
                <w:szCs w:val="21"/>
              </w:rPr>
            </w:pPr>
            <w:r w:rsidRPr="001C0F56">
              <w:rPr>
                <w:rFonts w:eastAsia="Calibri" w:cs="Times New Roman"/>
                <w:szCs w:val="21"/>
              </w:rPr>
              <w:t>57.1</w:t>
            </w:r>
          </w:p>
        </w:tc>
        <w:tc>
          <w:tcPr>
            <w:tcW w:w="1134" w:type="dxa"/>
          </w:tcPr>
          <w:p w14:paraId="2672A9D2" w14:textId="77777777" w:rsidR="001C0F56" w:rsidRPr="001C0F56" w:rsidRDefault="001C0F56" w:rsidP="00FA7A35">
            <w:pPr>
              <w:jc w:val="center"/>
              <w:rPr>
                <w:rFonts w:cs="Times New Roman"/>
                <w:szCs w:val="21"/>
              </w:rPr>
            </w:pPr>
            <w:r w:rsidRPr="001C0F56">
              <w:rPr>
                <w:rFonts w:eastAsia="Calibri" w:cs="Times New Roman"/>
                <w:szCs w:val="21"/>
              </w:rPr>
              <w:t>7379.0</w:t>
            </w:r>
          </w:p>
        </w:tc>
        <w:tc>
          <w:tcPr>
            <w:tcW w:w="992" w:type="dxa"/>
          </w:tcPr>
          <w:p w14:paraId="17E9A513" w14:textId="77777777" w:rsidR="001C0F56" w:rsidRPr="001C0F56" w:rsidRDefault="001C0F56" w:rsidP="00FA7A35">
            <w:pPr>
              <w:jc w:val="center"/>
              <w:rPr>
                <w:rFonts w:cs="Times New Roman"/>
                <w:szCs w:val="21"/>
              </w:rPr>
            </w:pPr>
            <w:r w:rsidRPr="001C0F56">
              <w:rPr>
                <w:rFonts w:eastAsia="Calibri" w:cs="Times New Roman"/>
                <w:szCs w:val="21"/>
              </w:rPr>
              <w:t>0.284</w:t>
            </w:r>
          </w:p>
        </w:tc>
        <w:tc>
          <w:tcPr>
            <w:tcW w:w="709" w:type="dxa"/>
          </w:tcPr>
          <w:p w14:paraId="796E7DD3" w14:textId="77777777" w:rsidR="001C0F56" w:rsidRPr="001C0F56" w:rsidRDefault="001C0F56" w:rsidP="00FA7A35">
            <w:pPr>
              <w:jc w:val="center"/>
              <w:rPr>
                <w:rFonts w:cs="Times New Roman"/>
                <w:szCs w:val="21"/>
              </w:rPr>
            </w:pPr>
            <w:r w:rsidRPr="001C0F56">
              <w:rPr>
                <w:rFonts w:eastAsia="Calibri" w:cs="Times New Roman"/>
                <w:szCs w:val="21"/>
              </w:rPr>
              <w:t>0.528</w:t>
            </w:r>
          </w:p>
        </w:tc>
        <w:tc>
          <w:tcPr>
            <w:tcW w:w="992" w:type="dxa"/>
          </w:tcPr>
          <w:p w14:paraId="1EDE0323" w14:textId="77777777" w:rsidR="001C0F56" w:rsidRPr="001C0F56" w:rsidRDefault="001C0F56" w:rsidP="00FA7A35">
            <w:pPr>
              <w:jc w:val="center"/>
              <w:rPr>
                <w:rFonts w:cs="Times New Roman"/>
                <w:szCs w:val="21"/>
              </w:rPr>
            </w:pPr>
            <w:r w:rsidRPr="001C0F56">
              <w:rPr>
                <w:rFonts w:eastAsia="Calibri" w:cs="Times New Roman"/>
                <w:szCs w:val="21"/>
              </w:rPr>
              <w:t>5.7</w:t>
            </w:r>
          </w:p>
        </w:tc>
        <w:tc>
          <w:tcPr>
            <w:tcW w:w="1418" w:type="dxa"/>
          </w:tcPr>
          <w:p w14:paraId="462B1661" w14:textId="77777777" w:rsidR="001C0F56" w:rsidRPr="001C0F56" w:rsidRDefault="001C0F56" w:rsidP="00FA7A35">
            <w:pPr>
              <w:jc w:val="center"/>
              <w:rPr>
                <w:rFonts w:cs="Times New Roman"/>
                <w:szCs w:val="21"/>
              </w:rPr>
            </w:pPr>
            <w:r w:rsidRPr="001C0F56">
              <w:rPr>
                <w:rFonts w:eastAsia="Calibri" w:cs="Times New Roman"/>
                <w:szCs w:val="21"/>
              </w:rPr>
              <w:t>-6.9 to 19.0</w:t>
            </w:r>
          </w:p>
        </w:tc>
        <w:tc>
          <w:tcPr>
            <w:tcW w:w="850" w:type="dxa"/>
          </w:tcPr>
          <w:p w14:paraId="7E0657B5" w14:textId="77777777" w:rsidR="001C0F56" w:rsidRPr="001C0F56" w:rsidRDefault="001C0F56" w:rsidP="00FA7A35">
            <w:pPr>
              <w:jc w:val="center"/>
              <w:rPr>
                <w:rFonts w:cs="Times New Roman"/>
                <w:szCs w:val="21"/>
              </w:rPr>
            </w:pPr>
            <w:r w:rsidRPr="001C0F56">
              <w:rPr>
                <w:rFonts w:eastAsia="Calibri" w:cs="Times New Roman"/>
                <w:szCs w:val="21"/>
              </w:rPr>
              <w:t>0.122</w:t>
            </w:r>
          </w:p>
        </w:tc>
        <w:tc>
          <w:tcPr>
            <w:tcW w:w="851" w:type="dxa"/>
          </w:tcPr>
          <w:p w14:paraId="545FBE1A" w14:textId="77777777" w:rsidR="001C0F56" w:rsidRPr="001C0F56" w:rsidRDefault="001C0F56" w:rsidP="00FA7A35">
            <w:pPr>
              <w:jc w:val="center"/>
              <w:rPr>
                <w:rFonts w:cs="Times New Roman"/>
                <w:szCs w:val="21"/>
              </w:rPr>
            </w:pPr>
            <w:r w:rsidRPr="001C0F56">
              <w:rPr>
                <w:rFonts w:eastAsia="Calibri" w:cs="Times New Roman"/>
                <w:szCs w:val="21"/>
              </w:rPr>
              <w:t>no</w:t>
            </w:r>
          </w:p>
        </w:tc>
      </w:tr>
      <w:tr w:rsidR="001C0F56" w:rsidRPr="001C0F56" w14:paraId="719A4175" w14:textId="77777777" w:rsidTr="001C0F56">
        <w:tc>
          <w:tcPr>
            <w:tcW w:w="2664" w:type="dxa"/>
          </w:tcPr>
          <w:p w14:paraId="1F607785" w14:textId="77777777" w:rsidR="001C0F56" w:rsidRPr="001C0F56" w:rsidRDefault="001C0F56" w:rsidP="00FA7A35">
            <w:pPr>
              <w:rPr>
                <w:rFonts w:cs="Times New Roman"/>
                <w:szCs w:val="21"/>
              </w:rPr>
            </w:pPr>
            <w:r w:rsidRPr="001C0F56">
              <w:rPr>
                <w:rFonts w:eastAsia="Calibri" w:cs="Times New Roman"/>
                <w:szCs w:val="21"/>
              </w:rPr>
              <w:t>Respiratory System</w:t>
            </w:r>
          </w:p>
        </w:tc>
        <w:tc>
          <w:tcPr>
            <w:tcW w:w="504" w:type="dxa"/>
          </w:tcPr>
          <w:p w14:paraId="52D5DCCB" w14:textId="77777777" w:rsidR="001C0F56" w:rsidRPr="001C0F56" w:rsidRDefault="001C0F56" w:rsidP="00FA7A35">
            <w:pPr>
              <w:jc w:val="center"/>
              <w:rPr>
                <w:rFonts w:cs="Times New Roman"/>
                <w:szCs w:val="21"/>
              </w:rPr>
            </w:pPr>
            <w:r w:rsidRPr="001C0F56">
              <w:rPr>
                <w:rFonts w:eastAsia="Calibri" w:cs="Times New Roman"/>
                <w:szCs w:val="21"/>
              </w:rPr>
              <w:t>26</w:t>
            </w:r>
          </w:p>
        </w:tc>
        <w:tc>
          <w:tcPr>
            <w:tcW w:w="1652" w:type="dxa"/>
          </w:tcPr>
          <w:p w14:paraId="7184296A" w14:textId="77777777" w:rsidR="001C0F56" w:rsidRPr="001C0F56" w:rsidRDefault="001C0F56" w:rsidP="00FA7A35">
            <w:pPr>
              <w:jc w:val="center"/>
              <w:rPr>
                <w:rFonts w:cs="Times New Roman"/>
                <w:szCs w:val="21"/>
              </w:rPr>
            </w:pPr>
            <w:r w:rsidRPr="001C0F56">
              <w:rPr>
                <w:rFonts w:eastAsia="Calibri" w:cs="Times New Roman"/>
                <w:szCs w:val="21"/>
              </w:rPr>
              <w:t>71.5</w:t>
            </w:r>
          </w:p>
        </w:tc>
        <w:tc>
          <w:tcPr>
            <w:tcW w:w="709" w:type="dxa"/>
          </w:tcPr>
          <w:p w14:paraId="7635C742" w14:textId="77777777" w:rsidR="001C0F56" w:rsidRPr="001C0F56" w:rsidRDefault="001C0F56" w:rsidP="00FA7A35">
            <w:pPr>
              <w:jc w:val="center"/>
              <w:rPr>
                <w:rFonts w:cs="Times New Roman"/>
                <w:szCs w:val="21"/>
              </w:rPr>
            </w:pPr>
            <w:r w:rsidRPr="001C0F56">
              <w:rPr>
                <w:rFonts w:eastAsia="Calibri" w:cs="Times New Roman"/>
                <w:szCs w:val="21"/>
              </w:rPr>
              <w:t>47.5-85.3</w:t>
            </w:r>
          </w:p>
        </w:tc>
        <w:tc>
          <w:tcPr>
            <w:tcW w:w="992" w:type="dxa"/>
          </w:tcPr>
          <w:p w14:paraId="082A23A5" w14:textId="77777777" w:rsidR="001C0F56" w:rsidRPr="001C0F56" w:rsidRDefault="001C0F56" w:rsidP="00FA7A35">
            <w:pPr>
              <w:jc w:val="center"/>
              <w:rPr>
                <w:rFonts w:cs="Times New Roman"/>
                <w:szCs w:val="21"/>
              </w:rPr>
            </w:pPr>
            <w:r w:rsidRPr="001C0F56">
              <w:rPr>
                <w:rFonts w:eastAsia="Calibri" w:cs="Times New Roman"/>
                <w:szCs w:val="21"/>
              </w:rPr>
              <w:t>64.6</w:t>
            </w:r>
          </w:p>
        </w:tc>
        <w:tc>
          <w:tcPr>
            <w:tcW w:w="992" w:type="dxa"/>
          </w:tcPr>
          <w:p w14:paraId="53A61D5F" w14:textId="77777777" w:rsidR="001C0F56" w:rsidRPr="001C0F56" w:rsidRDefault="001C0F56" w:rsidP="00FA7A35">
            <w:pPr>
              <w:jc w:val="center"/>
              <w:rPr>
                <w:rFonts w:cs="Times New Roman"/>
                <w:szCs w:val="21"/>
              </w:rPr>
            </w:pPr>
            <w:r w:rsidRPr="001C0F56">
              <w:rPr>
                <w:rFonts w:eastAsia="Calibri" w:cs="Times New Roman"/>
                <w:szCs w:val="21"/>
              </w:rPr>
              <w:t>56.1</w:t>
            </w:r>
          </w:p>
        </w:tc>
        <w:tc>
          <w:tcPr>
            <w:tcW w:w="1134" w:type="dxa"/>
          </w:tcPr>
          <w:p w14:paraId="26C1BAB4" w14:textId="77777777" w:rsidR="001C0F56" w:rsidRPr="001C0F56" w:rsidRDefault="001C0F56" w:rsidP="00FA7A35">
            <w:pPr>
              <w:jc w:val="center"/>
              <w:rPr>
                <w:rFonts w:cs="Times New Roman"/>
                <w:szCs w:val="21"/>
              </w:rPr>
            </w:pPr>
            <w:r w:rsidRPr="001C0F56">
              <w:rPr>
                <w:rFonts w:eastAsia="Calibri" w:cs="Times New Roman"/>
                <w:szCs w:val="21"/>
              </w:rPr>
              <w:t>7667.0</w:t>
            </w:r>
          </w:p>
        </w:tc>
        <w:tc>
          <w:tcPr>
            <w:tcW w:w="992" w:type="dxa"/>
          </w:tcPr>
          <w:p w14:paraId="71244229" w14:textId="77777777" w:rsidR="001C0F56" w:rsidRPr="001C0F56" w:rsidRDefault="001C0F56" w:rsidP="00FA7A35">
            <w:pPr>
              <w:jc w:val="center"/>
              <w:rPr>
                <w:rFonts w:cs="Times New Roman"/>
                <w:szCs w:val="21"/>
              </w:rPr>
            </w:pPr>
            <w:r w:rsidRPr="001C0F56">
              <w:rPr>
                <w:rFonts w:eastAsia="Calibri" w:cs="Times New Roman"/>
                <w:szCs w:val="21"/>
              </w:rPr>
              <w:t>0.073</w:t>
            </w:r>
          </w:p>
        </w:tc>
        <w:tc>
          <w:tcPr>
            <w:tcW w:w="709" w:type="dxa"/>
          </w:tcPr>
          <w:p w14:paraId="170B16A2" w14:textId="77777777" w:rsidR="001C0F56" w:rsidRPr="001C0F56" w:rsidRDefault="001C0F56" w:rsidP="00FA7A35">
            <w:pPr>
              <w:jc w:val="center"/>
              <w:rPr>
                <w:rFonts w:cs="Times New Roman"/>
                <w:szCs w:val="21"/>
              </w:rPr>
            </w:pPr>
            <w:r w:rsidRPr="001C0F56">
              <w:rPr>
                <w:rFonts w:eastAsia="Calibri" w:cs="Times New Roman"/>
                <w:szCs w:val="21"/>
              </w:rPr>
              <w:t>0.294</w:t>
            </w:r>
          </w:p>
        </w:tc>
        <w:tc>
          <w:tcPr>
            <w:tcW w:w="992" w:type="dxa"/>
          </w:tcPr>
          <w:p w14:paraId="1F700285" w14:textId="77777777" w:rsidR="001C0F56" w:rsidRPr="001C0F56" w:rsidRDefault="001C0F56" w:rsidP="00FA7A35">
            <w:pPr>
              <w:jc w:val="center"/>
              <w:rPr>
                <w:rFonts w:cs="Times New Roman"/>
                <w:szCs w:val="21"/>
              </w:rPr>
            </w:pPr>
            <w:r w:rsidRPr="001C0F56">
              <w:rPr>
                <w:rFonts w:eastAsia="Calibri" w:cs="Times New Roman"/>
                <w:szCs w:val="21"/>
              </w:rPr>
              <w:t>10.6</w:t>
            </w:r>
          </w:p>
        </w:tc>
        <w:tc>
          <w:tcPr>
            <w:tcW w:w="1418" w:type="dxa"/>
          </w:tcPr>
          <w:p w14:paraId="271D6E9A" w14:textId="77777777" w:rsidR="001C0F56" w:rsidRPr="001C0F56" w:rsidRDefault="001C0F56" w:rsidP="00FA7A35">
            <w:pPr>
              <w:jc w:val="center"/>
              <w:rPr>
                <w:rFonts w:cs="Times New Roman"/>
                <w:szCs w:val="21"/>
              </w:rPr>
            </w:pPr>
            <w:r w:rsidRPr="001C0F56">
              <w:rPr>
                <w:rFonts w:eastAsia="Calibri" w:cs="Times New Roman"/>
                <w:szCs w:val="21"/>
              </w:rPr>
              <w:t>-0.0 to 21.6</w:t>
            </w:r>
          </w:p>
        </w:tc>
        <w:tc>
          <w:tcPr>
            <w:tcW w:w="850" w:type="dxa"/>
          </w:tcPr>
          <w:p w14:paraId="2F28CBF5" w14:textId="77777777" w:rsidR="001C0F56" w:rsidRPr="001C0F56" w:rsidRDefault="001C0F56" w:rsidP="00FA7A35">
            <w:pPr>
              <w:jc w:val="center"/>
              <w:rPr>
                <w:rFonts w:cs="Times New Roman"/>
                <w:szCs w:val="21"/>
              </w:rPr>
            </w:pPr>
            <w:r w:rsidRPr="001C0F56">
              <w:rPr>
                <w:rFonts w:eastAsia="Calibri" w:cs="Times New Roman"/>
                <w:szCs w:val="21"/>
              </w:rPr>
              <w:t>0.208</w:t>
            </w:r>
          </w:p>
        </w:tc>
        <w:tc>
          <w:tcPr>
            <w:tcW w:w="851" w:type="dxa"/>
          </w:tcPr>
          <w:p w14:paraId="4B2550D1" w14:textId="77777777" w:rsidR="001C0F56" w:rsidRPr="001C0F56" w:rsidRDefault="001C0F56" w:rsidP="00FA7A35">
            <w:pPr>
              <w:jc w:val="center"/>
              <w:rPr>
                <w:rFonts w:cs="Times New Roman"/>
                <w:szCs w:val="21"/>
              </w:rPr>
            </w:pPr>
            <w:r w:rsidRPr="001C0F56">
              <w:rPr>
                <w:rFonts w:eastAsia="Calibri" w:cs="Times New Roman"/>
                <w:szCs w:val="21"/>
              </w:rPr>
              <w:t>no</w:t>
            </w:r>
          </w:p>
        </w:tc>
      </w:tr>
      <w:tr w:rsidR="001C0F56" w:rsidRPr="001C0F56" w14:paraId="77FAB8F1" w14:textId="77777777" w:rsidTr="001C0F56">
        <w:tc>
          <w:tcPr>
            <w:tcW w:w="2664" w:type="dxa"/>
          </w:tcPr>
          <w:p w14:paraId="45CE160C" w14:textId="77777777" w:rsidR="001C0F56" w:rsidRPr="001C0F56" w:rsidRDefault="001C0F56" w:rsidP="00FA7A35">
            <w:pPr>
              <w:rPr>
                <w:rFonts w:cs="Times New Roman"/>
                <w:szCs w:val="21"/>
              </w:rPr>
            </w:pPr>
            <w:r w:rsidRPr="001C0F56">
              <w:rPr>
                <w:rFonts w:eastAsia="Calibri" w:cs="Times New Roman"/>
                <w:szCs w:val="21"/>
              </w:rPr>
              <w:t xml:space="preserve">Systemic </w:t>
            </w:r>
            <w:proofErr w:type="spellStart"/>
            <w:r w:rsidRPr="001C0F56">
              <w:rPr>
                <w:rFonts w:eastAsia="Calibri" w:cs="Times New Roman"/>
                <w:szCs w:val="21"/>
              </w:rPr>
              <w:t>Antiinfectives</w:t>
            </w:r>
            <w:proofErr w:type="spellEnd"/>
          </w:p>
        </w:tc>
        <w:tc>
          <w:tcPr>
            <w:tcW w:w="504" w:type="dxa"/>
          </w:tcPr>
          <w:p w14:paraId="0E309D9C" w14:textId="77777777" w:rsidR="001C0F56" w:rsidRPr="001C0F56" w:rsidRDefault="001C0F56" w:rsidP="00FA7A35">
            <w:pPr>
              <w:jc w:val="center"/>
              <w:rPr>
                <w:rFonts w:cs="Times New Roman"/>
                <w:szCs w:val="21"/>
              </w:rPr>
            </w:pPr>
            <w:r w:rsidRPr="001C0F56">
              <w:rPr>
                <w:rFonts w:eastAsia="Calibri" w:cs="Times New Roman"/>
                <w:szCs w:val="21"/>
              </w:rPr>
              <w:t>21</w:t>
            </w:r>
          </w:p>
        </w:tc>
        <w:tc>
          <w:tcPr>
            <w:tcW w:w="1652" w:type="dxa"/>
          </w:tcPr>
          <w:p w14:paraId="7A1B1594" w14:textId="77777777" w:rsidR="001C0F56" w:rsidRPr="001C0F56" w:rsidRDefault="001C0F56" w:rsidP="00FA7A35">
            <w:pPr>
              <w:jc w:val="center"/>
              <w:rPr>
                <w:rFonts w:cs="Times New Roman"/>
                <w:szCs w:val="21"/>
              </w:rPr>
            </w:pPr>
            <w:r w:rsidRPr="001C0F56">
              <w:rPr>
                <w:rFonts w:eastAsia="Calibri" w:cs="Times New Roman"/>
                <w:szCs w:val="21"/>
              </w:rPr>
              <w:t>74.9</w:t>
            </w:r>
          </w:p>
        </w:tc>
        <w:tc>
          <w:tcPr>
            <w:tcW w:w="709" w:type="dxa"/>
          </w:tcPr>
          <w:p w14:paraId="7C17B989" w14:textId="77777777" w:rsidR="001C0F56" w:rsidRPr="001C0F56" w:rsidRDefault="001C0F56" w:rsidP="00FA7A35">
            <w:pPr>
              <w:jc w:val="center"/>
              <w:rPr>
                <w:rFonts w:cs="Times New Roman"/>
                <w:szCs w:val="21"/>
              </w:rPr>
            </w:pPr>
            <w:r w:rsidRPr="001C0F56">
              <w:rPr>
                <w:rFonts w:eastAsia="Calibri" w:cs="Times New Roman"/>
                <w:szCs w:val="21"/>
              </w:rPr>
              <w:t>41.1-88.9</w:t>
            </w:r>
          </w:p>
        </w:tc>
        <w:tc>
          <w:tcPr>
            <w:tcW w:w="992" w:type="dxa"/>
          </w:tcPr>
          <w:p w14:paraId="3535B6D4" w14:textId="77777777" w:rsidR="001C0F56" w:rsidRPr="001C0F56" w:rsidRDefault="001C0F56" w:rsidP="00FA7A35">
            <w:pPr>
              <w:jc w:val="center"/>
              <w:rPr>
                <w:rFonts w:cs="Times New Roman"/>
                <w:szCs w:val="21"/>
              </w:rPr>
            </w:pPr>
            <w:r w:rsidRPr="001C0F56">
              <w:rPr>
                <w:rFonts w:eastAsia="Calibri" w:cs="Times New Roman"/>
                <w:szCs w:val="21"/>
              </w:rPr>
              <w:t>64.1</w:t>
            </w:r>
          </w:p>
        </w:tc>
        <w:tc>
          <w:tcPr>
            <w:tcW w:w="992" w:type="dxa"/>
          </w:tcPr>
          <w:p w14:paraId="68B3B8CE" w14:textId="77777777" w:rsidR="001C0F56" w:rsidRPr="001C0F56" w:rsidRDefault="001C0F56" w:rsidP="00FA7A35">
            <w:pPr>
              <w:jc w:val="center"/>
              <w:rPr>
                <w:rFonts w:cs="Times New Roman"/>
                <w:szCs w:val="21"/>
              </w:rPr>
            </w:pPr>
            <w:r w:rsidRPr="001C0F56">
              <w:rPr>
                <w:rFonts w:eastAsia="Calibri" w:cs="Times New Roman"/>
                <w:szCs w:val="21"/>
              </w:rPr>
              <w:t>57.0</w:t>
            </w:r>
          </w:p>
        </w:tc>
        <w:tc>
          <w:tcPr>
            <w:tcW w:w="1134" w:type="dxa"/>
          </w:tcPr>
          <w:p w14:paraId="51C5B637" w14:textId="77777777" w:rsidR="001C0F56" w:rsidRPr="001C0F56" w:rsidRDefault="001C0F56" w:rsidP="00FA7A35">
            <w:pPr>
              <w:jc w:val="center"/>
              <w:rPr>
                <w:rFonts w:cs="Times New Roman"/>
                <w:szCs w:val="21"/>
              </w:rPr>
            </w:pPr>
            <w:r w:rsidRPr="001C0F56">
              <w:rPr>
                <w:rFonts w:eastAsia="Calibri" w:cs="Times New Roman"/>
                <w:szCs w:val="21"/>
              </w:rPr>
              <w:t>6231.0</w:t>
            </w:r>
          </w:p>
        </w:tc>
        <w:tc>
          <w:tcPr>
            <w:tcW w:w="992" w:type="dxa"/>
          </w:tcPr>
          <w:p w14:paraId="28EC2DBB" w14:textId="77777777" w:rsidR="001C0F56" w:rsidRPr="001C0F56" w:rsidRDefault="001C0F56" w:rsidP="00FA7A35">
            <w:pPr>
              <w:jc w:val="center"/>
              <w:rPr>
                <w:rFonts w:cs="Times New Roman"/>
                <w:szCs w:val="21"/>
              </w:rPr>
            </w:pPr>
            <w:r w:rsidRPr="001C0F56">
              <w:rPr>
                <w:rFonts w:eastAsia="Calibri" w:cs="Times New Roman"/>
                <w:szCs w:val="21"/>
              </w:rPr>
              <w:t>0.114</w:t>
            </w:r>
          </w:p>
        </w:tc>
        <w:tc>
          <w:tcPr>
            <w:tcW w:w="709" w:type="dxa"/>
          </w:tcPr>
          <w:p w14:paraId="07A318EF" w14:textId="77777777" w:rsidR="001C0F56" w:rsidRPr="001C0F56" w:rsidRDefault="001C0F56" w:rsidP="00FA7A35">
            <w:pPr>
              <w:jc w:val="center"/>
              <w:rPr>
                <w:rFonts w:cs="Times New Roman"/>
                <w:szCs w:val="21"/>
              </w:rPr>
            </w:pPr>
            <w:r w:rsidRPr="001C0F56">
              <w:rPr>
                <w:rFonts w:eastAsia="Calibri" w:cs="Times New Roman"/>
                <w:szCs w:val="21"/>
              </w:rPr>
              <w:t>0.296</w:t>
            </w:r>
          </w:p>
        </w:tc>
        <w:tc>
          <w:tcPr>
            <w:tcW w:w="992" w:type="dxa"/>
          </w:tcPr>
          <w:p w14:paraId="17002C91" w14:textId="77777777" w:rsidR="001C0F56" w:rsidRPr="001C0F56" w:rsidRDefault="001C0F56" w:rsidP="00FA7A35">
            <w:pPr>
              <w:jc w:val="center"/>
              <w:rPr>
                <w:rFonts w:cs="Times New Roman"/>
                <w:szCs w:val="21"/>
              </w:rPr>
            </w:pPr>
            <w:r w:rsidRPr="001C0F56">
              <w:rPr>
                <w:rFonts w:eastAsia="Calibri" w:cs="Times New Roman"/>
                <w:szCs w:val="21"/>
              </w:rPr>
              <w:t>9.9</w:t>
            </w:r>
          </w:p>
        </w:tc>
        <w:tc>
          <w:tcPr>
            <w:tcW w:w="1418" w:type="dxa"/>
          </w:tcPr>
          <w:p w14:paraId="7CBA82CD" w14:textId="77777777" w:rsidR="001C0F56" w:rsidRPr="001C0F56" w:rsidRDefault="001C0F56" w:rsidP="00FA7A35">
            <w:pPr>
              <w:jc w:val="center"/>
              <w:rPr>
                <w:rFonts w:cs="Times New Roman"/>
                <w:szCs w:val="21"/>
              </w:rPr>
            </w:pPr>
            <w:r w:rsidRPr="001C0F56">
              <w:rPr>
                <w:rFonts w:eastAsia="Calibri" w:cs="Times New Roman"/>
                <w:szCs w:val="21"/>
              </w:rPr>
              <w:t>-1.2 to 24.1</w:t>
            </w:r>
          </w:p>
        </w:tc>
        <w:tc>
          <w:tcPr>
            <w:tcW w:w="850" w:type="dxa"/>
          </w:tcPr>
          <w:p w14:paraId="1A38E14B" w14:textId="77777777" w:rsidR="001C0F56" w:rsidRPr="001C0F56" w:rsidRDefault="001C0F56" w:rsidP="00FA7A35">
            <w:pPr>
              <w:jc w:val="center"/>
              <w:rPr>
                <w:rFonts w:cs="Times New Roman"/>
                <w:szCs w:val="21"/>
              </w:rPr>
            </w:pPr>
            <w:r w:rsidRPr="001C0F56">
              <w:rPr>
                <w:rFonts w:eastAsia="Calibri" w:cs="Times New Roman"/>
                <w:szCs w:val="21"/>
              </w:rPr>
              <w:t>0.204</w:t>
            </w:r>
          </w:p>
        </w:tc>
        <w:tc>
          <w:tcPr>
            <w:tcW w:w="851" w:type="dxa"/>
          </w:tcPr>
          <w:p w14:paraId="1327C69A" w14:textId="77777777" w:rsidR="001C0F56" w:rsidRPr="001C0F56" w:rsidRDefault="001C0F56" w:rsidP="00FA7A35">
            <w:pPr>
              <w:jc w:val="center"/>
              <w:rPr>
                <w:rFonts w:cs="Times New Roman"/>
                <w:szCs w:val="21"/>
              </w:rPr>
            </w:pPr>
            <w:r w:rsidRPr="001C0F56">
              <w:rPr>
                <w:rFonts w:eastAsia="Calibri" w:cs="Times New Roman"/>
                <w:szCs w:val="21"/>
              </w:rPr>
              <w:t>no</w:t>
            </w:r>
          </w:p>
        </w:tc>
      </w:tr>
    </w:tbl>
    <w:p w14:paraId="4F97AB98" w14:textId="77777777" w:rsidR="001C0F56" w:rsidRDefault="001C0F56">
      <w:pPr>
        <w:widowControl/>
        <w:jc w:val="left"/>
        <w:rPr>
          <w:rFonts w:ascii="Times New Roman" w:hAnsi="Times New Roman" w:cs="Times New Roman"/>
        </w:rPr>
        <w:sectPr w:rsidR="001C0F56" w:rsidSect="001C0F56">
          <w:pgSz w:w="16838" w:h="11906" w:orient="landscape"/>
          <w:pgMar w:top="1800" w:right="1440" w:bottom="1800" w:left="1440" w:header="851" w:footer="992" w:gutter="0"/>
          <w:cols w:space="425"/>
          <w:docGrid w:type="lines" w:linePitch="312"/>
        </w:sectPr>
      </w:pPr>
    </w:p>
    <w:p w14:paraId="571A4113" w14:textId="2E6913FC" w:rsidR="003C2054" w:rsidRDefault="00B15D17">
      <w:pPr>
        <w:widowControl/>
        <w:jc w:val="left"/>
        <w:rPr>
          <w:rFonts w:ascii="Times New Roman" w:hAnsi="Times New Roman" w:cs="Times New Roman"/>
          <w:sz w:val="24"/>
          <w:szCs w:val="24"/>
        </w:rPr>
      </w:pPr>
      <w:r w:rsidRPr="00645D7B">
        <w:rPr>
          <w:rFonts w:ascii="Times New Roman" w:hAnsi="Times New Roman" w:cs="Times New Roman"/>
        </w:rPr>
        <w:lastRenderedPageBreak/>
        <w:t>Supplementary Table</w:t>
      </w:r>
      <w:r>
        <w:rPr>
          <w:rFonts w:ascii="Times New Roman" w:hAnsi="Times New Roman" w:cs="Times New Roman" w:hint="eastAsia"/>
        </w:rPr>
        <w:t xml:space="preserve"> S</w:t>
      </w:r>
      <w:r w:rsidR="001C0F56">
        <w:rPr>
          <w:rFonts w:ascii="Times New Roman" w:hAnsi="Times New Roman" w:cs="Times New Roman" w:hint="eastAsia"/>
        </w:rPr>
        <w:t>3</w:t>
      </w:r>
      <w:r w:rsidR="003C2054" w:rsidRPr="003C2054">
        <w:rPr>
          <w:rFonts w:ascii="Times New Roman" w:hAnsi="Times New Roman" w:cs="Times New Roman"/>
          <w:sz w:val="24"/>
          <w:szCs w:val="24"/>
        </w:rPr>
        <w:t>. Drug names represented by comparable drug forms with generic/biosimilar uptake below 50%, by therapeutic category, 2020–2024</w:t>
      </w:r>
    </w:p>
    <w:tbl>
      <w:tblPr>
        <w:tblStyle w:val="11"/>
        <w:tblW w:w="9830" w:type="dxa"/>
        <w:tblLook w:val="04A0" w:firstRow="1" w:lastRow="0" w:firstColumn="1" w:lastColumn="0" w:noHBand="0" w:noVBand="1"/>
      </w:tblPr>
      <w:tblGrid>
        <w:gridCol w:w="2169"/>
        <w:gridCol w:w="825"/>
        <w:gridCol w:w="6836"/>
      </w:tblGrid>
      <w:tr w:rsidR="0032667B" w:rsidRPr="0032667B" w14:paraId="3EB18666" w14:textId="77777777" w:rsidTr="0032667B">
        <w:trPr>
          <w:cnfStyle w:val="100000000000" w:firstRow="1" w:lastRow="0" w:firstColumn="0" w:lastColumn="0" w:oddVBand="0" w:evenVBand="0" w:oddHBand="0" w:evenHBand="0" w:firstRowFirstColumn="0" w:firstRowLastColumn="0" w:lastRowFirstColumn="0" w:lastRowLastColumn="0"/>
          <w:trHeight w:val="276"/>
        </w:trPr>
        <w:tc>
          <w:tcPr>
            <w:tcW w:w="2169" w:type="dxa"/>
            <w:noWrap/>
            <w:hideMark/>
          </w:tcPr>
          <w:p w14:paraId="132F6C5B" w14:textId="1C061CF4" w:rsidR="0032667B" w:rsidRPr="0032667B" w:rsidRDefault="0032667B" w:rsidP="0032667B">
            <w:pPr>
              <w:widowControl/>
              <w:snapToGrid w:val="0"/>
              <w:spacing w:line="360" w:lineRule="auto"/>
              <w:rPr>
                <w:rFonts w:eastAsia="等线" w:cs="Times New Roman"/>
                <w:b/>
                <w:bCs/>
                <w:color w:val="000000"/>
                <w:kern w:val="0"/>
                <w:szCs w:val="21"/>
              </w:rPr>
            </w:pPr>
            <w:r w:rsidRPr="0032667B">
              <w:rPr>
                <w:rFonts w:eastAsia="等线" w:cs="Times New Roman"/>
                <w:b/>
                <w:bCs/>
                <w:color w:val="000000"/>
                <w:kern w:val="0"/>
                <w:szCs w:val="21"/>
              </w:rPr>
              <w:t>Therapeutic</w:t>
            </w:r>
            <w:r w:rsidRPr="0032667B">
              <w:rPr>
                <w:rFonts w:eastAsia="等线" w:cs="Times New Roman" w:hint="eastAsia"/>
                <w:b/>
                <w:bCs/>
                <w:color w:val="000000"/>
                <w:kern w:val="0"/>
                <w:szCs w:val="21"/>
              </w:rPr>
              <w:t xml:space="preserve"> </w:t>
            </w:r>
            <w:r w:rsidRPr="0032667B">
              <w:rPr>
                <w:rFonts w:eastAsia="等线" w:cs="Times New Roman"/>
                <w:b/>
                <w:bCs/>
                <w:color w:val="000000"/>
                <w:kern w:val="0"/>
                <w:szCs w:val="21"/>
              </w:rPr>
              <w:t>category</w:t>
            </w:r>
          </w:p>
        </w:tc>
        <w:tc>
          <w:tcPr>
            <w:tcW w:w="825" w:type="dxa"/>
            <w:noWrap/>
            <w:hideMark/>
          </w:tcPr>
          <w:p w14:paraId="1D5C9A1B" w14:textId="0880C56E" w:rsidR="0032667B" w:rsidRPr="0032667B" w:rsidRDefault="0032667B" w:rsidP="0032667B">
            <w:pPr>
              <w:widowControl/>
              <w:snapToGrid w:val="0"/>
              <w:spacing w:line="360" w:lineRule="auto"/>
              <w:rPr>
                <w:rFonts w:eastAsia="等线" w:cs="Times New Roman"/>
                <w:b/>
                <w:bCs/>
                <w:color w:val="000000"/>
                <w:kern w:val="0"/>
                <w:szCs w:val="21"/>
              </w:rPr>
            </w:pPr>
            <w:r w:rsidRPr="0032667B">
              <w:rPr>
                <w:rFonts w:eastAsia="等线" w:cs="Times New Roman"/>
                <w:b/>
                <w:bCs/>
                <w:color w:val="000000"/>
                <w:kern w:val="0"/>
                <w:szCs w:val="21"/>
              </w:rPr>
              <w:t>n</w:t>
            </w:r>
          </w:p>
        </w:tc>
        <w:tc>
          <w:tcPr>
            <w:tcW w:w="6836" w:type="dxa"/>
            <w:noWrap/>
            <w:hideMark/>
          </w:tcPr>
          <w:p w14:paraId="0490B662" w14:textId="092C6EF5" w:rsidR="0032667B" w:rsidRPr="0032667B" w:rsidRDefault="0032667B" w:rsidP="0032667B">
            <w:pPr>
              <w:widowControl/>
              <w:snapToGrid w:val="0"/>
              <w:spacing w:line="360" w:lineRule="auto"/>
              <w:rPr>
                <w:rFonts w:eastAsia="等线" w:cs="Times New Roman"/>
                <w:b/>
                <w:bCs/>
                <w:color w:val="000000"/>
                <w:kern w:val="0"/>
                <w:szCs w:val="21"/>
              </w:rPr>
            </w:pPr>
            <w:r w:rsidRPr="0032667B">
              <w:rPr>
                <w:rFonts w:eastAsia="等线" w:cs="Times New Roman"/>
                <w:b/>
                <w:bCs/>
                <w:color w:val="000000"/>
                <w:kern w:val="0"/>
                <w:szCs w:val="21"/>
              </w:rPr>
              <w:t>Drugs</w:t>
            </w:r>
            <w:r w:rsidRPr="0032667B">
              <w:rPr>
                <w:rFonts w:eastAsia="等线" w:cs="Times New Roman" w:hint="eastAsia"/>
                <w:b/>
                <w:bCs/>
                <w:color w:val="000000"/>
                <w:kern w:val="0"/>
                <w:szCs w:val="21"/>
              </w:rPr>
              <w:t xml:space="preserve"> </w:t>
            </w:r>
            <w:r w:rsidRPr="0032667B">
              <w:rPr>
                <w:rFonts w:eastAsia="等线" w:cs="Times New Roman"/>
                <w:b/>
                <w:bCs/>
                <w:color w:val="000000"/>
                <w:kern w:val="0"/>
                <w:szCs w:val="21"/>
              </w:rPr>
              <w:t>with</w:t>
            </w:r>
            <w:r w:rsidRPr="0032667B">
              <w:rPr>
                <w:rFonts w:eastAsia="等线" w:cs="Times New Roman" w:hint="eastAsia"/>
                <w:b/>
                <w:bCs/>
                <w:color w:val="000000"/>
                <w:kern w:val="0"/>
                <w:szCs w:val="21"/>
              </w:rPr>
              <w:t xml:space="preserve"> </w:t>
            </w:r>
            <w:r w:rsidRPr="0032667B">
              <w:rPr>
                <w:rFonts w:eastAsia="等线" w:cs="Times New Roman"/>
                <w:b/>
                <w:bCs/>
                <w:color w:val="000000"/>
                <w:kern w:val="0"/>
                <w:szCs w:val="21"/>
              </w:rPr>
              <w:t>uptake</w:t>
            </w:r>
            <w:r w:rsidRPr="0032667B">
              <w:rPr>
                <w:rFonts w:eastAsia="等线" w:cs="Times New Roman" w:hint="eastAsia"/>
                <w:b/>
                <w:bCs/>
                <w:color w:val="000000"/>
                <w:kern w:val="0"/>
                <w:szCs w:val="21"/>
              </w:rPr>
              <w:t xml:space="preserve"> </w:t>
            </w:r>
            <w:r w:rsidRPr="0032667B">
              <w:rPr>
                <w:rFonts w:eastAsia="等线" w:cs="Times New Roman"/>
                <w:b/>
                <w:bCs/>
                <w:color w:val="000000"/>
                <w:kern w:val="0"/>
                <w:szCs w:val="21"/>
              </w:rPr>
              <w:t>below</w:t>
            </w:r>
            <w:r w:rsidRPr="0032667B">
              <w:rPr>
                <w:rFonts w:eastAsia="等线" w:cs="Times New Roman" w:hint="eastAsia"/>
                <w:b/>
                <w:bCs/>
                <w:color w:val="000000"/>
                <w:kern w:val="0"/>
                <w:szCs w:val="21"/>
              </w:rPr>
              <w:t xml:space="preserve"> </w:t>
            </w:r>
            <w:r w:rsidRPr="0032667B">
              <w:rPr>
                <w:rFonts w:eastAsia="等线" w:cs="Times New Roman"/>
                <w:b/>
                <w:bCs/>
                <w:color w:val="000000"/>
                <w:kern w:val="0"/>
                <w:szCs w:val="21"/>
              </w:rPr>
              <w:t>50</w:t>
            </w:r>
            <w:r w:rsidRPr="0032667B">
              <w:rPr>
                <w:rFonts w:eastAsia="等线" w:cs="Times New Roman" w:hint="eastAsia"/>
                <w:b/>
                <w:bCs/>
                <w:color w:val="000000"/>
                <w:kern w:val="0"/>
                <w:szCs w:val="21"/>
              </w:rPr>
              <w:t>%</w:t>
            </w:r>
          </w:p>
        </w:tc>
      </w:tr>
      <w:tr w:rsidR="0032667B" w:rsidRPr="0032667B" w14:paraId="1D49773A" w14:textId="77777777" w:rsidTr="0032667B">
        <w:trPr>
          <w:trHeight w:val="276"/>
        </w:trPr>
        <w:tc>
          <w:tcPr>
            <w:tcW w:w="2169" w:type="dxa"/>
            <w:noWrap/>
            <w:hideMark/>
          </w:tcPr>
          <w:p w14:paraId="3B7DC4C2"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Alimentary Tract and Metabolism</w:t>
            </w:r>
          </w:p>
        </w:tc>
        <w:tc>
          <w:tcPr>
            <w:tcW w:w="825" w:type="dxa"/>
            <w:noWrap/>
            <w:hideMark/>
          </w:tcPr>
          <w:p w14:paraId="62F207D0"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26</w:t>
            </w:r>
          </w:p>
        </w:tc>
        <w:tc>
          <w:tcPr>
            <w:tcW w:w="6836" w:type="dxa"/>
            <w:noWrap/>
            <w:hideMark/>
          </w:tcPr>
          <w:p w14:paraId="7A229F62"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 xml:space="preserve">Ademetionine; Alogliptin; Dapagliflozin; </w:t>
            </w:r>
            <w:proofErr w:type="spellStart"/>
            <w:r w:rsidRPr="0032667B">
              <w:rPr>
                <w:rFonts w:eastAsia="等线" w:cs="Times New Roman"/>
                <w:color w:val="000000"/>
                <w:kern w:val="0"/>
                <w:szCs w:val="21"/>
              </w:rPr>
              <w:t>Diosmectite</w:t>
            </w:r>
            <w:proofErr w:type="spellEnd"/>
            <w:r w:rsidRPr="0032667B">
              <w:rPr>
                <w:rFonts w:eastAsia="等线" w:cs="Times New Roman"/>
                <w:color w:val="000000"/>
                <w:kern w:val="0"/>
                <w:szCs w:val="21"/>
              </w:rPr>
              <w:t xml:space="preserve">; Domperidone; Esomeprazole; Exenatide; Hydrotalcite; Insulin aspart; Insulin aspart 30; Insulin aspart 50; Insulin degludec; Lactulose; Linaclotide; Linagliptin; Loperamide; </w:t>
            </w:r>
            <w:proofErr w:type="spellStart"/>
            <w:r w:rsidRPr="0032667B">
              <w:rPr>
                <w:rFonts w:eastAsia="等线" w:cs="Times New Roman"/>
                <w:color w:val="000000"/>
                <w:kern w:val="0"/>
                <w:szCs w:val="21"/>
              </w:rPr>
              <w:t>Mesalazine</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Oryz</w:t>
            </w:r>
            <w:proofErr w:type="spellEnd"/>
            <w:r w:rsidRPr="0032667B">
              <w:rPr>
                <w:rFonts w:eastAsia="等线" w:cs="Times New Roman"/>
                <w:color w:val="000000"/>
                <w:kern w:val="0"/>
                <w:szCs w:val="21"/>
              </w:rPr>
              <w:t xml:space="preserve">-Aspergillus enzyme and pancreatin; Pancreatin; Pinaverium bromide; Potassium magnesium aspartate; </w:t>
            </w:r>
            <w:proofErr w:type="spellStart"/>
            <w:r w:rsidRPr="0032667B">
              <w:rPr>
                <w:rFonts w:eastAsia="等线" w:cs="Times New Roman"/>
                <w:color w:val="000000"/>
                <w:kern w:val="0"/>
                <w:szCs w:val="21"/>
              </w:rPr>
              <w:t>Saxagliptin</w:t>
            </w:r>
            <w:proofErr w:type="spellEnd"/>
            <w:r w:rsidRPr="0032667B">
              <w:rPr>
                <w:rFonts w:eastAsia="等线" w:cs="Times New Roman"/>
                <w:color w:val="000000"/>
                <w:kern w:val="0"/>
                <w:szCs w:val="21"/>
              </w:rPr>
              <w:t xml:space="preserve">/metformin; Silymarin; Sitagliptin; </w:t>
            </w:r>
            <w:proofErr w:type="spellStart"/>
            <w:r w:rsidRPr="0032667B">
              <w:rPr>
                <w:rFonts w:eastAsia="等线" w:cs="Times New Roman"/>
                <w:color w:val="000000"/>
                <w:kern w:val="0"/>
                <w:szCs w:val="21"/>
              </w:rPr>
              <w:t>Terlipressin</w:t>
            </w:r>
            <w:proofErr w:type="spellEnd"/>
            <w:r w:rsidRPr="0032667B">
              <w:rPr>
                <w:rFonts w:eastAsia="等线" w:cs="Times New Roman"/>
                <w:color w:val="000000"/>
                <w:kern w:val="0"/>
                <w:szCs w:val="21"/>
              </w:rPr>
              <w:t>; Ursodeoxycholic acid</w:t>
            </w:r>
          </w:p>
        </w:tc>
      </w:tr>
      <w:tr w:rsidR="0032667B" w:rsidRPr="0032667B" w14:paraId="34E62E0E" w14:textId="77777777" w:rsidTr="0032667B">
        <w:trPr>
          <w:trHeight w:val="276"/>
        </w:trPr>
        <w:tc>
          <w:tcPr>
            <w:tcW w:w="2169" w:type="dxa"/>
            <w:noWrap/>
            <w:hideMark/>
          </w:tcPr>
          <w:p w14:paraId="266FB307"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Antineoplastic and Immunomodulating Agents</w:t>
            </w:r>
          </w:p>
        </w:tc>
        <w:tc>
          <w:tcPr>
            <w:tcW w:w="825" w:type="dxa"/>
            <w:noWrap/>
            <w:hideMark/>
          </w:tcPr>
          <w:p w14:paraId="2633EDE9"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37</w:t>
            </w:r>
          </w:p>
        </w:tc>
        <w:tc>
          <w:tcPr>
            <w:tcW w:w="6836" w:type="dxa"/>
            <w:noWrap/>
            <w:hideMark/>
          </w:tcPr>
          <w:p w14:paraId="313AB95F"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 xml:space="preserve">Afatinib; Apremilast; Baricitinib; Busulfan; Cyclosporine; Cytarabine; Dimethyl fumarate; </w:t>
            </w:r>
            <w:proofErr w:type="spellStart"/>
            <w:r w:rsidRPr="0032667B">
              <w:rPr>
                <w:rFonts w:eastAsia="等线" w:cs="Times New Roman"/>
                <w:color w:val="000000"/>
                <w:kern w:val="0"/>
                <w:szCs w:val="21"/>
              </w:rPr>
              <w:t>Elemene</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Eribulin</w:t>
            </w:r>
            <w:proofErr w:type="spellEnd"/>
            <w:r w:rsidRPr="0032667B">
              <w:rPr>
                <w:rFonts w:eastAsia="等线" w:cs="Times New Roman"/>
                <w:color w:val="000000"/>
                <w:kern w:val="0"/>
                <w:szCs w:val="21"/>
              </w:rPr>
              <w:t xml:space="preserve"> mesylate; Everolimus; Ibrutinib; Interferon alfa-2a; Interferon alfa-2b; Interleukin-2; Interleukin-2 (125Ala); Interleukin-2 (I); Mitoxantrone; </w:t>
            </w:r>
            <w:proofErr w:type="spellStart"/>
            <w:r w:rsidRPr="0032667B">
              <w:rPr>
                <w:rFonts w:eastAsia="等线" w:cs="Times New Roman"/>
                <w:color w:val="000000"/>
                <w:kern w:val="0"/>
                <w:szCs w:val="21"/>
              </w:rPr>
              <w:t>Mizoribine</w:t>
            </w:r>
            <w:proofErr w:type="spellEnd"/>
            <w:r w:rsidRPr="0032667B">
              <w:rPr>
                <w:rFonts w:eastAsia="等线" w:cs="Times New Roman"/>
                <w:color w:val="000000"/>
                <w:kern w:val="0"/>
                <w:szCs w:val="21"/>
              </w:rPr>
              <w:t>; Mycophenolate mofetil; Mycophenolate sodium; Neratinib maleate; Nilotinib; Olaparib; Palbociclib; Pazopanib; Pegylated recombinant human granulocyte colony-stimulating factor; Pirfenidone; Rabbit anti-human T-cell immunoglobulin; Recombinant human granulocyte colony-stimulating factor; Regorafenib; Sirolimus; Tacrolimus; Teriflunomide; Tocilizumab; Toremifene; Trastuzumab; Triptorelin</w:t>
            </w:r>
          </w:p>
        </w:tc>
      </w:tr>
      <w:tr w:rsidR="0032667B" w:rsidRPr="0032667B" w14:paraId="6145D7B6" w14:textId="77777777" w:rsidTr="0032667B">
        <w:trPr>
          <w:trHeight w:val="276"/>
        </w:trPr>
        <w:tc>
          <w:tcPr>
            <w:tcW w:w="2169" w:type="dxa"/>
            <w:noWrap/>
            <w:hideMark/>
          </w:tcPr>
          <w:p w14:paraId="7D819FEE"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Antiparasitic Products</w:t>
            </w:r>
          </w:p>
        </w:tc>
        <w:tc>
          <w:tcPr>
            <w:tcW w:w="825" w:type="dxa"/>
            <w:noWrap/>
            <w:hideMark/>
          </w:tcPr>
          <w:p w14:paraId="70E16D49"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2</w:t>
            </w:r>
          </w:p>
        </w:tc>
        <w:tc>
          <w:tcPr>
            <w:tcW w:w="6836" w:type="dxa"/>
            <w:noWrap/>
            <w:hideMark/>
          </w:tcPr>
          <w:p w14:paraId="132A853B"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Albendazole; Mebendazole</w:t>
            </w:r>
          </w:p>
        </w:tc>
      </w:tr>
      <w:tr w:rsidR="0032667B" w:rsidRPr="0032667B" w14:paraId="7C487A41" w14:textId="77777777" w:rsidTr="0032667B">
        <w:trPr>
          <w:trHeight w:val="276"/>
        </w:trPr>
        <w:tc>
          <w:tcPr>
            <w:tcW w:w="2169" w:type="dxa"/>
            <w:noWrap/>
            <w:hideMark/>
          </w:tcPr>
          <w:p w14:paraId="4F71528F"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Blood and Blood-Forming Organs</w:t>
            </w:r>
          </w:p>
        </w:tc>
        <w:tc>
          <w:tcPr>
            <w:tcW w:w="825" w:type="dxa"/>
            <w:noWrap/>
            <w:hideMark/>
          </w:tcPr>
          <w:p w14:paraId="497911F0"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18</w:t>
            </w:r>
          </w:p>
        </w:tc>
        <w:tc>
          <w:tcPr>
            <w:tcW w:w="6836" w:type="dxa"/>
            <w:noWrap/>
            <w:hideMark/>
          </w:tcPr>
          <w:p w14:paraId="44B203CC" w14:textId="77777777" w:rsidR="0032667B" w:rsidRPr="0032667B" w:rsidRDefault="0032667B" w:rsidP="0032667B">
            <w:pPr>
              <w:widowControl/>
              <w:snapToGrid w:val="0"/>
              <w:spacing w:line="360" w:lineRule="auto"/>
              <w:rPr>
                <w:rFonts w:eastAsia="等线" w:cs="Times New Roman"/>
                <w:color w:val="000000"/>
                <w:kern w:val="0"/>
                <w:szCs w:val="21"/>
              </w:rPr>
            </w:pPr>
            <w:proofErr w:type="spellStart"/>
            <w:r w:rsidRPr="0032667B">
              <w:rPr>
                <w:rFonts w:eastAsia="等线" w:cs="Times New Roman"/>
                <w:color w:val="000000"/>
                <w:kern w:val="0"/>
                <w:szCs w:val="21"/>
              </w:rPr>
              <w:t>Avatrombopag</w:t>
            </w:r>
            <w:proofErr w:type="spellEnd"/>
            <w:r w:rsidRPr="0032667B">
              <w:rPr>
                <w:rFonts w:eastAsia="等线" w:cs="Times New Roman"/>
                <w:color w:val="000000"/>
                <w:kern w:val="0"/>
                <w:szCs w:val="21"/>
              </w:rPr>
              <w:t xml:space="preserve"> maleate; Cilostazol; Clopidogrel/aspirin; Dabigatran </w:t>
            </w:r>
            <w:proofErr w:type="spellStart"/>
            <w:r w:rsidRPr="0032667B">
              <w:rPr>
                <w:rFonts w:eastAsia="等线" w:cs="Times New Roman"/>
                <w:color w:val="000000"/>
                <w:kern w:val="0"/>
                <w:szCs w:val="21"/>
              </w:rPr>
              <w:t>etexilate</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Edoxaban</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tosylate</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Eltrombopag</w:t>
            </w:r>
            <w:proofErr w:type="spellEnd"/>
            <w:r w:rsidRPr="0032667B">
              <w:rPr>
                <w:rFonts w:eastAsia="等线" w:cs="Times New Roman"/>
                <w:color w:val="000000"/>
                <w:kern w:val="0"/>
                <w:szCs w:val="21"/>
              </w:rPr>
              <w:t xml:space="preserve"> olamine; </w:t>
            </w:r>
            <w:proofErr w:type="spellStart"/>
            <w:r w:rsidRPr="0032667B">
              <w:rPr>
                <w:rFonts w:eastAsia="等线" w:cs="Times New Roman"/>
                <w:color w:val="000000"/>
                <w:kern w:val="0"/>
                <w:szCs w:val="21"/>
              </w:rPr>
              <w:t>Hemocoagulase</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atrox</w:t>
            </w:r>
            <w:proofErr w:type="spellEnd"/>
            <w:r w:rsidRPr="0032667B">
              <w:rPr>
                <w:rFonts w:eastAsia="等线" w:cs="Times New Roman"/>
                <w:color w:val="000000"/>
                <w:kern w:val="0"/>
                <w:szCs w:val="21"/>
              </w:rPr>
              <w:t xml:space="preserve">; Hydroxyethyl starch 130/0.4 and electrolytes; Iron dextran; </w:t>
            </w:r>
            <w:proofErr w:type="spellStart"/>
            <w:r w:rsidRPr="0032667B">
              <w:rPr>
                <w:rFonts w:eastAsia="等线" w:cs="Times New Roman"/>
                <w:color w:val="000000"/>
                <w:kern w:val="0"/>
                <w:szCs w:val="21"/>
              </w:rPr>
              <w:t>Lauromacrogol</w:t>
            </w:r>
            <w:proofErr w:type="spellEnd"/>
            <w:r w:rsidRPr="0032667B">
              <w:rPr>
                <w:rFonts w:eastAsia="等线" w:cs="Times New Roman"/>
                <w:color w:val="000000"/>
                <w:kern w:val="0"/>
                <w:szCs w:val="21"/>
              </w:rPr>
              <w:t xml:space="preserve"> (polidocanol); Mecobalamin; Omega-3 fish oil lipid emulsion; Peritoneal dialysis solution; Recombinant human coagulation factor VIII; Rivaroxaban; Roxadustat; Ticagrelor; Tranexamic acid</w:t>
            </w:r>
          </w:p>
        </w:tc>
      </w:tr>
      <w:tr w:rsidR="0032667B" w:rsidRPr="0032667B" w14:paraId="3FC23936" w14:textId="77777777" w:rsidTr="0032667B">
        <w:trPr>
          <w:trHeight w:val="276"/>
        </w:trPr>
        <w:tc>
          <w:tcPr>
            <w:tcW w:w="2169" w:type="dxa"/>
            <w:noWrap/>
            <w:hideMark/>
          </w:tcPr>
          <w:p w14:paraId="038704F4"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Cardiovascular System</w:t>
            </w:r>
          </w:p>
        </w:tc>
        <w:tc>
          <w:tcPr>
            <w:tcW w:w="825" w:type="dxa"/>
            <w:noWrap/>
            <w:hideMark/>
          </w:tcPr>
          <w:p w14:paraId="6DD5C97F"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32</w:t>
            </w:r>
          </w:p>
        </w:tc>
        <w:tc>
          <w:tcPr>
            <w:tcW w:w="6836" w:type="dxa"/>
            <w:noWrap/>
            <w:hideMark/>
          </w:tcPr>
          <w:p w14:paraId="3DA00A91"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 xml:space="preserve">Amiodarone; </w:t>
            </w:r>
            <w:proofErr w:type="spellStart"/>
            <w:r w:rsidRPr="0032667B">
              <w:rPr>
                <w:rFonts w:eastAsia="等线" w:cs="Times New Roman"/>
                <w:color w:val="000000"/>
                <w:kern w:val="0"/>
                <w:szCs w:val="21"/>
              </w:rPr>
              <w:t>Arotinolol</w:t>
            </w:r>
            <w:proofErr w:type="spellEnd"/>
            <w:r w:rsidRPr="0032667B">
              <w:rPr>
                <w:rFonts w:eastAsia="等线" w:cs="Times New Roman"/>
                <w:color w:val="000000"/>
                <w:kern w:val="0"/>
                <w:szCs w:val="21"/>
              </w:rPr>
              <w:t xml:space="preserve">; Benazepril; </w:t>
            </w:r>
            <w:proofErr w:type="spellStart"/>
            <w:r w:rsidRPr="0032667B">
              <w:rPr>
                <w:rFonts w:eastAsia="等线" w:cs="Times New Roman"/>
                <w:color w:val="000000"/>
                <w:kern w:val="0"/>
                <w:szCs w:val="21"/>
              </w:rPr>
              <w:t>Benidipine</w:t>
            </w:r>
            <w:proofErr w:type="spellEnd"/>
            <w:r w:rsidRPr="0032667B">
              <w:rPr>
                <w:rFonts w:eastAsia="等线" w:cs="Times New Roman"/>
                <w:color w:val="000000"/>
                <w:kern w:val="0"/>
                <w:szCs w:val="21"/>
              </w:rPr>
              <w:t xml:space="preserve">; Bisoprolol; Compound reserpine and triamterene; Diltiazem; Doxazosin; Esmolol; Ezetimibe; Felodipine; Fenofibrate; Fluvastatin; Irbesartan; Ivabradine; </w:t>
            </w:r>
            <w:proofErr w:type="spellStart"/>
            <w:r w:rsidRPr="0032667B">
              <w:rPr>
                <w:rFonts w:eastAsia="等线" w:cs="Times New Roman"/>
                <w:color w:val="000000"/>
                <w:kern w:val="0"/>
                <w:szCs w:val="21"/>
              </w:rPr>
              <w:t>Lacidipine</w:t>
            </w:r>
            <w:proofErr w:type="spellEnd"/>
            <w:r w:rsidRPr="0032667B">
              <w:rPr>
                <w:rFonts w:eastAsia="等线" w:cs="Times New Roman"/>
                <w:color w:val="000000"/>
                <w:kern w:val="0"/>
                <w:szCs w:val="21"/>
              </w:rPr>
              <w:t xml:space="preserve">; Lercanidipine; Losartan; </w:t>
            </w:r>
            <w:proofErr w:type="spellStart"/>
            <w:r w:rsidRPr="0032667B">
              <w:rPr>
                <w:rFonts w:eastAsia="等线" w:cs="Times New Roman"/>
                <w:color w:val="000000"/>
                <w:kern w:val="0"/>
                <w:szCs w:val="21"/>
              </w:rPr>
              <w:t>Macitentan</w:t>
            </w:r>
            <w:proofErr w:type="spellEnd"/>
            <w:r w:rsidRPr="0032667B">
              <w:rPr>
                <w:rFonts w:eastAsia="等线" w:cs="Times New Roman"/>
                <w:color w:val="000000"/>
                <w:kern w:val="0"/>
                <w:szCs w:val="21"/>
              </w:rPr>
              <w:t xml:space="preserve">; Metoprolol; Nifedipine; Nimodipine; Olmesartan </w:t>
            </w:r>
            <w:proofErr w:type="spellStart"/>
            <w:r w:rsidRPr="0032667B">
              <w:rPr>
                <w:rFonts w:eastAsia="等线" w:cs="Times New Roman"/>
                <w:color w:val="000000"/>
                <w:kern w:val="0"/>
                <w:szCs w:val="21"/>
              </w:rPr>
              <w:t>medoxomil</w:t>
            </w:r>
            <w:proofErr w:type="spellEnd"/>
            <w:r w:rsidRPr="0032667B">
              <w:rPr>
                <w:rFonts w:eastAsia="等线" w:cs="Times New Roman"/>
                <w:color w:val="000000"/>
                <w:kern w:val="0"/>
                <w:szCs w:val="21"/>
              </w:rPr>
              <w:t>; Perindopril; Perindopril/indapamide; Ramipril; Sacubitril/valsartan sodium; Telmisartan/hydrochlorothiazide; Troxerutin; Valsartan; Valsartan/amlodipine; Valsartan/hydrochlorothiazide</w:t>
            </w:r>
          </w:p>
        </w:tc>
      </w:tr>
      <w:tr w:rsidR="0032667B" w:rsidRPr="0032667B" w14:paraId="32F035C0" w14:textId="77777777" w:rsidTr="0032667B">
        <w:trPr>
          <w:trHeight w:val="276"/>
        </w:trPr>
        <w:tc>
          <w:tcPr>
            <w:tcW w:w="2169" w:type="dxa"/>
            <w:noWrap/>
            <w:hideMark/>
          </w:tcPr>
          <w:p w14:paraId="1919B2F9" w14:textId="77777777" w:rsidR="0032667B" w:rsidRPr="0032667B" w:rsidRDefault="0032667B" w:rsidP="0032667B">
            <w:pPr>
              <w:widowControl/>
              <w:snapToGrid w:val="0"/>
              <w:spacing w:line="360" w:lineRule="auto"/>
              <w:rPr>
                <w:rFonts w:eastAsia="等线" w:cs="Times New Roman"/>
                <w:color w:val="000000"/>
                <w:kern w:val="0"/>
                <w:szCs w:val="21"/>
              </w:rPr>
            </w:pPr>
            <w:proofErr w:type="spellStart"/>
            <w:r w:rsidRPr="0032667B">
              <w:rPr>
                <w:rFonts w:eastAsia="等线" w:cs="Times New Roman"/>
                <w:color w:val="000000"/>
                <w:kern w:val="0"/>
                <w:szCs w:val="21"/>
              </w:rPr>
              <w:t>Dermatologicals</w:t>
            </w:r>
            <w:proofErr w:type="spellEnd"/>
          </w:p>
        </w:tc>
        <w:tc>
          <w:tcPr>
            <w:tcW w:w="825" w:type="dxa"/>
            <w:noWrap/>
            <w:hideMark/>
          </w:tcPr>
          <w:p w14:paraId="09F3B295"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6</w:t>
            </w:r>
          </w:p>
        </w:tc>
        <w:tc>
          <w:tcPr>
            <w:tcW w:w="6836" w:type="dxa"/>
            <w:noWrap/>
            <w:hideMark/>
          </w:tcPr>
          <w:p w14:paraId="6516B37A"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 xml:space="preserve">Calcipotriol; Miconazole; Mupirocin; Pimecrolimus; </w:t>
            </w:r>
            <w:proofErr w:type="spellStart"/>
            <w:r w:rsidRPr="0032667B">
              <w:rPr>
                <w:rFonts w:eastAsia="等线" w:cs="Times New Roman"/>
                <w:color w:val="000000"/>
                <w:kern w:val="0"/>
                <w:szCs w:val="21"/>
              </w:rPr>
              <w:t>Tacalcitol</w:t>
            </w:r>
            <w:proofErr w:type="spellEnd"/>
            <w:r w:rsidRPr="0032667B">
              <w:rPr>
                <w:rFonts w:eastAsia="等线" w:cs="Times New Roman"/>
                <w:color w:val="000000"/>
                <w:kern w:val="0"/>
                <w:szCs w:val="21"/>
              </w:rPr>
              <w:t>; Tacrolimus</w:t>
            </w:r>
          </w:p>
        </w:tc>
      </w:tr>
      <w:tr w:rsidR="0032667B" w:rsidRPr="0032667B" w14:paraId="4222BE29" w14:textId="77777777" w:rsidTr="0032667B">
        <w:trPr>
          <w:trHeight w:val="276"/>
        </w:trPr>
        <w:tc>
          <w:tcPr>
            <w:tcW w:w="2169" w:type="dxa"/>
            <w:noWrap/>
            <w:hideMark/>
          </w:tcPr>
          <w:p w14:paraId="444AC5D7"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Genitourinary System and Sex Hormones</w:t>
            </w:r>
          </w:p>
        </w:tc>
        <w:tc>
          <w:tcPr>
            <w:tcW w:w="825" w:type="dxa"/>
            <w:noWrap/>
            <w:hideMark/>
          </w:tcPr>
          <w:p w14:paraId="0394A0B3"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10</w:t>
            </w:r>
          </w:p>
        </w:tc>
        <w:tc>
          <w:tcPr>
            <w:tcW w:w="6836" w:type="dxa"/>
            <w:noWrap/>
            <w:hideMark/>
          </w:tcPr>
          <w:p w14:paraId="77E5B376"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 xml:space="preserve">Clotrimazole; </w:t>
            </w:r>
            <w:proofErr w:type="spellStart"/>
            <w:r w:rsidRPr="0032667B">
              <w:rPr>
                <w:rFonts w:eastAsia="等线" w:cs="Times New Roman"/>
                <w:color w:val="000000"/>
                <w:kern w:val="0"/>
                <w:szCs w:val="21"/>
              </w:rPr>
              <w:t>Dienogest</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Dinoprostone</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Dydrogesterone</w:t>
            </w:r>
            <w:proofErr w:type="spellEnd"/>
            <w:r w:rsidRPr="0032667B">
              <w:rPr>
                <w:rFonts w:eastAsia="等线" w:cs="Times New Roman"/>
                <w:color w:val="000000"/>
                <w:kern w:val="0"/>
                <w:szCs w:val="21"/>
              </w:rPr>
              <w:t xml:space="preserve">; Estradiol valerate; </w:t>
            </w:r>
            <w:proofErr w:type="spellStart"/>
            <w:r w:rsidRPr="0032667B">
              <w:rPr>
                <w:rFonts w:eastAsia="等线" w:cs="Times New Roman"/>
                <w:color w:val="000000"/>
                <w:kern w:val="0"/>
                <w:szCs w:val="21"/>
              </w:rPr>
              <w:t>Ethinylestradiol</w:t>
            </w:r>
            <w:proofErr w:type="spellEnd"/>
            <w:r w:rsidRPr="0032667B">
              <w:rPr>
                <w:rFonts w:eastAsia="等线" w:cs="Times New Roman"/>
                <w:color w:val="000000"/>
                <w:kern w:val="0"/>
                <w:szCs w:val="21"/>
              </w:rPr>
              <w:t>/cyproterone acetate; Miconazole; Mirabegron; Silodosin; Tibolone</w:t>
            </w:r>
          </w:p>
        </w:tc>
      </w:tr>
      <w:tr w:rsidR="0032667B" w:rsidRPr="0032667B" w14:paraId="60535D72" w14:textId="77777777" w:rsidTr="0032667B">
        <w:trPr>
          <w:trHeight w:val="276"/>
        </w:trPr>
        <w:tc>
          <w:tcPr>
            <w:tcW w:w="2169" w:type="dxa"/>
            <w:noWrap/>
            <w:hideMark/>
          </w:tcPr>
          <w:p w14:paraId="49E61451"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lastRenderedPageBreak/>
              <w:t>Musculoskeletal System</w:t>
            </w:r>
          </w:p>
        </w:tc>
        <w:tc>
          <w:tcPr>
            <w:tcW w:w="825" w:type="dxa"/>
            <w:noWrap/>
            <w:hideMark/>
          </w:tcPr>
          <w:p w14:paraId="1AA65712"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11</w:t>
            </w:r>
          </w:p>
        </w:tc>
        <w:tc>
          <w:tcPr>
            <w:tcW w:w="6836" w:type="dxa"/>
            <w:noWrap/>
            <w:hideMark/>
          </w:tcPr>
          <w:p w14:paraId="7A6719BD"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 xml:space="preserve">Alendronate; Denosumab; Diclofenac; Diclofenac </w:t>
            </w:r>
            <w:proofErr w:type="spellStart"/>
            <w:r w:rsidRPr="0032667B">
              <w:rPr>
                <w:rFonts w:eastAsia="等线" w:cs="Times New Roman"/>
                <w:color w:val="000000"/>
                <w:kern w:val="0"/>
                <w:szCs w:val="21"/>
              </w:rPr>
              <w:t>diethylamine</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Eperisone</w:t>
            </w:r>
            <w:proofErr w:type="spellEnd"/>
            <w:r w:rsidRPr="0032667B">
              <w:rPr>
                <w:rFonts w:eastAsia="等线" w:cs="Times New Roman"/>
                <w:color w:val="000000"/>
                <w:kern w:val="0"/>
                <w:szCs w:val="21"/>
              </w:rPr>
              <w:t>; Etoricoxib; Ibuprofen; Ibuprofen arginine; Loxoprofen; Meloxicam; Tetrandrine</w:t>
            </w:r>
          </w:p>
        </w:tc>
      </w:tr>
      <w:tr w:rsidR="0032667B" w:rsidRPr="0032667B" w14:paraId="5C06D4A6" w14:textId="77777777" w:rsidTr="0032667B">
        <w:trPr>
          <w:trHeight w:val="276"/>
        </w:trPr>
        <w:tc>
          <w:tcPr>
            <w:tcW w:w="2169" w:type="dxa"/>
            <w:noWrap/>
            <w:hideMark/>
          </w:tcPr>
          <w:p w14:paraId="7934CCEE"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Nervous System</w:t>
            </w:r>
          </w:p>
        </w:tc>
        <w:tc>
          <w:tcPr>
            <w:tcW w:w="825" w:type="dxa"/>
            <w:noWrap/>
            <w:hideMark/>
          </w:tcPr>
          <w:p w14:paraId="79A6C397"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27</w:t>
            </w:r>
          </w:p>
        </w:tc>
        <w:tc>
          <w:tcPr>
            <w:tcW w:w="6836" w:type="dxa"/>
            <w:noWrap/>
            <w:hideMark/>
          </w:tcPr>
          <w:p w14:paraId="0DAA5EE3"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 xml:space="preserve">Acetaminophen; Atomoxetine; </w:t>
            </w:r>
            <w:proofErr w:type="spellStart"/>
            <w:r w:rsidRPr="0032667B">
              <w:rPr>
                <w:rFonts w:eastAsia="等线" w:cs="Times New Roman"/>
                <w:color w:val="000000"/>
                <w:kern w:val="0"/>
                <w:szCs w:val="21"/>
              </w:rPr>
              <w:t>Betahistine</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Blonanserin</w:t>
            </w:r>
            <w:proofErr w:type="spellEnd"/>
            <w:r w:rsidRPr="0032667B">
              <w:rPr>
                <w:rFonts w:eastAsia="等线" w:cs="Times New Roman"/>
                <w:color w:val="000000"/>
                <w:kern w:val="0"/>
                <w:szCs w:val="21"/>
              </w:rPr>
              <w:t xml:space="preserve">; Carbamazepine; Desflurane; Entacapone; Flupentixol/melitracen; </w:t>
            </w:r>
            <w:proofErr w:type="spellStart"/>
            <w:r w:rsidRPr="0032667B">
              <w:rPr>
                <w:rFonts w:eastAsia="等线" w:cs="Times New Roman"/>
                <w:color w:val="000000"/>
                <w:kern w:val="0"/>
                <w:szCs w:val="21"/>
              </w:rPr>
              <w:t>Gastrodin</w:t>
            </w:r>
            <w:proofErr w:type="spellEnd"/>
            <w:r w:rsidRPr="0032667B">
              <w:rPr>
                <w:rFonts w:eastAsia="等线" w:cs="Times New Roman"/>
                <w:color w:val="000000"/>
                <w:kern w:val="0"/>
                <w:szCs w:val="21"/>
              </w:rPr>
              <w:t>; Lacosamide; Lamotrigine; Levetiracetam; Levodopa/</w:t>
            </w:r>
            <w:proofErr w:type="spellStart"/>
            <w:r w:rsidRPr="0032667B">
              <w:rPr>
                <w:rFonts w:eastAsia="等线" w:cs="Times New Roman"/>
                <w:color w:val="000000"/>
                <w:kern w:val="0"/>
                <w:szCs w:val="21"/>
              </w:rPr>
              <w:t>benserazide</w:t>
            </w:r>
            <w:proofErr w:type="spellEnd"/>
            <w:r w:rsidRPr="0032667B">
              <w:rPr>
                <w:rFonts w:eastAsia="等线" w:cs="Times New Roman"/>
                <w:color w:val="000000"/>
                <w:kern w:val="0"/>
                <w:szCs w:val="21"/>
              </w:rPr>
              <w:t xml:space="preserve">; Lidocaine gel plaster; Lurasidone hydrochloride; Oxcarbazepine; Paliperidone; Paroxetine; </w:t>
            </w:r>
            <w:proofErr w:type="spellStart"/>
            <w:r w:rsidRPr="0032667B">
              <w:rPr>
                <w:rFonts w:eastAsia="等线" w:cs="Times New Roman"/>
                <w:color w:val="000000"/>
                <w:kern w:val="0"/>
                <w:szCs w:val="21"/>
              </w:rPr>
              <w:t>Perampanel</w:t>
            </w:r>
            <w:proofErr w:type="spellEnd"/>
            <w:r w:rsidRPr="0032667B">
              <w:rPr>
                <w:rFonts w:eastAsia="等线" w:cs="Times New Roman"/>
                <w:color w:val="000000"/>
                <w:kern w:val="0"/>
                <w:szCs w:val="21"/>
              </w:rPr>
              <w:t>; Rasagiline; Risperidone; Rivastigmine; Selegiline; Sodium valproate; Topiramate; Tramadol; Zolpidem</w:t>
            </w:r>
          </w:p>
        </w:tc>
      </w:tr>
      <w:tr w:rsidR="0032667B" w:rsidRPr="0032667B" w14:paraId="1DF325B3" w14:textId="77777777" w:rsidTr="0032667B">
        <w:trPr>
          <w:trHeight w:val="276"/>
        </w:trPr>
        <w:tc>
          <w:tcPr>
            <w:tcW w:w="2169" w:type="dxa"/>
            <w:noWrap/>
            <w:hideMark/>
          </w:tcPr>
          <w:p w14:paraId="0D18C843"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Other</w:t>
            </w:r>
          </w:p>
        </w:tc>
        <w:tc>
          <w:tcPr>
            <w:tcW w:w="825" w:type="dxa"/>
            <w:noWrap/>
            <w:hideMark/>
          </w:tcPr>
          <w:p w14:paraId="0AC771A8"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11</w:t>
            </w:r>
          </w:p>
        </w:tc>
        <w:tc>
          <w:tcPr>
            <w:tcW w:w="6836" w:type="dxa"/>
            <w:noWrap/>
            <w:hideMark/>
          </w:tcPr>
          <w:p w14:paraId="2060002B"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 xml:space="preserve">Compound alpha-ketoacid; Deferasirox; Enteral nutrition formula (TPF-D); </w:t>
            </w:r>
            <w:proofErr w:type="spellStart"/>
            <w:r w:rsidRPr="0032667B">
              <w:rPr>
                <w:rFonts w:eastAsia="等线" w:cs="Times New Roman"/>
                <w:color w:val="000000"/>
                <w:kern w:val="0"/>
                <w:szCs w:val="21"/>
              </w:rPr>
              <w:t>Gadobutrol</w:t>
            </w:r>
            <w:proofErr w:type="spellEnd"/>
            <w:r w:rsidRPr="0032667B">
              <w:rPr>
                <w:rFonts w:eastAsia="等线" w:cs="Times New Roman"/>
                <w:color w:val="000000"/>
                <w:kern w:val="0"/>
                <w:szCs w:val="21"/>
              </w:rPr>
              <w:t xml:space="preserve">; Gadoteridol; </w:t>
            </w:r>
            <w:proofErr w:type="spellStart"/>
            <w:r w:rsidRPr="0032667B">
              <w:rPr>
                <w:rFonts w:eastAsia="等线" w:cs="Times New Roman"/>
                <w:color w:val="000000"/>
                <w:kern w:val="0"/>
                <w:szCs w:val="21"/>
              </w:rPr>
              <w:t>Iomeprol</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Iopamidol</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Iopromide</w:t>
            </w:r>
            <w:proofErr w:type="spellEnd"/>
            <w:r w:rsidRPr="0032667B">
              <w:rPr>
                <w:rFonts w:eastAsia="等线" w:cs="Times New Roman"/>
                <w:color w:val="000000"/>
                <w:kern w:val="0"/>
                <w:szCs w:val="21"/>
              </w:rPr>
              <w:t xml:space="preserve">; Lanthanum carbonate; </w:t>
            </w:r>
            <w:proofErr w:type="spellStart"/>
            <w:r w:rsidRPr="0032667B">
              <w:rPr>
                <w:rFonts w:eastAsia="等线" w:cs="Times New Roman"/>
                <w:color w:val="000000"/>
                <w:kern w:val="0"/>
                <w:szCs w:val="21"/>
              </w:rPr>
              <w:t>Penehyclidine</w:t>
            </w:r>
            <w:proofErr w:type="spellEnd"/>
            <w:r w:rsidRPr="0032667B">
              <w:rPr>
                <w:rFonts w:eastAsia="等线" w:cs="Times New Roman"/>
                <w:color w:val="000000"/>
                <w:kern w:val="0"/>
                <w:szCs w:val="21"/>
              </w:rPr>
              <w:t>; Sevelamer</w:t>
            </w:r>
          </w:p>
        </w:tc>
      </w:tr>
      <w:tr w:rsidR="0032667B" w:rsidRPr="0032667B" w14:paraId="24696210" w14:textId="77777777" w:rsidTr="0032667B">
        <w:trPr>
          <w:trHeight w:val="276"/>
        </w:trPr>
        <w:tc>
          <w:tcPr>
            <w:tcW w:w="2169" w:type="dxa"/>
            <w:noWrap/>
            <w:hideMark/>
          </w:tcPr>
          <w:p w14:paraId="13FA00B9"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Respiratory System</w:t>
            </w:r>
          </w:p>
        </w:tc>
        <w:tc>
          <w:tcPr>
            <w:tcW w:w="825" w:type="dxa"/>
            <w:noWrap/>
            <w:hideMark/>
          </w:tcPr>
          <w:p w14:paraId="78FA71A0"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7</w:t>
            </w:r>
          </w:p>
        </w:tc>
        <w:tc>
          <w:tcPr>
            <w:tcW w:w="6836" w:type="dxa"/>
            <w:noWrap/>
            <w:hideMark/>
          </w:tcPr>
          <w:p w14:paraId="3AE5FEB6"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Acetylcysteine; Budesonide; Compound ipratropium bromide; Fluticasone; Ipratropium bromide; Omalizumab; Terbutaline</w:t>
            </w:r>
          </w:p>
        </w:tc>
      </w:tr>
      <w:tr w:rsidR="0032667B" w:rsidRPr="0032667B" w14:paraId="1ADD3F67" w14:textId="77777777" w:rsidTr="0032667B">
        <w:trPr>
          <w:trHeight w:val="276"/>
        </w:trPr>
        <w:tc>
          <w:tcPr>
            <w:tcW w:w="2169" w:type="dxa"/>
            <w:noWrap/>
            <w:hideMark/>
          </w:tcPr>
          <w:p w14:paraId="79E3C066"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Sensory Organs</w:t>
            </w:r>
          </w:p>
        </w:tc>
        <w:tc>
          <w:tcPr>
            <w:tcW w:w="825" w:type="dxa"/>
            <w:noWrap/>
            <w:hideMark/>
          </w:tcPr>
          <w:p w14:paraId="3158F8ED"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16</w:t>
            </w:r>
          </w:p>
        </w:tc>
        <w:tc>
          <w:tcPr>
            <w:tcW w:w="6836" w:type="dxa"/>
            <w:noWrap/>
            <w:hideMark/>
          </w:tcPr>
          <w:p w14:paraId="3D5256EB"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 xml:space="preserve">Aflibercept; </w:t>
            </w:r>
            <w:proofErr w:type="spellStart"/>
            <w:r w:rsidRPr="0032667B">
              <w:rPr>
                <w:rFonts w:eastAsia="等线" w:cs="Times New Roman"/>
                <w:color w:val="000000"/>
                <w:kern w:val="0"/>
                <w:szCs w:val="21"/>
              </w:rPr>
              <w:t>Betaxolol</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Bimatoprost</w:t>
            </w:r>
            <w:proofErr w:type="spellEnd"/>
            <w:r w:rsidRPr="0032667B">
              <w:rPr>
                <w:rFonts w:eastAsia="等线" w:cs="Times New Roman"/>
                <w:color w:val="000000"/>
                <w:kern w:val="0"/>
                <w:szCs w:val="21"/>
              </w:rPr>
              <w:t xml:space="preserve">; Brimonidine; Brinzolamide; </w:t>
            </w:r>
            <w:proofErr w:type="spellStart"/>
            <w:r w:rsidRPr="0032667B">
              <w:rPr>
                <w:rFonts w:eastAsia="等线" w:cs="Times New Roman"/>
                <w:color w:val="000000"/>
                <w:kern w:val="0"/>
                <w:szCs w:val="21"/>
              </w:rPr>
              <w:t>Carteolol</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Emedastine</w:t>
            </w:r>
            <w:proofErr w:type="spellEnd"/>
            <w:r w:rsidRPr="0032667B">
              <w:rPr>
                <w:rFonts w:eastAsia="等线" w:cs="Times New Roman"/>
                <w:color w:val="000000"/>
                <w:kern w:val="0"/>
                <w:szCs w:val="21"/>
              </w:rPr>
              <w:t xml:space="preserve">; </w:t>
            </w:r>
            <w:proofErr w:type="spellStart"/>
            <w:r w:rsidRPr="0032667B">
              <w:rPr>
                <w:rFonts w:eastAsia="等线" w:cs="Times New Roman"/>
                <w:color w:val="000000"/>
                <w:kern w:val="0"/>
                <w:szCs w:val="21"/>
              </w:rPr>
              <w:t>Fluorometholone</w:t>
            </w:r>
            <w:proofErr w:type="spellEnd"/>
            <w:r w:rsidRPr="0032667B">
              <w:rPr>
                <w:rFonts w:eastAsia="等线" w:cs="Times New Roman"/>
                <w:color w:val="000000"/>
                <w:kern w:val="0"/>
                <w:szCs w:val="21"/>
              </w:rPr>
              <w:t xml:space="preserve">; Latanoprost; </w:t>
            </w:r>
            <w:proofErr w:type="spellStart"/>
            <w:r w:rsidRPr="0032667B">
              <w:rPr>
                <w:rFonts w:eastAsia="等线" w:cs="Times New Roman"/>
                <w:color w:val="000000"/>
                <w:kern w:val="0"/>
                <w:szCs w:val="21"/>
              </w:rPr>
              <w:t>Pemirolast</w:t>
            </w:r>
            <w:proofErr w:type="spellEnd"/>
            <w:r w:rsidRPr="0032667B">
              <w:rPr>
                <w:rFonts w:eastAsia="等线" w:cs="Times New Roman"/>
                <w:color w:val="000000"/>
                <w:kern w:val="0"/>
                <w:szCs w:val="21"/>
              </w:rPr>
              <w:t xml:space="preserve">; Ranibizumab; Sodium fluorescein; </w:t>
            </w:r>
            <w:proofErr w:type="spellStart"/>
            <w:r w:rsidRPr="0032667B">
              <w:rPr>
                <w:rFonts w:eastAsia="等线" w:cs="Times New Roman"/>
                <w:color w:val="000000"/>
                <w:kern w:val="0"/>
                <w:szCs w:val="21"/>
              </w:rPr>
              <w:t>Tafluprost</w:t>
            </w:r>
            <w:proofErr w:type="spellEnd"/>
            <w:r w:rsidRPr="0032667B">
              <w:rPr>
                <w:rFonts w:eastAsia="等线" w:cs="Times New Roman"/>
                <w:color w:val="000000"/>
                <w:kern w:val="0"/>
                <w:szCs w:val="21"/>
              </w:rPr>
              <w:t xml:space="preserve">; Tobramycin; Tobramycin/dexamethasone; </w:t>
            </w:r>
            <w:proofErr w:type="spellStart"/>
            <w:r w:rsidRPr="0032667B">
              <w:rPr>
                <w:rFonts w:eastAsia="等线" w:cs="Times New Roman"/>
                <w:color w:val="000000"/>
                <w:kern w:val="0"/>
                <w:szCs w:val="21"/>
              </w:rPr>
              <w:t>Travoprost</w:t>
            </w:r>
            <w:proofErr w:type="spellEnd"/>
          </w:p>
        </w:tc>
      </w:tr>
      <w:tr w:rsidR="0032667B" w:rsidRPr="0032667B" w14:paraId="350F30ED" w14:textId="77777777" w:rsidTr="0032667B">
        <w:trPr>
          <w:trHeight w:val="276"/>
        </w:trPr>
        <w:tc>
          <w:tcPr>
            <w:tcW w:w="2169" w:type="dxa"/>
            <w:noWrap/>
            <w:hideMark/>
          </w:tcPr>
          <w:p w14:paraId="34D61794"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 xml:space="preserve">Systemic </w:t>
            </w:r>
            <w:proofErr w:type="spellStart"/>
            <w:r w:rsidRPr="0032667B">
              <w:rPr>
                <w:rFonts w:eastAsia="等线" w:cs="Times New Roman"/>
                <w:color w:val="000000"/>
                <w:kern w:val="0"/>
                <w:szCs w:val="21"/>
              </w:rPr>
              <w:t>Antiinfectives</w:t>
            </w:r>
            <w:proofErr w:type="spellEnd"/>
          </w:p>
        </w:tc>
        <w:tc>
          <w:tcPr>
            <w:tcW w:w="825" w:type="dxa"/>
            <w:noWrap/>
            <w:hideMark/>
          </w:tcPr>
          <w:p w14:paraId="14535558"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7</w:t>
            </w:r>
          </w:p>
        </w:tc>
        <w:tc>
          <w:tcPr>
            <w:tcW w:w="6836" w:type="dxa"/>
            <w:noWrap/>
            <w:hideMark/>
          </w:tcPr>
          <w:p w14:paraId="5BFDDCDF"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 xml:space="preserve">Bedaquiline fumarate; Botulinum toxin type A; Cefathiamidine; Lamivudine; </w:t>
            </w:r>
            <w:proofErr w:type="spellStart"/>
            <w:r w:rsidRPr="0032667B">
              <w:rPr>
                <w:rFonts w:eastAsia="等线" w:cs="Times New Roman"/>
                <w:color w:val="000000"/>
                <w:kern w:val="0"/>
                <w:szCs w:val="21"/>
              </w:rPr>
              <w:t>Letermovir</w:t>
            </w:r>
            <w:proofErr w:type="spellEnd"/>
            <w:r w:rsidRPr="0032667B">
              <w:rPr>
                <w:rFonts w:eastAsia="等线" w:cs="Times New Roman"/>
                <w:color w:val="000000"/>
                <w:kern w:val="0"/>
                <w:szCs w:val="21"/>
              </w:rPr>
              <w:t>; Lopinavir/ritonavir; Tenofovir alafenamide</w:t>
            </w:r>
          </w:p>
        </w:tc>
      </w:tr>
      <w:tr w:rsidR="0032667B" w:rsidRPr="0032667B" w14:paraId="0D43BE0C" w14:textId="77777777" w:rsidTr="0032667B">
        <w:trPr>
          <w:trHeight w:val="276"/>
        </w:trPr>
        <w:tc>
          <w:tcPr>
            <w:tcW w:w="2169" w:type="dxa"/>
            <w:noWrap/>
            <w:hideMark/>
          </w:tcPr>
          <w:p w14:paraId="22D4CCBD"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Systemic Hormones</w:t>
            </w:r>
          </w:p>
        </w:tc>
        <w:tc>
          <w:tcPr>
            <w:tcW w:w="825" w:type="dxa"/>
            <w:noWrap/>
            <w:hideMark/>
          </w:tcPr>
          <w:p w14:paraId="58BF43ED"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9</w:t>
            </w:r>
          </w:p>
        </w:tc>
        <w:tc>
          <w:tcPr>
            <w:tcW w:w="6836" w:type="dxa"/>
            <w:noWrap/>
            <w:hideMark/>
          </w:tcPr>
          <w:p w14:paraId="3C9DD010" w14:textId="77777777" w:rsidR="0032667B" w:rsidRPr="0032667B" w:rsidRDefault="0032667B" w:rsidP="0032667B">
            <w:pPr>
              <w:widowControl/>
              <w:snapToGrid w:val="0"/>
              <w:spacing w:line="360" w:lineRule="auto"/>
              <w:rPr>
                <w:rFonts w:eastAsia="等线" w:cs="Times New Roman"/>
                <w:color w:val="000000"/>
                <w:kern w:val="0"/>
                <w:szCs w:val="21"/>
              </w:rPr>
            </w:pPr>
            <w:r w:rsidRPr="0032667B">
              <w:rPr>
                <w:rFonts w:eastAsia="等线" w:cs="Times New Roman"/>
                <w:color w:val="000000"/>
                <w:kern w:val="0"/>
                <w:szCs w:val="21"/>
              </w:rPr>
              <w:t>Cinacalcet; Compound betamethasone; Desmopressin; Levothyroxine; Methimazole; Methylprednisolone; Octreotide acetate microspheres; Salmon calcitonin; Somatropin</w:t>
            </w:r>
          </w:p>
        </w:tc>
      </w:tr>
    </w:tbl>
    <w:p w14:paraId="368B0B73" w14:textId="0762028F" w:rsidR="003C2054" w:rsidRPr="00B15D17" w:rsidRDefault="00B15D17" w:rsidP="00B15D17">
      <w:pPr>
        <w:spacing w:line="360" w:lineRule="auto"/>
        <w:rPr>
          <w:rFonts w:ascii="Times New Roman" w:hAnsi="Times New Roman" w:cs="Times New Roman"/>
          <w:szCs w:val="21"/>
        </w:rPr>
      </w:pPr>
      <w:r w:rsidRPr="00B15D17">
        <w:rPr>
          <w:rFonts w:ascii="Times New Roman" w:hAnsi="Times New Roman" w:cs="Times New Roman"/>
          <w:szCs w:val="21"/>
        </w:rPr>
        <w:t>The table lists drug names represented by low-uptake comparable drug forms; therefore, the same drug name may appear in different therapeutic categories when classified under different NRDL therapeutic contexts or dosage-form-specific entries. The threshold of &lt;50% was used as a descriptive screening criterion and should not be interpreted as a clinical or policy-defined standard for insufficient substitution. Sales volumes were measured in source units and do not represent patient counts, prescription counts, treatment episodes, or whole-market share.</w:t>
      </w:r>
    </w:p>
    <w:p w14:paraId="296B6BD0" w14:textId="77777777" w:rsidR="003C2054" w:rsidRDefault="003C205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BFE6AD3" w14:textId="48AB6656" w:rsidR="003C2054" w:rsidRPr="003C2054" w:rsidRDefault="003C2054" w:rsidP="003C2054">
      <w:pPr>
        <w:rPr>
          <w:rFonts w:ascii="Times New Roman" w:hAnsi="Times New Roman" w:cs="Times New Roman"/>
          <w:b/>
          <w:bCs/>
        </w:rPr>
      </w:pPr>
      <w:r w:rsidRPr="003C2054">
        <w:rPr>
          <w:rFonts w:ascii="Times New Roman" w:hAnsi="Times New Roman" w:cs="Times New Roman"/>
          <w:b/>
          <w:bCs/>
        </w:rPr>
        <w:lastRenderedPageBreak/>
        <w:t>Supplementary Figure S</w:t>
      </w:r>
      <w:r w:rsidRPr="003C2054">
        <w:rPr>
          <w:rFonts w:ascii="Times New Roman" w:hAnsi="Times New Roman" w:cs="Times New Roman" w:hint="eastAsia"/>
          <w:b/>
          <w:bCs/>
        </w:rPr>
        <w:t>2</w:t>
      </w:r>
      <w:r w:rsidRPr="003C2054">
        <w:rPr>
          <w:rFonts w:ascii="Times New Roman" w:hAnsi="Times New Roman" w:cs="Times New Roman"/>
          <w:b/>
          <w:bCs/>
        </w:rPr>
        <w:t xml:space="preserve">. </w:t>
      </w:r>
      <w:r w:rsidR="00B15D17" w:rsidRPr="00B15D17">
        <w:rPr>
          <w:rFonts w:ascii="Times New Roman" w:hAnsi="Times New Roman" w:cs="Times New Roman"/>
          <w:b/>
          <w:bCs/>
        </w:rPr>
        <w:t>Annual generic/biosimilar uptake trends among comparable drug forms by distribution channel, 2020–2024</w:t>
      </w:r>
    </w:p>
    <w:p w14:paraId="3EAA02BA" w14:textId="40D88C37" w:rsidR="00F3194D" w:rsidRDefault="00F3194D" w:rsidP="00B15D17">
      <w:pPr>
        <w:spacing w:before="40" w:line="360" w:lineRule="auto"/>
        <w:jc w:val="left"/>
        <w:rPr>
          <w:rFonts w:ascii="Times New Roman" w:hAnsi="Times New Roman" w:cs="Times New Roman"/>
          <w:b/>
          <w:bCs/>
          <w:noProof/>
        </w:rPr>
      </w:pPr>
      <w:r>
        <w:rPr>
          <w:noProof/>
        </w:rPr>
        <w:drawing>
          <wp:inline distT="0" distB="0" distL="0" distR="0" wp14:anchorId="1B6B9803" wp14:editId="675E34A3">
            <wp:extent cx="5274310" cy="5320030"/>
            <wp:effectExtent l="0" t="0" r="2540" b="0"/>
            <wp:docPr id="14658525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5320030"/>
                    </a:xfrm>
                    <a:prstGeom prst="rect">
                      <a:avLst/>
                    </a:prstGeom>
                    <a:noFill/>
                    <a:ln>
                      <a:noFill/>
                    </a:ln>
                  </pic:spPr>
                </pic:pic>
              </a:graphicData>
            </a:graphic>
          </wp:inline>
        </w:drawing>
      </w:r>
    </w:p>
    <w:p w14:paraId="36945F08" w14:textId="7E0270B0" w:rsidR="00B15D17" w:rsidRPr="00B15D17" w:rsidRDefault="00B15D17" w:rsidP="00B15D17">
      <w:pPr>
        <w:spacing w:before="40" w:line="360" w:lineRule="auto"/>
        <w:jc w:val="left"/>
        <w:rPr>
          <w:rFonts w:ascii="Times New Roman" w:hAnsi="Times New Roman" w:cs="Times New Roman"/>
        </w:rPr>
      </w:pPr>
      <w:r w:rsidRPr="00B15D17">
        <w:rPr>
          <w:rFonts w:ascii="Times New Roman" w:hAnsi="Times New Roman" w:cs="Times New Roman"/>
        </w:rPr>
        <w:t xml:space="preserve">The black line shows overall uptake across all distribution channels, and the </w:t>
      </w:r>
      <w:proofErr w:type="spellStart"/>
      <w:r w:rsidRPr="00B15D17">
        <w:rPr>
          <w:rFonts w:ascii="Times New Roman" w:hAnsi="Times New Roman" w:cs="Times New Roman"/>
        </w:rPr>
        <w:t>coloured</w:t>
      </w:r>
      <w:proofErr w:type="spellEnd"/>
      <w:r w:rsidRPr="00B15D17">
        <w:rPr>
          <w:rFonts w:ascii="Times New Roman" w:hAnsi="Times New Roman" w:cs="Times New Roman"/>
        </w:rPr>
        <w:t xml:space="preserve"> lines show uptake in hospital, retail-pharmacy, and online channels. Slopes were estimated using simple linear models of annual uptake on calendar year and are expressed as percentage-point changes per year, not relative percent growth rates. P values are descriptive. Sales volumes are source units and do not represent patient counts, prescription counts, treatment episodes, or whole-market share.</w:t>
      </w:r>
    </w:p>
    <w:p w14:paraId="5C76FE28" w14:textId="750E8986" w:rsidR="00B15D17" w:rsidRPr="00B15D17" w:rsidRDefault="00B15D17" w:rsidP="003C2054">
      <w:pPr>
        <w:rPr>
          <w:rFonts w:ascii="Times New Roman" w:hAnsi="Times New Roman" w:cs="Times New Roman"/>
          <w:b/>
          <w:bCs/>
        </w:rPr>
      </w:pPr>
    </w:p>
    <w:p w14:paraId="295122FD" w14:textId="77777777" w:rsidR="003C2054" w:rsidRPr="003C2054" w:rsidRDefault="003C2054" w:rsidP="003C2054">
      <w:pPr>
        <w:rPr>
          <w:rFonts w:ascii="Times New Roman" w:hAnsi="Times New Roman" w:cs="Times New Roman"/>
          <w:b/>
          <w:bCs/>
        </w:rPr>
      </w:pPr>
      <w:r w:rsidRPr="003C2054">
        <w:rPr>
          <w:rFonts w:ascii="Times New Roman" w:hAnsi="Times New Roman" w:cs="Times New Roman"/>
          <w:b/>
          <w:bCs/>
        </w:rPr>
        <w:br w:type="page"/>
      </w:r>
    </w:p>
    <w:p w14:paraId="65CEE44D" w14:textId="76E3071C" w:rsidR="00B15D17" w:rsidRDefault="00B15D17" w:rsidP="008B2194">
      <w:pPr>
        <w:spacing w:line="480" w:lineRule="auto"/>
        <w:rPr>
          <w:rFonts w:ascii="Times New Roman" w:hAnsi="Times New Roman" w:cs="Times New Roman"/>
          <w:sz w:val="24"/>
          <w:szCs w:val="24"/>
        </w:rPr>
      </w:pPr>
      <w:r w:rsidRPr="003C2054">
        <w:rPr>
          <w:rFonts w:ascii="Times New Roman" w:hAnsi="Times New Roman" w:cs="Times New Roman"/>
          <w:b/>
          <w:bCs/>
        </w:rPr>
        <w:lastRenderedPageBreak/>
        <w:t>Supplementary Figure S</w:t>
      </w:r>
      <w:r w:rsidR="00F3194D">
        <w:rPr>
          <w:rFonts w:ascii="Times New Roman" w:hAnsi="Times New Roman" w:cs="Times New Roman" w:hint="eastAsia"/>
          <w:b/>
          <w:bCs/>
        </w:rPr>
        <w:t>3</w:t>
      </w:r>
      <w:r w:rsidRPr="003C2054">
        <w:rPr>
          <w:rFonts w:ascii="Times New Roman" w:hAnsi="Times New Roman" w:cs="Times New Roman"/>
          <w:b/>
          <w:bCs/>
        </w:rPr>
        <w:t>.</w:t>
      </w:r>
      <w:r>
        <w:rPr>
          <w:rFonts w:ascii="Times New Roman" w:hAnsi="Times New Roman" w:cs="Times New Roman" w:hint="eastAsia"/>
          <w:b/>
          <w:bCs/>
        </w:rPr>
        <w:t xml:space="preserve"> </w:t>
      </w:r>
      <w:r w:rsidRPr="00B15D17">
        <w:rPr>
          <w:rFonts w:ascii="Times New Roman" w:hAnsi="Times New Roman" w:cs="Times New Roman"/>
          <w:b/>
          <w:bCs/>
        </w:rPr>
        <w:t>Therapeutic-category-level paired difference in generic/biosimilar uptake between Class B and Class A medicines, 2020–2024</w:t>
      </w:r>
    </w:p>
    <w:p w14:paraId="7D6A8E28" w14:textId="525A1B1C" w:rsidR="003C2054" w:rsidRDefault="003C2054" w:rsidP="008B2194">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045427" wp14:editId="73089C24">
            <wp:extent cx="5273040" cy="3352800"/>
            <wp:effectExtent l="0" t="0" r="3810" b="0"/>
            <wp:docPr id="7316457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3040" cy="3352800"/>
                    </a:xfrm>
                    <a:prstGeom prst="rect">
                      <a:avLst/>
                    </a:prstGeom>
                    <a:noFill/>
                    <a:ln>
                      <a:noFill/>
                    </a:ln>
                  </pic:spPr>
                </pic:pic>
              </a:graphicData>
            </a:graphic>
          </wp:inline>
        </w:drawing>
      </w:r>
    </w:p>
    <w:p w14:paraId="22418D2E" w14:textId="44F4D48B" w:rsidR="00B15D17" w:rsidRPr="00B15D17" w:rsidRDefault="00B15D17" w:rsidP="00B15D17">
      <w:pPr>
        <w:spacing w:line="360" w:lineRule="auto"/>
        <w:rPr>
          <w:rFonts w:ascii="Times New Roman" w:hAnsi="Times New Roman" w:cs="Times New Roman"/>
          <w:szCs w:val="21"/>
        </w:rPr>
      </w:pPr>
      <w:r w:rsidRPr="00B15D17">
        <w:rPr>
          <w:rFonts w:ascii="Times New Roman" w:hAnsi="Times New Roman" w:cs="Times New Roman"/>
          <w:szCs w:val="21"/>
        </w:rPr>
        <w:t>Each bar represents one therapeutic category that contained both Class A and Class B comparable drug forms. The x-axis shows the weighted uptake difference, calculated as Class B minus Class A generic/biosimilar sales-volume uptake in percentage points. Uptake was defined as the generic/biosimilar sales-volume share among the combined sales volume of originator/innovative products and generics/biosimilars. Positive values indicate higher uptake among Class B medicines, whereas negative values indicate higher uptake among Class A medicines.</w:t>
      </w:r>
    </w:p>
    <w:p w14:paraId="11A2AF5C" w14:textId="77777777" w:rsidR="003C2054" w:rsidRDefault="003C205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745532E" w14:textId="2AECE0BA" w:rsidR="00B15D17" w:rsidRDefault="00B15D17" w:rsidP="008B2194">
      <w:pPr>
        <w:spacing w:line="480" w:lineRule="auto"/>
        <w:rPr>
          <w:rFonts w:ascii="Times New Roman" w:hAnsi="Times New Roman" w:cs="Times New Roman"/>
          <w:sz w:val="24"/>
          <w:szCs w:val="24"/>
        </w:rPr>
      </w:pPr>
      <w:r w:rsidRPr="003C2054">
        <w:rPr>
          <w:rFonts w:ascii="Times New Roman" w:hAnsi="Times New Roman" w:cs="Times New Roman"/>
          <w:b/>
          <w:bCs/>
        </w:rPr>
        <w:lastRenderedPageBreak/>
        <w:t>Supplementary Figure S</w:t>
      </w:r>
      <w:r w:rsidR="00F3194D">
        <w:rPr>
          <w:rFonts w:ascii="Times New Roman" w:hAnsi="Times New Roman" w:cs="Times New Roman" w:hint="eastAsia"/>
          <w:b/>
          <w:bCs/>
        </w:rPr>
        <w:t>4</w:t>
      </w:r>
      <w:r w:rsidRPr="003C2054">
        <w:rPr>
          <w:rFonts w:ascii="Times New Roman" w:hAnsi="Times New Roman" w:cs="Times New Roman"/>
          <w:b/>
          <w:bCs/>
        </w:rPr>
        <w:t>.</w:t>
      </w:r>
      <w:r>
        <w:rPr>
          <w:rFonts w:ascii="Times New Roman" w:hAnsi="Times New Roman" w:cs="Times New Roman" w:hint="eastAsia"/>
          <w:b/>
          <w:bCs/>
        </w:rPr>
        <w:t xml:space="preserve"> </w:t>
      </w:r>
      <w:r w:rsidRPr="00B15D17">
        <w:rPr>
          <w:rFonts w:ascii="Times New Roman" w:hAnsi="Times New Roman" w:cs="Times New Roman"/>
          <w:b/>
          <w:bCs/>
        </w:rPr>
        <w:t>Therapeutic-category-specific distribution of drug-form-level generic/biosimilar uptake among comparable drug forms, 2020–2024</w:t>
      </w:r>
    </w:p>
    <w:p w14:paraId="0E8AEC61" w14:textId="581BA2E7" w:rsidR="003C2054" w:rsidRDefault="003C2054" w:rsidP="008B2194">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C376B6" wp14:editId="593F78C2">
            <wp:extent cx="5265420" cy="3268980"/>
            <wp:effectExtent l="0" t="0" r="0" b="7620"/>
            <wp:docPr id="20299061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5420" cy="3268980"/>
                    </a:xfrm>
                    <a:prstGeom prst="rect">
                      <a:avLst/>
                    </a:prstGeom>
                    <a:noFill/>
                    <a:ln>
                      <a:noFill/>
                    </a:ln>
                  </pic:spPr>
                </pic:pic>
              </a:graphicData>
            </a:graphic>
          </wp:inline>
        </w:drawing>
      </w:r>
    </w:p>
    <w:p w14:paraId="17B2E2A2" w14:textId="130AC9C2" w:rsidR="00B15D17" w:rsidRPr="00B15D17" w:rsidRDefault="00B15D17" w:rsidP="00B15D17">
      <w:pPr>
        <w:spacing w:line="360" w:lineRule="auto"/>
        <w:rPr>
          <w:rFonts w:ascii="Times New Roman" w:hAnsi="Times New Roman" w:cs="Times New Roman"/>
          <w:szCs w:val="21"/>
        </w:rPr>
      </w:pPr>
      <w:proofErr w:type="spellStart"/>
      <w:r w:rsidRPr="00B15D17">
        <w:rPr>
          <w:rFonts w:ascii="Times New Roman" w:hAnsi="Times New Roman" w:cs="Times New Roman"/>
          <w:szCs w:val="21"/>
        </w:rPr>
        <w:t>Colours</w:t>
      </w:r>
      <w:proofErr w:type="spellEnd"/>
      <w:r w:rsidRPr="00B15D17">
        <w:rPr>
          <w:rFonts w:ascii="Times New Roman" w:hAnsi="Times New Roman" w:cs="Times New Roman"/>
          <w:szCs w:val="21"/>
        </w:rPr>
        <w:t xml:space="preserve"> indicate uptake ranges: red, &lt;10%; orange, 10% to &lt;40%; grey, 40% to &lt;60%; yellow, 60% to &lt;90%; and green, ≥90%. The panel labels report distribution-shape statistics used for descriptive screening. The analysis was exploratory and intended to identify therapeutic categories with marked within-category heterogeneity or possible </w:t>
      </w:r>
      <w:proofErr w:type="spellStart"/>
      <w:r w:rsidRPr="00B15D17">
        <w:rPr>
          <w:rFonts w:ascii="Times New Roman" w:hAnsi="Times New Roman" w:cs="Times New Roman"/>
          <w:szCs w:val="21"/>
        </w:rPr>
        <w:t>polarisation</w:t>
      </w:r>
      <w:proofErr w:type="spellEnd"/>
      <w:r w:rsidRPr="00B15D17">
        <w:rPr>
          <w:rFonts w:ascii="Times New Roman" w:hAnsi="Times New Roman" w:cs="Times New Roman"/>
          <w:szCs w:val="21"/>
        </w:rPr>
        <w:t xml:space="preserve"> in uptake. Sales volumes are source units and do not represent patient counts, prescription counts, treatment episodes, or whole-market share.</w:t>
      </w:r>
    </w:p>
    <w:p w14:paraId="754E0CE9" w14:textId="77777777" w:rsidR="003C2054" w:rsidRDefault="003C205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B1B6FEE" w14:textId="2F9E83C9" w:rsidR="003C2054" w:rsidRDefault="003C2054" w:rsidP="003C2054">
      <w:pPr>
        <w:rPr>
          <w:rFonts w:ascii="Times New Roman" w:hAnsi="Times New Roman" w:cs="Times New Roman"/>
        </w:rPr>
      </w:pPr>
      <w:r w:rsidRPr="00645D7B">
        <w:rPr>
          <w:rFonts w:ascii="Times New Roman" w:hAnsi="Times New Roman" w:cs="Times New Roman"/>
        </w:rPr>
        <w:lastRenderedPageBreak/>
        <w:t>Supplementary Table S</w:t>
      </w:r>
      <w:r w:rsidR="001C0F56">
        <w:rPr>
          <w:rFonts w:ascii="Times New Roman" w:hAnsi="Times New Roman" w:cs="Times New Roman" w:hint="eastAsia"/>
        </w:rPr>
        <w:t>4</w:t>
      </w:r>
      <w:r w:rsidRPr="00645D7B">
        <w:rPr>
          <w:rFonts w:ascii="Times New Roman" w:hAnsi="Times New Roman" w:cs="Times New Roman"/>
        </w:rPr>
        <w:t>. Characteristics of valid respondents in the physician questionnaire survey</w:t>
      </w:r>
    </w:p>
    <w:tbl>
      <w:tblPr>
        <w:tblStyle w:val="11"/>
        <w:tblW w:w="8931" w:type="dxa"/>
        <w:tblLook w:val="04A0" w:firstRow="1" w:lastRow="0" w:firstColumn="1" w:lastColumn="0" w:noHBand="0" w:noVBand="1"/>
      </w:tblPr>
      <w:tblGrid>
        <w:gridCol w:w="3094"/>
        <w:gridCol w:w="3573"/>
        <w:gridCol w:w="2264"/>
      </w:tblGrid>
      <w:tr w:rsidR="003C2054" w:rsidRPr="00645D7B" w14:paraId="24811DA7" w14:textId="77777777" w:rsidTr="00FA7A35">
        <w:trPr>
          <w:cnfStyle w:val="100000000000" w:firstRow="1" w:lastRow="0" w:firstColumn="0" w:lastColumn="0" w:oddVBand="0" w:evenVBand="0" w:oddHBand="0" w:evenHBand="0" w:firstRowFirstColumn="0" w:firstRowLastColumn="0" w:lastRowFirstColumn="0" w:lastRowLastColumn="0"/>
          <w:trHeight w:val="276"/>
        </w:trPr>
        <w:tc>
          <w:tcPr>
            <w:tcW w:w="3094" w:type="dxa"/>
            <w:noWrap/>
            <w:hideMark/>
          </w:tcPr>
          <w:p w14:paraId="36A1AFF7"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Characteristic</w:t>
            </w:r>
          </w:p>
        </w:tc>
        <w:tc>
          <w:tcPr>
            <w:tcW w:w="3573" w:type="dxa"/>
            <w:noWrap/>
            <w:hideMark/>
          </w:tcPr>
          <w:p w14:paraId="73E85A8A"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Category</w:t>
            </w:r>
          </w:p>
        </w:tc>
        <w:tc>
          <w:tcPr>
            <w:tcW w:w="2264" w:type="dxa"/>
            <w:noWrap/>
            <w:hideMark/>
          </w:tcPr>
          <w:p w14:paraId="33E648BC"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All responses (N=202), n (%)</w:t>
            </w:r>
          </w:p>
        </w:tc>
      </w:tr>
      <w:tr w:rsidR="003C2054" w:rsidRPr="00645D7B" w14:paraId="5301F918" w14:textId="77777777" w:rsidTr="00FA7A35">
        <w:trPr>
          <w:trHeight w:val="276"/>
        </w:trPr>
        <w:tc>
          <w:tcPr>
            <w:tcW w:w="3094" w:type="dxa"/>
            <w:noWrap/>
            <w:hideMark/>
          </w:tcPr>
          <w:p w14:paraId="085B62D8"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Gender</w:t>
            </w:r>
          </w:p>
        </w:tc>
        <w:tc>
          <w:tcPr>
            <w:tcW w:w="3573" w:type="dxa"/>
            <w:noWrap/>
            <w:hideMark/>
          </w:tcPr>
          <w:p w14:paraId="34EB9D69"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Male</w:t>
            </w:r>
          </w:p>
        </w:tc>
        <w:tc>
          <w:tcPr>
            <w:tcW w:w="2264" w:type="dxa"/>
            <w:noWrap/>
            <w:hideMark/>
          </w:tcPr>
          <w:p w14:paraId="4E028DAD"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83 (41.1)</w:t>
            </w:r>
          </w:p>
        </w:tc>
      </w:tr>
      <w:tr w:rsidR="003C2054" w:rsidRPr="00645D7B" w14:paraId="398BD4EA" w14:textId="77777777" w:rsidTr="00FA7A35">
        <w:trPr>
          <w:trHeight w:val="276"/>
        </w:trPr>
        <w:tc>
          <w:tcPr>
            <w:tcW w:w="3094" w:type="dxa"/>
            <w:noWrap/>
            <w:hideMark/>
          </w:tcPr>
          <w:p w14:paraId="0DBDDFFE"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4846D7AF"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Female</w:t>
            </w:r>
          </w:p>
        </w:tc>
        <w:tc>
          <w:tcPr>
            <w:tcW w:w="2264" w:type="dxa"/>
            <w:noWrap/>
            <w:hideMark/>
          </w:tcPr>
          <w:p w14:paraId="60CD2831"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116 (57.4)</w:t>
            </w:r>
          </w:p>
        </w:tc>
      </w:tr>
      <w:tr w:rsidR="003C2054" w:rsidRPr="00645D7B" w14:paraId="264A13E8" w14:textId="77777777" w:rsidTr="00FA7A35">
        <w:trPr>
          <w:trHeight w:val="276"/>
        </w:trPr>
        <w:tc>
          <w:tcPr>
            <w:tcW w:w="3094" w:type="dxa"/>
            <w:noWrap/>
            <w:hideMark/>
          </w:tcPr>
          <w:p w14:paraId="4473EB2D"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2E11F2D8"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Prefer not to disclose</w:t>
            </w:r>
          </w:p>
        </w:tc>
        <w:tc>
          <w:tcPr>
            <w:tcW w:w="2264" w:type="dxa"/>
            <w:noWrap/>
            <w:hideMark/>
          </w:tcPr>
          <w:p w14:paraId="019E059D"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3 (1.5)</w:t>
            </w:r>
          </w:p>
        </w:tc>
      </w:tr>
      <w:tr w:rsidR="003C2054" w:rsidRPr="00645D7B" w14:paraId="2CE0384F" w14:textId="77777777" w:rsidTr="00FA7A35">
        <w:trPr>
          <w:trHeight w:val="276"/>
        </w:trPr>
        <w:tc>
          <w:tcPr>
            <w:tcW w:w="3094" w:type="dxa"/>
            <w:noWrap/>
            <w:hideMark/>
          </w:tcPr>
          <w:p w14:paraId="02EA63C8"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Age group</w:t>
            </w:r>
          </w:p>
        </w:tc>
        <w:tc>
          <w:tcPr>
            <w:tcW w:w="3573" w:type="dxa"/>
            <w:noWrap/>
            <w:hideMark/>
          </w:tcPr>
          <w:p w14:paraId="7502ACFB"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&lt;30</w:t>
            </w:r>
          </w:p>
        </w:tc>
        <w:tc>
          <w:tcPr>
            <w:tcW w:w="2264" w:type="dxa"/>
            <w:noWrap/>
            <w:hideMark/>
          </w:tcPr>
          <w:p w14:paraId="02B32006"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0 (0.0)</w:t>
            </w:r>
          </w:p>
        </w:tc>
      </w:tr>
      <w:tr w:rsidR="003C2054" w:rsidRPr="00645D7B" w14:paraId="0AB7D0A6" w14:textId="77777777" w:rsidTr="00FA7A35">
        <w:trPr>
          <w:trHeight w:val="276"/>
        </w:trPr>
        <w:tc>
          <w:tcPr>
            <w:tcW w:w="3094" w:type="dxa"/>
            <w:noWrap/>
            <w:hideMark/>
          </w:tcPr>
          <w:p w14:paraId="30DCF609"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27D77EC1"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30-39</w:t>
            </w:r>
          </w:p>
        </w:tc>
        <w:tc>
          <w:tcPr>
            <w:tcW w:w="2264" w:type="dxa"/>
            <w:noWrap/>
            <w:hideMark/>
          </w:tcPr>
          <w:p w14:paraId="11267088"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111 (55.0)</w:t>
            </w:r>
          </w:p>
        </w:tc>
      </w:tr>
      <w:tr w:rsidR="003C2054" w:rsidRPr="00645D7B" w14:paraId="1E770E24" w14:textId="77777777" w:rsidTr="00FA7A35">
        <w:trPr>
          <w:trHeight w:val="276"/>
        </w:trPr>
        <w:tc>
          <w:tcPr>
            <w:tcW w:w="3094" w:type="dxa"/>
            <w:noWrap/>
            <w:hideMark/>
          </w:tcPr>
          <w:p w14:paraId="48CC2F78"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5C45ED27"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40-49</w:t>
            </w:r>
          </w:p>
        </w:tc>
        <w:tc>
          <w:tcPr>
            <w:tcW w:w="2264" w:type="dxa"/>
            <w:noWrap/>
            <w:hideMark/>
          </w:tcPr>
          <w:p w14:paraId="01A7D3DA"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54 (26.7)</w:t>
            </w:r>
          </w:p>
        </w:tc>
      </w:tr>
      <w:tr w:rsidR="003C2054" w:rsidRPr="00645D7B" w14:paraId="1A7E431A" w14:textId="77777777" w:rsidTr="00FA7A35">
        <w:trPr>
          <w:trHeight w:val="276"/>
        </w:trPr>
        <w:tc>
          <w:tcPr>
            <w:tcW w:w="3094" w:type="dxa"/>
            <w:noWrap/>
            <w:hideMark/>
          </w:tcPr>
          <w:p w14:paraId="58663A8B"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64E0C611"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50-59</w:t>
            </w:r>
          </w:p>
        </w:tc>
        <w:tc>
          <w:tcPr>
            <w:tcW w:w="2264" w:type="dxa"/>
            <w:noWrap/>
            <w:hideMark/>
          </w:tcPr>
          <w:p w14:paraId="1E1B5AFC"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37 (18.3)</w:t>
            </w:r>
          </w:p>
        </w:tc>
      </w:tr>
      <w:tr w:rsidR="003C2054" w:rsidRPr="00645D7B" w14:paraId="3A3CDAE1" w14:textId="77777777" w:rsidTr="00FA7A35">
        <w:trPr>
          <w:trHeight w:val="276"/>
        </w:trPr>
        <w:tc>
          <w:tcPr>
            <w:tcW w:w="3094" w:type="dxa"/>
            <w:noWrap/>
            <w:hideMark/>
          </w:tcPr>
          <w:p w14:paraId="78E0EFD8"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685E2289"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&gt;=60</w:t>
            </w:r>
          </w:p>
        </w:tc>
        <w:tc>
          <w:tcPr>
            <w:tcW w:w="2264" w:type="dxa"/>
            <w:noWrap/>
            <w:hideMark/>
          </w:tcPr>
          <w:p w14:paraId="7E5FBF5A"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0 (0.0)</w:t>
            </w:r>
          </w:p>
        </w:tc>
      </w:tr>
      <w:tr w:rsidR="003C2054" w:rsidRPr="00645D7B" w14:paraId="6DC445BF" w14:textId="77777777" w:rsidTr="00FA7A35">
        <w:trPr>
          <w:trHeight w:val="276"/>
        </w:trPr>
        <w:tc>
          <w:tcPr>
            <w:tcW w:w="3094" w:type="dxa"/>
            <w:noWrap/>
            <w:hideMark/>
          </w:tcPr>
          <w:p w14:paraId="4BA5B4E4"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Department</w:t>
            </w:r>
          </w:p>
        </w:tc>
        <w:tc>
          <w:tcPr>
            <w:tcW w:w="3573" w:type="dxa"/>
            <w:noWrap/>
            <w:hideMark/>
          </w:tcPr>
          <w:p w14:paraId="2F196FC9"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Rheumatology</w:t>
            </w:r>
          </w:p>
        </w:tc>
        <w:tc>
          <w:tcPr>
            <w:tcW w:w="2264" w:type="dxa"/>
            <w:noWrap/>
            <w:hideMark/>
          </w:tcPr>
          <w:p w14:paraId="7DE24D81"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83 (41.1)</w:t>
            </w:r>
          </w:p>
        </w:tc>
      </w:tr>
      <w:tr w:rsidR="003C2054" w:rsidRPr="00645D7B" w14:paraId="2A29E983" w14:textId="77777777" w:rsidTr="00FA7A35">
        <w:trPr>
          <w:trHeight w:val="276"/>
        </w:trPr>
        <w:tc>
          <w:tcPr>
            <w:tcW w:w="3094" w:type="dxa"/>
            <w:noWrap/>
            <w:hideMark/>
          </w:tcPr>
          <w:p w14:paraId="1DB4A235"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35BF7B6F"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Internal medicine, non-rheumatology</w:t>
            </w:r>
          </w:p>
        </w:tc>
        <w:tc>
          <w:tcPr>
            <w:tcW w:w="2264" w:type="dxa"/>
            <w:noWrap/>
            <w:hideMark/>
          </w:tcPr>
          <w:p w14:paraId="0DEF234D"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75 (37.1)</w:t>
            </w:r>
          </w:p>
        </w:tc>
      </w:tr>
      <w:tr w:rsidR="003C2054" w:rsidRPr="00645D7B" w14:paraId="361451B6" w14:textId="77777777" w:rsidTr="00FA7A35">
        <w:trPr>
          <w:trHeight w:val="276"/>
        </w:trPr>
        <w:tc>
          <w:tcPr>
            <w:tcW w:w="3094" w:type="dxa"/>
            <w:noWrap/>
            <w:hideMark/>
          </w:tcPr>
          <w:p w14:paraId="24F00455"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26E2FE22"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General medicine</w:t>
            </w:r>
          </w:p>
        </w:tc>
        <w:tc>
          <w:tcPr>
            <w:tcW w:w="2264" w:type="dxa"/>
            <w:noWrap/>
            <w:hideMark/>
          </w:tcPr>
          <w:p w14:paraId="6D3C1C3D"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11 (5.4)</w:t>
            </w:r>
          </w:p>
        </w:tc>
      </w:tr>
      <w:tr w:rsidR="003C2054" w:rsidRPr="00645D7B" w14:paraId="5FFACA77" w14:textId="77777777" w:rsidTr="00FA7A35">
        <w:trPr>
          <w:trHeight w:val="276"/>
        </w:trPr>
        <w:tc>
          <w:tcPr>
            <w:tcW w:w="3094" w:type="dxa"/>
            <w:noWrap/>
            <w:hideMark/>
          </w:tcPr>
          <w:p w14:paraId="448F8F34"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5275A0CC"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Other</w:t>
            </w:r>
          </w:p>
        </w:tc>
        <w:tc>
          <w:tcPr>
            <w:tcW w:w="2264" w:type="dxa"/>
            <w:noWrap/>
            <w:hideMark/>
          </w:tcPr>
          <w:p w14:paraId="05A682F6"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33 (16.3)</w:t>
            </w:r>
          </w:p>
        </w:tc>
      </w:tr>
      <w:tr w:rsidR="003C2054" w:rsidRPr="00645D7B" w14:paraId="498C9C32" w14:textId="77777777" w:rsidTr="00FA7A35">
        <w:trPr>
          <w:trHeight w:val="276"/>
        </w:trPr>
        <w:tc>
          <w:tcPr>
            <w:tcW w:w="3094" w:type="dxa"/>
            <w:noWrap/>
            <w:hideMark/>
          </w:tcPr>
          <w:p w14:paraId="333632CA"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Highest education</w:t>
            </w:r>
          </w:p>
        </w:tc>
        <w:tc>
          <w:tcPr>
            <w:tcW w:w="3573" w:type="dxa"/>
            <w:noWrap/>
            <w:hideMark/>
          </w:tcPr>
          <w:p w14:paraId="41473704"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Bachelor</w:t>
            </w:r>
          </w:p>
        </w:tc>
        <w:tc>
          <w:tcPr>
            <w:tcW w:w="2264" w:type="dxa"/>
            <w:noWrap/>
            <w:hideMark/>
          </w:tcPr>
          <w:p w14:paraId="641660CE"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49 (24.3)</w:t>
            </w:r>
          </w:p>
        </w:tc>
      </w:tr>
      <w:tr w:rsidR="003C2054" w:rsidRPr="00645D7B" w14:paraId="1932195B" w14:textId="77777777" w:rsidTr="00FA7A35">
        <w:trPr>
          <w:trHeight w:val="276"/>
        </w:trPr>
        <w:tc>
          <w:tcPr>
            <w:tcW w:w="3094" w:type="dxa"/>
            <w:noWrap/>
            <w:hideMark/>
          </w:tcPr>
          <w:p w14:paraId="32511071"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6AF09691"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Master</w:t>
            </w:r>
          </w:p>
        </w:tc>
        <w:tc>
          <w:tcPr>
            <w:tcW w:w="2264" w:type="dxa"/>
            <w:noWrap/>
            <w:hideMark/>
          </w:tcPr>
          <w:p w14:paraId="2ACD1883"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92 (45.5)</w:t>
            </w:r>
          </w:p>
        </w:tc>
      </w:tr>
      <w:tr w:rsidR="003C2054" w:rsidRPr="00645D7B" w14:paraId="571CC917" w14:textId="77777777" w:rsidTr="00FA7A35">
        <w:trPr>
          <w:trHeight w:val="276"/>
        </w:trPr>
        <w:tc>
          <w:tcPr>
            <w:tcW w:w="3094" w:type="dxa"/>
            <w:noWrap/>
            <w:hideMark/>
          </w:tcPr>
          <w:p w14:paraId="320381A4"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4B91324A"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Doctorate</w:t>
            </w:r>
          </w:p>
        </w:tc>
        <w:tc>
          <w:tcPr>
            <w:tcW w:w="2264" w:type="dxa"/>
            <w:noWrap/>
            <w:hideMark/>
          </w:tcPr>
          <w:p w14:paraId="1C432630"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61 (30.2)</w:t>
            </w:r>
          </w:p>
        </w:tc>
      </w:tr>
      <w:tr w:rsidR="003C2054" w:rsidRPr="00645D7B" w14:paraId="36F78AF6" w14:textId="77777777" w:rsidTr="00FA7A35">
        <w:trPr>
          <w:trHeight w:val="276"/>
        </w:trPr>
        <w:tc>
          <w:tcPr>
            <w:tcW w:w="3094" w:type="dxa"/>
            <w:noWrap/>
            <w:hideMark/>
          </w:tcPr>
          <w:p w14:paraId="065B6667"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Professional title</w:t>
            </w:r>
          </w:p>
        </w:tc>
        <w:tc>
          <w:tcPr>
            <w:tcW w:w="3573" w:type="dxa"/>
            <w:noWrap/>
            <w:hideMark/>
          </w:tcPr>
          <w:p w14:paraId="7B74383C"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Resident physician</w:t>
            </w:r>
          </w:p>
        </w:tc>
        <w:tc>
          <w:tcPr>
            <w:tcW w:w="2264" w:type="dxa"/>
            <w:noWrap/>
            <w:hideMark/>
          </w:tcPr>
          <w:p w14:paraId="349E4631"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34 (16.9)</w:t>
            </w:r>
          </w:p>
        </w:tc>
      </w:tr>
      <w:tr w:rsidR="003C2054" w:rsidRPr="00645D7B" w14:paraId="22D06DBF" w14:textId="77777777" w:rsidTr="00FA7A35">
        <w:trPr>
          <w:trHeight w:val="276"/>
        </w:trPr>
        <w:tc>
          <w:tcPr>
            <w:tcW w:w="3094" w:type="dxa"/>
            <w:noWrap/>
            <w:hideMark/>
          </w:tcPr>
          <w:p w14:paraId="519ACBF1"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3A8ECED1"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Attending physician</w:t>
            </w:r>
          </w:p>
        </w:tc>
        <w:tc>
          <w:tcPr>
            <w:tcW w:w="2264" w:type="dxa"/>
            <w:noWrap/>
            <w:hideMark/>
          </w:tcPr>
          <w:p w14:paraId="13A101D8"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73 (36.3)</w:t>
            </w:r>
          </w:p>
        </w:tc>
      </w:tr>
      <w:tr w:rsidR="003C2054" w:rsidRPr="00645D7B" w14:paraId="0654CA5E" w14:textId="77777777" w:rsidTr="00FA7A35">
        <w:trPr>
          <w:trHeight w:val="276"/>
        </w:trPr>
        <w:tc>
          <w:tcPr>
            <w:tcW w:w="3094" w:type="dxa"/>
            <w:noWrap/>
            <w:hideMark/>
          </w:tcPr>
          <w:p w14:paraId="310F0DA8"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298BB4A2"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Associate chief physician</w:t>
            </w:r>
          </w:p>
        </w:tc>
        <w:tc>
          <w:tcPr>
            <w:tcW w:w="2264" w:type="dxa"/>
            <w:noWrap/>
            <w:hideMark/>
          </w:tcPr>
          <w:p w14:paraId="6F9D7314"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36 (17.9)</w:t>
            </w:r>
          </w:p>
        </w:tc>
      </w:tr>
      <w:tr w:rsidR="003C2054" w:rsidRPr="00645D7B" w14:paraId="0E626DCD" w14:textId="77777777" w:rsidTr="00FA7A35">
        <w:trPr>
          <w:trHeight w:val="276"/>
        </w:trPr>
        <w:tc>
          <w:tcPr>
            <w:tcW w:w="3094" w:type="dxa"/>
            <w:noWrap/>
            <w:hideMark/>
          </w:tcPr>
          <w:p w14:paraId="7DE4349D"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36C35B47"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Chief physician</w:t>
            </w:r>
          </w:p>
        </w:tc>
        <w:tc>
          <w:tcPr>
            <w:tcW w:w="2264" w:type="dxa"/>
            <w:noWrap/>
            <w:hideMark/>
          </w:tcPr>
          <w:p w14:paraId="7F919086"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58 (28.9)</w:t>
            </w:r>
          </w:p>
        </w:tc>
      </w:tr>
      <w:tr w:rsidR="003C2054" w:rsidRPr="00645D7B" w14:paraId="4DE21643" w14:textId="77777777" w:rsidTr="00FA7A35">
        <w:trPr>
          <w:trHeight w:val="276"/>
        </w:trPr>
        <w:tc>
          <w:tcPr>
            <w:tcW w:w="3094" w:type="dxa"/>
            <w:noWrap/>
            <w:hideMark/>
          </w:tcPr>
          <w:p w14:paraId="711B1488"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Years in practice</w:t>
            </w:r>
          </w:p>
        </w:tc>
        <w:tc>
          <w:tcPr>
            <w:tcW w:w="3573" w:type="dxa"/>
            <w:noWrap/>
            <w:hideMark/>
          </w:tcPr>
          <w:p w14:paraId="36EF950D"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&lt;5</w:t>
            </w:r>
          </w:p>
        </w:tc>
        <w:tc>
          <w:tcPr>
            <w:tcW w:w="2264" w:type="dxa"/>
            <w:noWrap/>
            <w:hideMark/>
          </w:tcPr>
          <w:p w14:paraId="2035E014"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24 (11.9)</w:t>
            </w:r>
          </w:p>
        </w:tc>
      </w:tr>
      <w:tr w:rsidR="003C2054" w:rsidRPr="00645D7B" w14:paraId="69B79828" w14:textId="77777777" w:rsidTr="00FA7A35">
        <w:trPr>
          <w:trHeight w:val="276"/>
        </w:trPr>
        <w:tc>
          <w:tcPr>
            <w:tcW w:w="3094" w:type="dxa"/>
            <w:noWrap/>
            <w:hideMark/>
          </w:tcPr>
          <w:p w14:paraId="757CEE9D"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54DAFAEA" w14:textId="6DA9540E" w:rsidR="003C2054" w:rsidRPr="00645D7B" w:rsidRDefault="003C2054" w:rsidP="00FA7A35">
            <w:pPr>
              <w:widowControl/>
              <w:jc w:val="right"/>
              <w:rPr>
                <w:rFonts w:eastAsia="等线" w:cs="Times New Roman"/>
                <w:color w:val="000000"/>
                <w:kern w:val="0"/>
                <w:sz w:val="22"/>
              </w:rPr>
            </w:pPr>
            <w:r w:rsidRPr="00645D7B">
              <w:rPr>
                <w:rFonts w:eastAsia="等线" w:cs="Times New Roman"/>
                <w:color w:val="000000"/>
                <w:kern w:val="0"/>
                <w:sz w:val="22"/>
              </w:rPr>
              <w:t>5</w:t>
            </w:r>
            <w:r w:rsidR="003F4521">
              <w:rPr>
                <w:rFonts w:eastAsia="等线" w:cs="Times New Roman" w:hint="eastAsia"/>
                <w:color w:val="000000"/>
                <w:kern w:val="0"/>
                <w:sz w:val="22"/>
              </w:rPr>
              <w:t>-</w:t>
            </w:r>
            <w:r w:rsidRPr="00645D7B">
              <w:rPr>
                <w:rFonts w:eastAsia="等线" w:cs="Times New Roman"/>
                <w:color w:val="000000"/>
                <w:kern w:val="0"/>
                <w:sz w:val="22"/>
              </w:rPr>
              <w:t>10</w:t>
            </w:r>
          </w:p>
        </w:tc>
        <w:tc>
          <w:tcPr>
            <w:tcW w:w="2264" w:type="dxa"/>
            <w:noWrap/>
            <w:hideMark/>
          </w:tcPr>
          <w:p w14:paraId="6FD8C2D7"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61 (30.2)</w:t>
            </w:r>
          </w:p>
        </w:tc>
      </w:tr>
      <w:tr w:rsidR="003C2054" w:rsidRPr="00645D7B" w14:paraId="2EBDAED2" w14:textId="77777777" w:rsidTr="00FA7A35">
        <w:trPr>
          <w:trHeight w:val="276"/>
        </w:trPr>
        <w:tc>
          <w:tcPr>
            <w:tcW w:w="3094" w:type="dxa"/>
            <w:noWrap/>
            <w:hideMark/>
          </w:tcPr>
          <w:p w14:paraId="43551FA8"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33AC43CD" w14:textId="140A913A" w:rsidR="003C2054" w:rsidRPr="00645D7B" w:rsidRDefault="003C2054" w:rsidP="00FA7A35">
            <w:pPr>
              <w:widowControl/>
              <w:jc w:val="right"/>
              <w:rPr>
                <w:rFonts w:eastAsia="等线" w:cs="Times New Roman"/>
                <w:color w:val="000000"/>
                <w:kern w:val="0"/>
                <w:sz w:val="22"/>
              </w:rPr>
            </w:pPr>
            <w:r w:rsidRPr="00645D7B">
              <w:rPr>
                <w:rFonts w:eastAsia="等线" w:cs="Times New Roman"/>
                <w:color w:val="000000"/>
                <w:kern w:val="0"/>
                <w:sz w:val="22"/>
              </w:rPr>
              <w:t>11</w:t>
            </w:r>
            <w:r w:rsidR="003F4521">
              <w:rPr>
                <w:rFonts w:eastAsia="等线" w:cs="Times New Roman" w:hint="eastAsia"/>
                <w:color w:val="000000"/>
                <w:kern w:val="0"/>
                <w:sz w:val="22"/>
              </w:rPr>
              <w:t>-</w:t>
            </w:r>
            <w:r w:rsidRPr="00645D7B">
              <w:rPr>
                <w:rFonts w:eastAsia="等线" w:cs="Times New Roman"/>
                <w:color w:val="000000"/>
                <w:kern w:val="0"/>
                <w:sz w:val="22"/>
              </w:rPr>
              <w:t>20</w:t>
            </w:r>
          </w:p>
        </w:tc>
        <w:tc>
          <w:tcPr>
            <w:tcW w:w="2264" w:type="dxa"/>
            <w:noWrap/>
            <w:hideMark/>
          </w:tcPr>
          <w:p w14:paraId="72B1EC28"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53 (26.2)</w:t>
            </w:r>
          </w:p>
        </w:tc>
      </w:tr>
      <w:tr w:rsidR="003C2054" w:rsidRPr="00645D7B" w14:paraId="56F5A283" w14:textId="77777777" w:rsidTr="00FA7A35">
        <w:trPr>
          <w:trHeight w:val="276"/>
        </w:trPr>
        <w:tc>
          <w:tcPr>
            <w:tcW w:w="3094" w:type="dxa"/>
            <w:noWrap/>
            <w:hideMark/>
          </w:tcPr>
          <w:p w14:paraId="3DE88488"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1C3131DF"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&gt;20</w:t>
            </w:r>
          </w:p>
        </w:tc>
        <w:tc>
          <w:tcPr>
            <w:tcW w:w="2264" w:type="dxa"/>
            <w:noWrap/>
            <w:hideMark/>
          </w:tcPr>
          <w:p w14:paraId="2652F109"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64 (31.7)</w:t>
            </w:r>
          </w:p>
        </w:tc>
      </w:tr>
      <w:tr w:rsidR="003C2054" w:rsidRPr="00645D7B" w14:paraId="76951ACD" w14:textId="77777777" w:rsidTr="00FA7A35">
        <w:trPr>
          <w:trHeight w:val="276"/>
        </w:trPr>
        <w:tc>
          <w:tcPr>
            <w:tcW w:w="3094" w:type="dxa"/>
            <w:noWrap/>
            <w:hideMark/>
          </w:tcPr>
          <w:p w14:paraId="286856EE"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Hospital level</w:t>
            </w:r>
          </w:p>
        </w:tc>
        <w:tc>
          <w:tcPr>
            <w:tcW w:w="3573" w:type="dxa"/>
            <w:noWrap/>
            <w:hideMark/>
          </w:tcPr>
          <w:p w14:paraId="45DBAC0C"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Tertiary A</w:t>
            </w:r>
          </w:p>
        </w:tc>
        <w:tc>
          <w:tcPr>
            <w:tcW w:w="2264" w:type="dxa"/>
            <w:noWrap/>
            <w:hideMark/>
          </w:tcPr>
          <w:p w14:paraId="17641C0F"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175 (86.6)</w:t>
            </w:r>
          </w:p>
        </w:tc>
      </w:tr>
      <w:tr w:rsidR="003C2054" w:rsidRPr="00645D7B" w14:paraId="7D5C0DC7" w14:textId="77777777" w:rsidTr="00FA7A35">
        <w:trPr>
          <w:trHeight w:val="276"/>
        </w:trPr>
        <w:tc>
          <w:tcPr>
            <w:tcW w:w="3094" w:type="dxa"/>
            <w:noWrap/>
            <w:hideMark/>
          </w:tcPr>
          <w:p w14:paraId="513222E2"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0B710E0C"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Tertiary B</w:t>
            </w:r>
          </w:p>
        </w:tc>
        <w:tc>
          <w:tcPr>
            <w:tcW w:w="2264" w:type="dxa"/>
            <w:noWrap/>
            <w:hideMark/>
          </w:tcPr>
          <w:p w14:paraId="0B34A2F3"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7 (3.5)</w:t>
            </w:r>
          </w:p>
        </w:tc>
      </w:tr>
      <w:tr w:rsidR="003C2054" w:rsidRPr="00645D7B" w14:paraId="066F90E7" w14:textId="77777777" w:rsidTr="00FA7A35">
        <w:trPr>
          <w:trHeight w:val="276"/>
        </w:trPr>
        <w:tc>
          <w:tcPr>
            <w:tcW w:w="3094" w:type="dxa"/>
            <w:noWrap/>
            <w:hideMark/>
          </w:tcPr>
          <w:p w14:paraId="4F8992C3"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6BD02C43"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Secondary hospital</w:t>
            </w:r>
          </w:p>
        </w:tc>
        <w:tc>
          <w:tcPr>
            <w:tcW w:w="2264" w:type="dxa"/>
            <w:noWrap/>
            <w:hideMark/>
          </w:tcPr>
          <w:p w14:paraId="2C3EF5FC"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20 (9.9)</w:t>
            </w:r>
          </w:p>
        </w:tc>
      </w:tr>
      <w:tr w:rsidR="003C2054" w:rsidRPr="00645D7B" w14:paraId="66F70F91" w14:textId="77777777" w:rsidTr="00FA7A35">
        <w:trPr>
          <w:trHeight w:val="276"/>
        </w:trPr>
        <w:tc>
          <w:tcPr>
            <w:tcW w:w="3094" w:type="dxa"/>
            <w:noWrap/>
            <w:hideMark/>
          </w:tcPr>
          <w:p w14:paraId="0116A4EB"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Region</w:t>
            </w:r>
          </w:p>
        </w:tc>
        <w:tc>
          <w:tcPr>
            <w:tcW w:w="3573" w:type="dxa"/>
            <w:noWrap/>
            <w:hideMark/>
          </w:tcPr>
          <w:p w14:paraId="5CC18B49"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East</w:t>
            </w:r>
          </w:p>
        </w:tc>
        <w:tc>
          <w:tcPr>
            <w:tcW w:w="2264" w:type="dxa"/>
            <w:noWrap/>
            <w:hideMark/>
          </w:tcPr>
          <w:p w14:paraId="0809470A"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85 (42.1)</w:t>
            </w:r>
          </w:p>
        </w:tc>
      </w:tr>
      <w:tr w:rsidR="003C2054" w:rsidRPr="00645D7B" w14:paraId="0A1B0C89" w14:textId="77777777" w:rsidTr="00FA7A35">
        <w:trPr>
          <w:trHeight w:val="276"/>
        </w:trPr>
        <w:tc>
          <w:tcPr>
            <w:tcW w:w="3094" w:type="dxa"/>
            <w:noWrap/>
            <w:hideMark/>
          </w:tcPr>
          <w:p w14:paraId="2F1D0BB6"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08571D63"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Central</w:t>
            </w:r>
          </w:p>
        </w:tc>
        <w:tc>
          <w:tcPr>
            <w:tcW w:w="2264" w:type="dxa"/>
            <w:noWrap/>
            <w:hideMark/>
          </w:tcPr>
          <w:p w14:paraId="110F1165"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37 (18.3)</w:t>
            </w:r>
          </w:p>
        </w:tc>
      </w:tr>
      <w:tr w:rsidR="003C2054" w:rsidRPr="00645D7B" w14:paraId="7E115AED" w14:textId="77777777" w:rsidTr="00FA7A35">
        <w:trPr>
          <w:trHeight w:val="276"/>
        </w:trPr>
        <w:tc>
          <w:tcPr>
            <w:tcW w:w="3094" w:type="dxa"/>
            <w:noWrap/>
            <w:hideMark/>
          </w:tcPr>
          <w:p w14:paraId="4ABCAA20"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42D77CF8"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West</w:t>
            </w:r>
          </w:p>
        </w:tc>
        <w:tc>
          <w:tcPr>
            <w:tcW w:w="2264" w:type="dxa"/>
            <w:noWrap/>
            <w:hideMark/>
          </w:tcPr>
          <w:p w14:paraId="5FE20CC9"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17 (8.4)</w:t>
            </w:r>
          </w:p>
        </w:tc>
      </w:tr>
      <w:tr w:rsidR="003C2054" w:rsidRPr="00645D7B" w14:paraId="364C88F5" w14:textId="77777777" w:rsidTr="00FA7A35">
        <w:trPr>
          <w:trHeight w:val="276"/>
        </w:trPr>
        <w:tc>
          <w:tcPr>
            <w:tcW w:w="3094" w:type="dxa"/>
            <w:noWrap/>
            <w:hideMark/>
          </w:tcPr>
          <w:p w14:paraId="7ADA231D"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1D821AD4"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Northeast</w:t>
            </w:r>
          </w:p>
        </w:tc>
        <w:tc>
          <w:tcPr>
            <w:tcW w:w="2264" w:type="dxa"/>
            <w:noWrap/>
            <w:hideMark/>
          </w:tcPr>
          <w:p w14:paraId="234C0445"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63 (31.2)</w:t>
            </w:r>
          </w:p>
        </w:tc>
      </w:tr>
      <w:tr w:rsidR="003C2054" w:rsidRPr="00645D7B" w14:paraId="73E67B8A" w14:textId="77777777" w:rsidTr="00FA7A35">
        <w:trPr>
          <w:trHeight w:val="276"/>
        </w:trPr>
        <w:tc>
          <w:tcPr>
            <w:tcW w:w="3094" w:type="dxa"/>
            <w:noWrap/>
            <w:hideMark/>
          </w:tcPr>
          <w:p w14:paraId="312EFA31"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Annual RA patient volume</w:t>
            </w:r>
          </w:p>
        </w:tc>
        <w:tc>
          <w:tcPr>
            <w:tcW w:w="3573" w:type="dxa"/>
            <w:noWrap/>
            <w:hideMark/>
          </w:tcPr>
          <w:p w14:paraId="724105CF"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&lt;=50</w:t>
            </w:r>
          </w:p>
        </w:tc>
        <w:tc>
          <w:tcPr>
            <w:tcW w:w="2264" w:type="dxa"/>
            <w:noWrap/>
            <w:hideMark/>
          </w:tcPr>
          <w:p w14:paraId="4388D880"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19 (9.4)</w:t>
            </w:r>
          </w:p>
        </w:tc>
      </w:tr>
      <w:tr w:rsidR="003C2054" w:rsidRPr="00645D7B" w14:paraId="0FDFF2C4" w14:textId="77777777" w:rsidTr="00FA7A35">
        <w:trPr>
          <w:trHeight w:val="276"/>
        </w:trPr>
        <w:tc>
          <w:tcPr>
            <w:tcW w:w="3094" w:type="dxa"/>
            <w:noWrap/>
            <w:hideMark/>
          </w:tcPr>
          <w:p w14:paraId="6C1E638D"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64DE1354"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51-100</w:t>
            </w:r>
          </w:p>
        </w:tc>
        <w:tc>
          <w:tcPr>
            <w:tcW w:w="2264" w:type="dxa"/>
            <w:noWrap/>
            <w:hideMark/>
          </w:tcPr>
          <w:p w14:paraId="36986824"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36 (17.8)</w:t>
            </w:r>
          </w:p>
        </w:tc>
      </w:tr>
      <w:tr w:rsidR="003C2054" w:rsidRPr="00645D7B" w14:paraId="1CE0334C" w14:textId="77777777" w:rsidTr="00FA7A35">
        <w:trPr>
          <w:trHeight w:val="276"/>
        </w:trPr>
        <w:tc>
          <w:tcPr>
            <w:tcW w:w="3094" w:type="dxa"/>
            <w:noWrap/>
            <w:hideMark/>
          </w:tcPr>
          <w:p w14:paraId="1D70F9D6"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122D35CD"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101-200</w:t>
            </w:r>
          </w:p>
        </w:tc>
        <w:tc>
          <w:tcPr>
            <w:tcW w:w="2264" w:type="dxa"/>
            <w:noWrap/>
            <w:hideMark/>
          </w:tcPr>
          <w:p w14:paraId="6B75AFA5"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70 (34.7)</w:t>
            </w:r>
          </w:p>
        </w:tc>
      </w:tr>
      <w:tr w:rsidR="003C2054" w:rsidRPr="00645D7B" w14:paraId="39738F02" w14:textId="77777777" w:rsidTr="00FA7A35">
        <w:trPr>
          <w:trHeight w:val="276"/>
        </w:trPr>
        <w:tc>
          <w:tcPr>
            <w:tcW w:w="3094" w:type="dxa"/>
            <w:noWrap/>
            <w:hideMark/>
          </w:tcPr>
          <w:p w14:paraId="601CA2E1"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45A17B63"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&gt;200</w:t>
            </w:r>
          </w:p>
        </w:tc>
        <w:tc>
          <w:tcPr>
            <w:tcW w:w="2264" w:type="dxa"/>
            <w:noWrap/>
            <w:hideMark/>
          </w:tcPr>
          <w:p w14:paraId="5F076326"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77 (38.1)</w:t>
            </w:r>
          </w:p>
        </w:tc>
      </w:tr>
      <w:tr w:rsidR="003C2054" w:rsidRPr="00645D7B" w14:paraId="65FD2A5D" w14:textId="77777777" w:rsidTr="00FA7A35">
        <w:trPr>
          <w:trHeight w:val="276"/>
        </w:trPr>
        <w:tc>
          <w:tcPr>
            <w:tcW w:w="3094" w:type="dxa"/>
            <w:noWrap/>
            <w:hideMark/>
          </w:tcPr>
          <w:p w14:paraId="21421047"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Biosimilar training frequency</w:t>
            </w:r>
          </w:p>
        </w:tc>
        <w:tc>
          <w:tcPr>
            <w:tcW w:w="3573" w:type="dxa"/>
            <w:noWrap/>
            <w:hideMark/>
          </w:tcPr>
          <w:p w14:paraId="7E773161"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Never</w:t>
            </w:r>
          </w:p>
        </w:tc>
        <w:tc>
          <w:tcPr>
            <w:tcW w:w="2264" w:type="dxa"/>
            <w:noWrap/>
            <w:hideMark/>
          </w:tcPr>
          <w:p w14:paraId="3DAE6248"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1 (0.5)</w:t>
            </w:r>
          </w:p>
        </w:tc>
      </w:tr>
      <w:tr w:rsidR="003C2054" w:rsidRPr="00645D7B" w14:paraId="26C91A35" w14:textId="77777777" w:rsidTr="00FA7A35">
        <w:trPr>
          <w:trHeight w:val="276"/>
        </w:trPr>
        <w:tc>
          <w:tcPr>
            <w:tcW w:w="3094" w:type="dxa"/>
            <w:noWrap/>
            <w:hideMark/>
          </w:tcPr>
          <w:p w14:paraId="3C4F1331"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40A01DBC"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1-2 times</w:t>
            </w:r>
          </w:p>
        </w:tc>
        <w:tc>
          <w:tcPr>
            <w:tcW w:w="2264" w:type="dxa"/>
            <w:noWrap/>
            <w:hideMark/>
          </w:tcPr>
          <w:p w14:paraId="59A19474"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26 (12.9)</w:t>
            </w:r>
          </w:p>
        </w:tc>
      </w:tr>
      <w:tr w:rsidR="003C2054" w:rsidRPr="00645D7B" w14:paraId="3E31BAC4" w14:textId="77777777" w:rsidTr="00FA7A35">
        <w:trPr>
          <w:trHeight w:val="276"/>
        </w:trPr>
        <w:tc>
          <w:tcPr>
            <w:tcW w:w="3094" w:type="dxa"/>
            <w:noWrap/>
            <w:hideMark/>
          </w:tcPr>
          <w:p w14:paraId="0BFF2498"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562B9DAE"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3-5 times</w:t>
            </w:r>
          </w:p>
        </w:tc>
        <w:tc>
          <w:tcPr>
            <w:tcW w:w="2264" w:type="dxa"/>
            <w:noWrap/>
            <w:hideMark/>
          </w:tcPr>
          <w:p w14:paraId="624CFA78"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50 (24.8)</w:t>
            </w:r>
          </w:p>
        </w:tc>
      </w:tr>
      <w:tr w:rsidR="003C2054" w:rsidRPr="00645D7B" w14:paraId="1CB4B686" w14:textId="77777777" w:rsidTr="00FA7A35">
        <w:trPr>
          <w:trHeight w:val="276"/>
        </w:trPr>
        <w:tc>
          <w:tcPr>
            <w:tcW w:w="3094" w:type="dxa"/>
            <w:noWrap/>
            <w:hideMark/>
          </w:tcPr>
          <w:p w14:paraId="14D6BDA2"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0D35ADD2"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&gt;5 times</w:t>
            </w:r>
          </w:p>
        </w:tc>
        <w:tc>
          <w:tcPr>
            <w:tcW w:w="2264" w:type="dxa"/>
            <w:noWrap/>
            <w:hideMark/>
          </w:tcPr>
          <w:p w14:paraId="5F5A0D15"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125 (61.9)</w:t>
            </w:r>
          </w:p>
        </w:tc>
      </w:tr>
      <w:tr w:rsidR="003C2054" w:rsidRPr="00645D7B" w14:paraId="24C15113" w14:textId="77777777" w:rsidTr="00FA7A35">
        <w:trPr>
          <w:trHeight w:val="276"/>
        </w:trPr>
        <w:tc>
          <w:tcPr>
            <w:tcW w:w="3094" w:type="dxa"/>
            <w:noWrap/>
            <w:hideMark/>
          </w:tcPr>
          <w:p w14:paraId="5BCAE8A0"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Perceived helpfulness of training</w:t>
            </w:r>
          </w:p>
        </w:tc>
        <w:tc>
          <w:tcPr>
            <w:tcW w:w="3573" w:type="dxa"/>
            <w:noWrap/>
            <w:hideMark/>
          </w:tcPr>
          <w:p w14:paraId="124B39F0"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Very helpful</w:t>
            </w:r>
          </w:p>
        </w:tc>
        <w:tc>
          <w:tcPr>
            <w:tcW w:w="2264" w:type="dxa"/>
            <w:noWrap/>
            <w:hideMark/>
          </w:tcPr>
          <w:p w14:paraId="6AFA70AB"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94 (46.5)</w:t>
            </w:r>
          </w:p>
        </w:tc>
      </w:tr>
      <w:tr w:rsidR="003C2054" w:rsidRPr="00645D7B" w14:paraId="2AED015B" w14:textId="77777777" w:rsidTr="00FA7A35">
        <w:trPr>
          <w:trHeight w:val="276"/>
        </w:trPr>
        <w:tc>
          <w:tcPr>
            <w:tcW w:w="3094" w:type="dxa"/>
            <w:noWrap/>
            <w:hideMark/>
          </w:tcPr>
          <w:p w14:paraId="2750109C"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4599E7D2"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Helpful</w:t>
            </w:r>
          </w:p>
        </w:tc>
        <w:tc>
          <w:tcPr>
            <w:tcW w:w="2264" w:type="dxa"/>
            <w:noWrap/>
            <w:hideMark/>
          </w:tcPr>
          <w:p w14:paraId="3C5F3124"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86 (42.6)</w:t>
            </w:r>
          </w:p>
        </w:tc>
      </w:tr>
      <w:tr w:rsidR="003C2054" w:rsidRPr="00645D7B" w14:paraId="5FEFF786" w14:textId="77777777" w:rsidTr="00FA7A35">
        <w:trPr>
          <w:trHeight w:val="276"/>
        </w:trPr>
        <w:tc>
          <w:tcPr>
            <w:tcW w:w="3094" w:type="dxa"/>
            <w:noWrap/>
            <w:hideMark/>
          </w:tcPr>
          <w:p w14:paraId="6159BA47"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4A4C14CD"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Neutral</w:t>
            </w:r>
          </w:p>
        </w:tc>
        <w:tc>
          <w:tcPr>
            <w:tcW w:w="2264" w:type="dxa"/>
            <w:noWrap/>
            <w:hideMark/>
          </w:tcPr>
          <w:p w14:paraId="63C6E299"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19 (9.4)</w:t>
            </w:r>
          </w:p>
        </w:tc>
      </w:tr>
      <w:tr w:rsidR="003C2054" w:rsidRPr="00645D7B" w14:paraId="1DB5F9BA" w14:textId="77777777" w:rsidTr="00FA7A35">
        <w:trPr>
          <w:trHeight w:val="276"/>
        </w:trPr>
        <w:tc>
          <w:tcPr>
            <w:tcW w:w="3094" w:type="dxa"/>
            <w:noWrap/>
            <w:hideMark/>
          </w:tcPr>
          <w:p w14:paraId="13F7B7C2"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21514C6B"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Less helpful</w:t>
            </w:r>
          </w:p>
        </w:tc>
        <w:tc>
          <w:tcPr>
            <w:tcW w:w="2264" w:type="dxa"/>
            <w:noWrap/>
            <w:hideMark/>
          </w:tcPr>
          <w:p w14:paraId="46ED6E87"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3 (1.5)</w:t>
            </w:r>
          </w:p>
        </w:tc>
      </w:tr>
      <w:tr w:rsidR="003C2054" w:rsidRPr="00645D7B" w14:paraId="2FB377C8" w14:textId="77777777" w:rsidTr="00FA7A35">
        <w:trPr>
          <w:trHeight w:val="276"/>
        </w:trPr>
        <w:tc>
          <w:tcPr>
            <w:tcW w:w="3094" w:type="dxa"/>
            <w:noWrap/>
            <w:hideMark/>
          </w:tcPr>
          <w:p w14:paraId="693A0F63" w14:textId="77777777" w:rsidR="003C2054" w:rsidRPr="00645D7B" w:rsidRDefault="003C2054" w:rsidP="00FA7A35">
            <w:pPr>
              <w:widowControl/>
              <w:jc w:val="left"/>
              <w:rPr>
                <w:rFonts w:eastAsia="等线" w:cs="Times New Roman"/>
                <w:color w:val="000000"/>
                <w:kern w:val="0"/>
                <w:sz w:val="22"/>
              </w:rPr>
            </w:pPr>
          </w:p>
        </w:tc>
        <w:tc>
          <w:tcPr>
            <w:tcW w:w="3573" w:type="dxa"/>
            <w:noWrap/>
            <w:hideMark/>
          </w:tcPr>
          <w:p w14:paraId="736D395B"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Not helpful</w:t>
            </w:r>
          </w:p>
        </w:tc>
        <w:tc>
          <w:tcPr>
            <w:tcW w:w="2264" w:type="dxa"/>
            <w:noWrap/>
            <w:hideMark/>
          </w:tcPr>
          <w:p w14:paraId="403E4395" w14:textId="77777777" w:rsidR="003C2054" w:rsidRPr="00645D7B" w:rsidRDefault="003C2054" w:rsidP="00FA7A35">
            <w:pPr>
              <w:widowControl/>
              <w:jc w:val="left"/>
              <w:rPr>
                <w:rFonts w:eastAsia="等线" w:cs="Times New Roman"/>
                <w:color w:val="000000"/>
                <w:kern w:val="0"/>
                <w:sz w:val="22"/>
              </w:rPr>
            </w:pPr>
            <w:r w:rsidRPr="00645D7B">
              <w:rPr>
                <w:rFonts w:eastAsia="等线" w:cs="Times New Roman"/>
                <w:color w:val="000000"/>
                <w:kern w:val="0"/>
                <w:sz w:val="22"/>
              </w:rPr>
              <w:t>0 (0.0)</w:t>
            </w:r>
          </w:p>
        </w:tc>
      </w:tr>
    </w:tbl>
    <w:p w14:paraId="13070688" w14:textId="5A36B602" w:rsidR="003C2054" w:rsidRPr="00B15D17" w:rsidRDefault="003C2054" w:rsidP="00B15D17">
      <w:pPr>
        <w:spacing w:line="360" w:lineRule="auto"/>
        <w:rPr>
          <w:rFonts w:ascii="Times New Roman" w:hAnsi="Times New Roman" w:cs="Times New Roman"/>
          <w:szCs w:val="21"/>
        </w:rPr>
      </w:pPr>
      <w:r w:rsidRPr="00B15D17">
        <w:rPr>
          <w:rFonts w:ascii="Times New Roman" w:hAnsi="Times New Roman" w:cs="Times New Roman"/>
          <w:szCs w:val="21"/>
        </w:rPr>
        <w:t>Data are presented as n (%), based on all valid questionnaire responses (N=202). Percentages may not sum to 100% because of rounding. RA denotes rheumatoid arthritis. Because the survey used convenience sampling and respondents were predominantly from tertiary hospitals, the sample should not be considered nationally representative.</w:t>
      </w:r>
    </w:p>
    <w:p w14:paraId="7FF14AB5" w14:textId="77777777" w:rsidR="003C2054" w:rsidRDefault="003C2054">
      <w:pPr>
        <w:widowControl/>
        <w:jc w:val="left"/>
        <w:rPr>
          <w:rFonts w:ascii="Times New Roman" w:hAnsi="Times New Roman" w:cs="Times New Roman"/>
        </w:rPr>
      </w:pPr>
      <w:r>
        <w:rPr>
          <w:rFonts w:ascii="Times New Roman" w:hAnsi="Times New Roman" w:cs="Times New Roman"/>
        </w:rPr>
        <w:br w:type="page"/>
      </w:r>
    </w:p>
    <w:p w14:paraId="7FA67835" w14:textId="3849B35F" w:rsidR="003C2054" w:rsidRPr="003C2054" w:rsidRDefault="003C2054" w:rsidP="003C2054">
      <w:pPr>
        <w:rPr>
          <w:rFonts w:ascii="Times New Roman" w:hAnsi="Times New Roman" w:cs="Times New Roman"/>
          <w:b/>
          <w:bCs/>
        </w:rPr>
      </w:pPr>
      <w:r w:rsidRPr="003C2054">
        <w:rPr>
          <w:rFonts w:ascii="Times New Roman" w:hAnsi="Times New Roman" w:cs="Times New Roman"/>
          <w:b/>
          <w:bCs/>
        </w:rPr>
        <w:lastRenderedPageBreak/>
        <w:t>Supplementary Figure S</w:t>
      </w:r>
      <w:r w:rsidR="00F3194D">
        <w:rPr>
          <w:rFonts w:ascii="Times New Roman" w:hAnsi="Times New Roman" w:cs="Times New Roman" w:hint="eastAsia"/>
          <w:b/>
          <w:bCs/>
        </w:rPr>
        <w:t>5</w:t>
      </w:r>
      <w:r w:rsidRPr="003C2054">
        <w:rPr>
          <w:rFonts w:ascii="Times New Roman" w:hAnsi="Times New Roman" w:cs="Times New Roman"/>
          <w:b/>
          <w:bCs/>
        </w:rPr>
        <w:t xml:space="preserve">. Sales volumes of methotrexate, </w:t>
      </w:r>
      <w:proofErr w:type="spellStart"/>
      <w:r w:rsidRPr="003C2054">
        <w:rPr>
          <w:rFonts w:ascii="Times New Roman" w:hAnsi="Times New Roman" w:cs="Times New Roman"/>
          <w:b/>
          <w:bCs/>
        </w:rPr>
        <w:t>rhTNFR:Fc</w:t>
      </w:r>
      <w:proofErr w:type="spellEnd"/>
      <w:r w:rsidRPr="003C2054">
        <w:rPr>
          <w:rFonts w:ascii="Times New Roman" w:hAnsi="Times New Roman" w:cs="Times New Roman"/>
          <w:b/>
          <w:bCs/>
        </w:rPr>
        <w:t>/</w:t>
      </w:r>
      <w:proofErr w:type="spellStart"/>
      <w:r w:rsidRPr="003C2054">
        <w:rPr>
          <w:rFonts w:ascii="Times New Roman" w:hAnsi="Times New Roman" w:cs="Times New Roman"/>
          <w:b/>
          <w:bCs/>
        </w:rPr>
        <w:t>Yisaipu</w:t>
      </w:r>
      <w:proofErr w:type="spellEnd"/>
      <w:r w:rsidRPr="003C2054">
        <w:rPr>
          <w:rFonts w:ascii="Times New Roman" w:hAnsi="Times New Roman" w:cs="Times New Roman"/>
          <w:b/>
          <w:bCs/>
        </w:rPr>
        <w:t>-related products, and originator etanercept injection by distribution channel, 2021–2024</w:t>
      </w:r>
    </w:p>
    <w:p w14:paraId="305E948C" w14:textId="77777777" w:rsidR="003C2054" w:rsidRDefault="003C2054" w:rsidP="003C2054">
      <w:pPr>
        <w:rPr>
          <w:rFonts w:ascii="Times New Roman" w:hAnsi="Times New Roman" w:cs="Times New Roman"/>
        </w:rPr>
      </w:pPr>
      <w:r>
        <w:rPr>
          <w:rFonts w:ascii="Times New Roman" w:hAnsi="Times New Roman" w:cs="Times New Roman"/>
          <w:noProof/>
        </w:rPr>
        <w:drawing>
          <wp:inline distT="0" distB="0" distL="0" distR="0" wp14:anchorId="4AEBDE70" wp14:editId="55C147C7">
            <wp:extent cx="5265420" cy="4434840"/>
            <wp:effectExtent l="0" t="0" r="0" b="3810"/>
            <wp:docPr id="15865425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5420" cy="4434840"/>
                    </a:xfrm>
                    <a:prstGeom prst="rect">
                      <a:avLst/>
                    </a:prstGeom>
                    <a:noFill/>
                    <a:ln>
                      <a:noFill/>
                    </a:ln>
                  </pic:spPr>
                </pic:pic>
              </a:graphicData>
            </a:graphic>
          </wp:inline>
        </w:drawing>
      </w:r>
    </w:p>
    <w:p w14:paraId="37758C1C" w14:textId="77777777" w:rsidR="003C2054" w:rsidRPr="00B15D17" w:rsidRDefault="003C2054" w:rsidP="00B15D17">
      <w:pPr>
        <w:spacing w:line="360" w:lineRule="auto"/>
        <w:rPr>
          <w:rFonts w:ascii="Times New Roman" w:hAnsi="Times New Roman" w:cs="Times New Roman"/>
          <w:szCs w:val="21"/>
        </w:rPr>
      </w:pPr>
      <w:r w:rsidRPr="00B15D17">
        <w:rPr>
          <w:rFonts w:ascii="Times New Roman" w:hAnsi="Times New Roman" w:cs="Times New Roman"/>
          <w:szCs w:val="21"/>
        </w:rPr>
        <w:t xml:space="preserve">The figure shows annual sales volumes of methotrexate (MTX), </w:t>
      </w:r>
      <w:proofErr w:type="spellStart"/>
      <w:r w:rsidRPr="00B15D17">
        <w:rPr>
          <w:rFonts w:ascii="Times New Roman" w:hAnsi="Times New Roman" w:cs="Times New Roman"/>
          <w:szCs w:val="21"/>
        </w:rPr>
        <w:t>rhTNFR:Fc</w:t>
      </w:r>
      <w:proofErr w:type="spellEnd"/>
      <w:r w:rsidRPr="00B15D17">
        <w:rPr>
          <w:rFonts w:ascii="Times New Roman" w:hAnsi="Times New Roman" w:cs="Times New Roman"/>
          <w:szCs w:val="21"/>
        </w:rPr>
        <w:t>/</w:t>
      </w:r>
      <w:proofErr w:type="spellStart"/>
      <w:r w:rsidRPr="00B15D17">
        <w:rPr>
          <w:rFonts w:ascii="Times New Roman" w:hAnsi="Times New Roman" w:cs="Times New Roman"/>
          <w:szCs w:val="21"/>
        </w:rPr>
        <w:t>Yisaipu</w:t>
      </w:r>
      <w:proofErr w:type="spellEnd"/>
      <w:r w:rsidRPr="00B15D17">
        <w:rPr>
          <w:rFonts w:ascii="Times New Roman" w:hAnsi="Times New Roman" w:cs="Times New Roman"/>
          <w:szCs w:val="21"/>
        </w:rPr>
        <w:t xml:space="preserve">-related tracer products, and originator etanercept injection (Enbrel; reference product) across hospital, retail pharmacy, and online channels from 2021 to 2024. Sales volume was measured in minimum formulation units recorded in the database. MTX was used as the conventional first-line therapy tracer in the rheumatoid arthritis pathway, whereas </w:t>
      </w:r>
      <w:proofErr w:type="spellStart"/>
      <w:r w:rsidRPr="00B15D17">
        <w:rPr>
          <w:rFonts w:ascii="Times New Roman" w:hAnsi="Times New Roman" w:cs="Times New Roman"/>
          <w:szCs w:val="21"/>
        </w:rPr>
        <w:t>rhTNFR:Fc</w:t>
      </w:r>
      <w:proofErr w:type="spellEnd"/>
      <w:r w:rsidRPr="00B15D17">
        <w:rPr>
          <w:rFonts w:ascii="Times New Roman" w:hAnsi="Times New Roman" w:cs="Times New Roman"/>
          <w:szCs w:val="21"/>
        </w:rPr>
        <w:t>/</w:t>
      </w:r>
      <w:proofErr w:type="spellStart"/>
      <w:r w:rsidRPr="00B15D17">
        <w:rPr>
          <w:rFonts w:ascii="Times New Roman" w:hAnsi="Times New Roman" w:cs="Times New Roman"/>
          <w:szCs w:val="21"/>
        </w:rPr>
        <w:t>Yisaipu</w:t>
      </w:r>
      <w:proofErr w:type="spellEnd"/>
      <w:r w:rsidRPr="00B15D17">
        <w:rPr>
          <w:rFonts w:ascii="Times New Roman" w:hAnsi="Times New Roman" w:cs="Times New Roman"/>
          <w:szCs w:val="21"/>
        </w:rPr>
        <w:t>-related products and originator etanercept injection were used as biological therapy tracers. The analysis started in 2021 because originator etanercept was included in the National Reimbursement Drug List from March 2021 onwards. The figure is intended to describe the relative sales-volume structure of basic and escalation therapies in the rheumatoid arthritis tracer pathway and should not be interpreted as patient counts, prescription counts, treatment episodes, or direct substitution rates between biosimilar and originator products</w:t>
      </w:r>
    </w:p>
    <w:p w14:paraId="338CF26D" w14:textId="77777777" w:rsidR="003C2054" w:rsidRDefault="003C2054" w:rsidP="003C2054">
      <w:pPr>
        <w:widowControl/>
        <w:jc w:val="left"/>
        <w:rPr>
          <w:rFonts w:ascii="Times New Roman" w:hAnsi="Times New Roman" w:cs="Times New Roman"/>
        </w:rPr>
      </w:pPr>
      <w:r>
        <w:rPr>
          <w:rFonts w:ascii="Times New Roman" w:hAnsi="Times New Roman" w:cs="Times New Roman"/>
        </w:rPr>
        <w:br w:type="page"/>
      </w:r>
    </w:p>
    <w:p w14:paraId="413D1AC9" w14:textId="1FB8A8B3" w:rsidR="003C2054" w:rsidRPr="003C2054" w:rsidRDefault="003C2054" w:rsidP="003C2054">
      <w:pPr>
        <w:rPr>
          <w:rFonts w:ascii="Times New Roman" w:hAnsi="Times New Roman" w:cs="Times New Roman"/>
          <w:b/>
          <w:bCs/>
        </w:rPr>
      </w:pPr>
      <w:r w:rsidRPr="003C2054">
        <w:rPr>
          <w:rFonts w:ascii="Times New Roman" w:hAnsi="Times New Roman" w:cs="Times New Roman"/>
          <w:b/>
          <w:bCs/>
        </w:rPr>
        <w:lastRenderedPageBreak/>
        <w:t>Supplementary Figure S</w:t>
      </w:r>
      <w:r w:rsidR="00F3194D">
        <w:rPr>
          <w:rFonts w:ascii="Times New Roman" w:hAnsi="Times New Roman" w:cs="Times New Roman" w:hint="eastAsia"/>
          <w:b/>
          <w:bCs/>
        </w:rPr>
        <w:t>6</w:t>
      </w:r>
      <w:r w:rsidRPr="003C2054">
        <w:rPr>
          <w:rFonts w:ascii="Times New Roman" w:hAnsi="Times New Roman" w:cs="Times New Roman"/>
          <w:b/>
          <w:bCs/>
        </w:rPr>
        <w:t>. Ranked perceived importance of prescribing decision factors in the rheumatoid arthritis tracer pathway</w:t>
      </w:r>
    </w:p>
    <w:p w14:paraId="60396D08" w14:textId="77777777" w:rsidR="003C2054" w:rsidRDefault="003C2054" w:rsidP="003C2054">
      <w:pPr>
        <w:rPr>
          <w:rFonts w:ascii="Times New Roman" w:hAnsi="Times New Roman" w:cs="Times New Roman"/>
        </w:rPr>
      </w:pPr>
      <w:r w:rsidRPr="00575E33">
        <w:rPr>
          <w:rFonts w:ascii="Times New Roman" w:hAnsi="Times New Roman" w:cs="Times New Roman"/>
          <w:noProof/>
        </w:rPr>
        <w:drawing>
          <wp:inline distT="0" distB="0" distL="0" distR="0" wp14:anchorId="72EB7601" wp14:editId="4E1B06F6">
            <wp:extent cx="5273040" cy="3444240"/>
            <wp:effectExtent l="0" t="0" r="3810" b="3810"/>
            <wp:docPr id="174196135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3040" cy="3444240"/>
                    </a:xfrm>
                    <a:prstGeom prst="rect">
                      <a:avLst/>
                    </a:prstGeom>
                    <a:noFill/>
                    <a:ln>
                      <a:noFill/>
                    </a:ln>
                  </pic:spPr>
                </pic:pic>
              </a:graphicData>
            </a:graphic>
          </wp:inline>
        </w:drawing>
      </w:r>
    </w:p>
    <w:p w14:paraId="1618A7D9" w14:textId="09441AF1" w:rsidR="00CC17CD" w:rsidRDefault="003C2054" w:rsidP="00B15D17">
      <w:pPr>
        <w:spacing w:line="360" w:lineRule="auto"/>
        <w:rPr>
          <w:rFonts w:ascii="Times New Roman" w:hAnsi="Times New Roman" w:cs="Times New Roman"/>
          <w:szCs w:val="21"/>
        </w:rPr>
      </w:pPr>
      <w:r w:rsidRPr="00B15D17">
        <w:rPr>
          <w:rFonts w:ascii="Times New Roman" w:hAnsi="Times New Roman" w:cs="Times New Roman"/>
          <w:szCs w:val="21"/>
        </w:rPr>
        <w:t>The figure shows the mean perceived importance ratings of prescribing decision factors reported in the clinician questionnaire survey. Ratings ranged from 0 to 100, with higher scores indicating greater perceived importance for prescribing decisions. Bars are ranked in descending order of mean rating. Patient affordability, efficacy evidence, department performance assessment, safety record, peer prescribing habits, hospital formulary access, and reimbursement level received relatively high ratings. Because ratings were generally high across factors, indicating a ceiling effect, the figure should be interpreted mainly in terms of relative ranking rather than as evidence that a single factor is absolutely important or unimportant. The survey used convenience sampling and was intended as an exploratory prescribing-level supplement to the rheumatoid arthritis tracer pathway; findings should not be generalized to all therapeutic areas or healthcare settings.</w:t>
      </w:r>
    </w:p>
    <w:p w14:paraId="14CA49EC" w14:textId="77777777" w:rsidR="00CC17CD" w:rsidRDefault="00CC17CD">
      <w:pPr>
        <w:widowControl/>
        <w:jc w:val="left"/>
        <w:rPr>
          <w:rFonts w:ascii="Times New Roman" w:hAnsi="Times New Roman" w:cs="Times New Roman"/>
          <w:szCs w:val="21"/>
        </w:rPr>
      </w:pPr>
      <w:r>
        <w:rPr>
          <w:rFonts w:ascii="Times New Roman" w:hAnsi="Times New Roman" w:cs="Times New Roman"/>
          <w:szCs w:val="21"/>
        </w:rPr>
        <w:br w:type="page"/>
      </w:r>
    </w:p>
    <w:p w14:paraId="0BE09D76" w14:textId="77777777" w:rsidR="00CC17CD" w:rsidRDefault="00CC17CD" w:rsidP="00CC17CD">
      <w:pPr>
        <w:pStyle w:val="TableTitle"/>
      </w:pPr>
      <w:r w:rsidRPr="003F652A">
        <w:lastRenderedPageBreak/>
        <w:t xml:space="preserve">STROBE </w:t>
      </w:r>
      <w:r>
        <w:t>S</w:t>
      </w:r>
      <w:r w:rsidRPr="003F652A">
        <w:t xml:space="preserve">tatement—checklist of items that should be </w:t>
      </w:r>
      <w:r>
        <w:t xml:space="preserve">included </w:t>
      </w:r>
      <w:r w:rsidRPr="003F652A">
        <w:t>in r</w:t>
      </w:r>
      <w:r>
        <w:t>eports of observational studies</w:t>
      </w:r>
    </w:p>
    <w:tbl>
      <w:tblPr>
        <w:tblStyle w:val="af2"/>
        <w:tblW w:w="10173" w:type="dxa"/>
        <w:jc w:val="center"/>
        <w:tblLook w:val="04A0" w:firstRow="1" w:lastRow="0" w:firstColumn="1" w:lastColumn="0" w:noHBand="0" w:noVBand="1"/>
      </w:tblPr>
      <w:tblGrid>
        <w:gridCol w:w="650"/>
        <w:gridCol w:w="2036"/>
        <w:gridCol w:w="3100"/>
        <w:gridCol w:w="4387"/>
      </w:tblGrid>
      <w:tr w:rsidR="00CC17CD" w:rsidRPr="00CC36EA" w14:paraId="6263C3B9" w14:textId="77777777" w:rsidTr="00536296">
        <w:trPr>
          <w:jc w:val="center"/>
        </w:trPr>
        <w:tc>
          <w:tcPr>
            <w:tcW w:w="650" w:type="dxa"/>
          </w:tcPr>
          <w:p w14:paraId="43057589" w14:textId="77777777" w:rsidR="00CC17CD" w:rsidRPr="00CC36EA" w:rsidRDefault="00CC17CD" w:rsidP="00536296">
            <w:pPr>
              <w:rPr>
                <w:rFonts w:ascii="Times New Roman" w:hAnsi="Times New Roman"/>
                <w:sz w:val="21"/>
                <w:szCs w:val="21"/>
              </w:rPr>
            </w:pPr>
            <w:r w:rsidRPr="00CC36EA">
              <w:rPr>
                <w:rFonts w:ascii="Times New Roman" w:hAnsi="Times New Roman"/>
                <w:b/>
                <w:sz w:val="21"/>
                <w:szCs w:val="21"/>
              </w:rPr>
              <w:t>Item</w:t>
            </w:r>
          </w:p>
        </w:tc>
        <w:tc>
          <w:tcPr>
            <w:tcW w:w="2036" w:type="dxa"/>
          </w:tcPr>
          <w:p w14:paraId="437ACF0D" w14:textId="77777777" w:rsidR="00CC17CD" w:rsidRPr="00CC36EA" w:rsidRDefault="00CC17CD" w:rsidP="00536296">
            <w:pPr>
              <w:rPr>
                <w:rFonts w:ascii="Times New Roman" w:hAnsi="Times New Roman"/>
                <w:sz w:val="21"/>
                <w:szCs w:val="21"/>
              </w:rPr>
            </w:pPr>
            <w:r w:rsidRPr="00CC36EA">
              <w:rPr>
                <w:rFonts w:ascii="Times New Roman" w:hAnsi="Times New Roman"/>
                <w:b/>
                <w:sz w:val="21"/>
                <w:szCs w:val="21"/>
              </w:rPr>
              <w:t>STROBE section</w:t>
            </w:r>
          </w:p>
        </w:tc>
        <w:tc>
          <w:tcPr>
            <w:tcW w:w="3100" w:type="dxa"/>
          </w:tcPr>
          <w:p w14:paraId="59660E19" w14:textId="77777777" w:rsidR="00CC17CD" w:rsidRPr="00CC36EA" w:rsidRDefault="00CC17CD" w:rsidP="00536296">
            <w:pPr>
              <w:rPr>
                <w:rFonts w:ascii="Times New Roman" w:hAnsi="Times New Roman"/>
                <w:sz w:val="21"/>
                <w:szCs w:val="21"/>
              </w:rPr>
            </w:pPr>
            <w:r w:rsidRPr="00CC36EA">
              <w:rPr>
                <w:rFonts w:ascii="Times New Roman" w:hAnsi="Times New Roman"/>
                <w:b/>
                <w:sz w:val="21"/>
                <w:szCs w:val="21"/>
              </w:rPr>
              <w:t>Recommendation</w:t>
            </w:r>
          </w:p>
        </w:tc>
        <w:tc>
          <w:tcPr>
            <w:tcW w:w="4387" w:type="dxa"/>
          </w:tcPr>
          <w:p w14:paraId="3B37AFE5" w14:textId="77777777" w:rsidR="00CC17CD" w:rsidRPr="00CC36EA" w:rsidRDefault="00CC17CD" w:rsidP="00536296">
            <w:pPr>
              <w:rPr>
                <w:rFonts w:ascii="Times New Roman" w:hAnsi="Times New Roman"/>
                <w:sz w:val="21"/>
                <w:szCs w:val="21"/>
              </w:rPr>
            </w:pPr>
            <w:r w:rsidRPr="00CC36EA">
              <w:rPr>
                <w:rFonts w:ascii="Times New Roman" w:hAnsi="Times New Roman"/>
                <w:b/>
                <w:sz w:val="21"/>
                <w:szCs w:val="21"/>
              </w:rPr>
              <w:t>Location in manuscript</w:t>
            </w:r>
          </w:p>
        </w:tc>
      </w:tr>
      <w:tr w:rsidR="00CC17CD" w:rsidRPr="00CC36EA" w14:paraId="630C9F4C" w14:textId="77777777" w:rsidTr="00536296">
        <w:trPr>
          <w:jc w:val="center"/>
        </w:trPr>
        <w:tc>
          <w:tcPr>
            <w:tcW w:w="650" w:type="dxa"/>
          </w:tcPr>
          <w:p w14:paraId="285880C0"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1a</w:t>
            </w:r>
          </w:p>
        </w:tc>
        <w:tc>
          <w:tcPr>
            <w:tcW w:w="2036" w:type="dxa"/>
          </w:tcPr>
          <w:p w14:paraId="665018D8"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Title and abstract</w:t>
            </w:r>
          </w:p>
        </w:tc>
        <w:tc>
          <w:tcPr>
            <w:tcW w:w="3100" w:type="dxa"/>
          </w:tcPr>
          <w:p w14:paraId="29D6012B"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Indicate the study’s design with a commonly used term in the title or the abstract.</w:t>
            </w:r>
          </w:p>
        </w:tc>
        <w:tc>
          <w:tcPr>
            <w:tcW w:w="4387" w:type="dxa"/>
          </w:tcPr>
          <w:p w14:paraId="11F79B47"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Abstract: Methods</w:t>
            </w:r>
          </w:p>
        </w:tc>
      </w:tr>
      <w:tr w:rsidR="00CC17CD" w:rsidRPr="00CC36EA" w14:paraId="14EC4096" w14:textId="77777777" w:rsidTr="00536296">
        <w:trPr>
          <w:jc w:val="center"/>
        </w:trPr>
        <w:tc>
          <w:tcPr>
            <w:tcW w:w="650" w:type="dxa"/>
          </w:tcPr>
          <w:p w14:paraId="764822C3"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1b</w:t>
            </w:r>
          </w:p>
        </w:tc>
        <w:tc>
          <w:tcPr>
            <w:tcW w:w="2036" w:type="dxa"/>
          </w:tcPr>
          <w:p w14:paraId="486A9238"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Title and abstract</w:t>
            </w:r>
          </w:p>
        </w:tc>
        <w:tc>
          <w:tcPr>
            <w:tcW w:w="3100" w:type="dxa"/>
          </w:tcPr>
          <w:p w14:paraId="3B784017"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Provide in the abstract an informative and balanced summary of what was done and what was found.</w:t>
            </w:r>
          </w:p>
        </w:tc>
        <w:tc>
          <w:tcPr>
            <w:tcW w:w="4387" w:type="dxa"/>
          </w:tcPr>
          <w:p w14:paraId="0F3F92B7"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Abstract: Background, Methods, Results, Conclusions</w:t>
            </w:r>
          </w:p>
        </w:tc>
      </w:tr>
      <w:tr w:rsidR="00CC17CD" w:rsidRPr="00CC36EA" w14:paraId="4CF7A691" w14:textId="77777777" w:rsidTr="00536296">
        <w:trPr>
          <w:jc w:val="center"/>
        </w:trPr>
        <w:tc>
          <w:tcPr>
            <w:tcW w:w="650" w:type="dxa"/>
          </w:tcPr>
          <w:p w14:paraId="4676869F"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2</w:t>
            </w:r>
          </w:p>
        </w:tc>
        <w:tc>
          <w:tcPr>
            <w:tcW w:w="2036" w:type="dxa"/>
          </w:tcPr>
          <w:p w14:paraId="4C174A38"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Introduction: Background/rationale</w:t>
            </w:r>
          </w:p>
        </w:tc>
        <w:tc>
          <w:tcPr>
            <w:tcW w:w="3100" w:type="dxa"/>
          </w:tcPr>
          <w:p w14:paraId="3487129F"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Explain the scientific background and rationale for the investigation being reported.</w:t>
            </w:r>
          </w:p>
        </w:tc>
        <w:tc>
          <w:tcPr>
            <w:tcW w:w="4387" w:type="dxa"/>
          </w:tcPr>
          <w:p w14:paraId="3CE23428"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Introduction</w:t>
            </w:r>
          </w:p>
        </w:tc>
      </w:tr>
      <w:tr w:rsidR="00CC17CD" w:rsidRPr="00CC36EA" w14:paraId="685F0F2D" w14:textId="77777777" w:rsidTr="00536296">
        <w:trPr>
          <w:jc w:val="center"/>
        </w:trPr>
        <w:tc>
          <w:tcPr>
            <w:tcW w:w="650" w:type="dxa"/>
          </w:tcPr>
          <w:p w14:paraId="53BDDFD1"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3</w:t>
            </w:r>
          </w:p>
        </w:tc>
        <w:tc>
          <w:tcPr>
            <w:tcW w:w="2036" w:type="dxa"/>
          </w:tcPr>
          <w:p w14:paraId="36403848"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Introduction: Objectives</w:t>
            </w:r>
          </w:p>
        </w:tc>
        <w:tc>
          <w:tcPr>
            <w:tcW w:w="3100" w:type="dxa"/>
          </w:tcPr>
          <w:p w14:paraId="58BBF673"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State specific objectives, including any prespecified hypotheses.</w:t>
            </w:r>
          </w:p>
        </w:tc>
        <w:tc>
          <w:tcPr>
            <w:tcW w:w="4387" w:type="dxa"/>
          </w:tcPr>
          <w:p w14:paraId="3DEA80E1"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End of Introduction</w:t>
            </w:r>
          </w:p>
        </w:tc>
      </w:tr>
      <w:tr w:rsidR="00CC17CD" w:rsidRPr="00CC36EA" w14:paraId="48178E04" w14:textId="77777777" w:rsidTr="00536296">
        <w:trPr>
          <w:jc w:val="center"/>
        </w:trPr>
        <w:tc>
          <w:tcPr>
            <w:tcW w:w="650" w:type="dxa"/>
          </w:tcPr>
          <w:p w14:paraId="21D63094"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4</w:t>
            </w:r>
          </w:p>
        </w:tc>
        <w:tc>
          <w:tcPr>
            <w:tcW w:w="2036" w:type="dxa"/>
          </w:tcPr>
          <w:p w14:paraId="31126194"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Study design</w:t>
            </w:r>
          </w:p>
        </w:tc>
        <w:tc>
          <w:tcPr>
            <w:tcW w:w="3100" w:type="dxa"/>
          </w:tcPr>
          <w:p w14:paraId="29362D01"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Present key elements of study design early in the paper.</w:t>
            </w:r>
          </w:p>
        </w:tc>
        <w:tc>
          <w:tcPr>
            <w:tcW w:w="4387" w:type="dxa"/>
          </w:tcPr>
          <w:p w14:paraId="1E6948B8"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Study design and data sources</w:t>
            </w:r>
          </w:p>
        </w:tc>
      </w:tr>
      <w:tr w:rsidR="00CC17CD" w:rsidRPr="00CC36EA" w14:paraId="3EC5DC58" w14:textId="77777777" w:rsidTr="00536296">
        <w:trPr>
          <w:jc w:val="center"/>
        </w:trPr>
        <w:tc>
          <w:tcPr>
            <w:tcW w:w="650" w:type="dxa"/>
          </w:tcPr>
          <w:p w14:paraId="4AAFFAC1"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5</w:t>
            </w:r>
          </w:p>
        </w:tc>
        <w:tc>
          <w:tcPr>
            <w:tcW w:w="2036" w:type="dxa"/>
          </w:tcPr>
          <w:p w14:paraId="5C33AD01"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Setting</w:t>
            </w:r>
          </w:p>
        </w:tc>
        <w:tc>
          <w:tcPr>
            <w:tcW w:w="3100" w:type="dxa"/>
          </w:tcPr>
          <w:p w14:paraId="4580F8F9"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Describe the setting, locations, and relevant dates, including periods of recruitment, exposure, follow-up, and data collection.</w:t>
            </w:r>
          </w:p>
        </w:tc>
        <w:tc>
          <w:tcPr>
            <w:tcW w:w="4387" w:type="dxa"/>
          </w:tcPr>
          <w:p w14:paraId="7FDC3ABA"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Study design and data sources; Rheumatoid arthritis tracer analysis; Physician survey</w:t>
            </w:r>
          </w:p>
        </w:tc>
      </w:tr>
      <w:tr w:rsidR="00CC17CD" w:rsidRPr="00CC36EA" w14:paraId="17204971" w14:textId="77777777" w:rsidTr="00536296">
        <w:trPr>
          <w:jc w:val="center"/>
        </w:trPr>
        <w:tc>
          <w:tcPr>
            <w:tcW w:w="650" w:type="dxa"/>
          </w:tcPr>
          <w:p w14:paraId="47A2EFAA"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6a</w:t>
            </w:r>
          </w:p>
        </w:tc>
        <w:tc>
          <w:tcPr>
            <w:tcW w:w="2036" w:type="dxa"/>
          </w:tcPr>
          <w:p w14:paraId="50D1227A"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Participants</w:t>
            </w:r>
          </w:p>
        </w:tc>
        <w:tc>
          <w:tcPr>
            <w:tcW w:w="3100" w:type="dxa"/>
          </w:tcPr>
          <w:p w14:paraId="0224745F"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Cross-sectional study—Give the eligibility criteria, and the sources and methods of selection of participants.</w:t>
            </w:r>
          </w:p>
        </w:tc>
        <w:tc>
          <w:tcPr>
            <w:tcW w:w="4387" w:type="dxa"/>
          </w:tcPr>
          <w:p w14:paraId="4B911004"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Inclusion and exclusion criteria; Physician survey</w:t>
            </w:r>
          </w:p>
        </w:tc>
      </w:tr>
      <w:tr w:rsidR="00CC17CD" w:rsidRPr="00CC36EA" w14:paraId="63430A0C" w14:textId="77777777" w:rsidTr="00536296">
        <w:trPr>
          <w:jc w:val="center"/>
        </w:trPr>
        <w:tc>
          <w:tcPr>
            <w:tcW w:w="650" w:type="dxa"/>
          </w:tcPr>
          <w:p w14:paraId="4CAE3251"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6b</w:t>
            </w:r>
          </w:p>
        </w:tc>
        <w:tc>
          <w:tcPr>
            <w:tcW w:w="2036" w:type="dxa"/>
          </w:tcPr>
          <w:p w14:paraId="51CD2517"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Participants</w:t>
            </w:r>
          </w:p>
        </w:tc>
        <w:tc>
          <w:tcPr>
            <w:tcW w:w="3100" w:type="dxa"/>
          </w:tcPr>
          <w:p w14:paraId="4614D120"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For matched studies, give matching criteria and number of exposed and unexposed.</w:t>
            </w:r>
          </w:p>
        </w:tc>
        <w:tc>
          <w:tcPr>
            <w:tcW w:w="4387" w:type="dxa"/>
          </w:tcPr>
          <w:p w14:paraId="27A79670"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Not applicable</w:t>
            </w:r>
          </w:p>
        </w:tc>
      </w:tr>
      <w:tr w:rsidR="00CC17CD" w:rsidRPr="00CC36EA" w14:paraId="194FE50F" w14:textId="77777777" w:rsidTr="00536296">
        <w:trPr>
          <w:jc w:val="center"/>
        </w:trPr>
        <w:tc>
          <w:tcPr>
            <w:tcW w:w="650" w:type="dxa"/>
          </w:tcPr>
          <w:p w14:paraId="1DE55384"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7</w:t>
            </w:r>
          </w:p>
        </w:tc>
        <w:tc>
          <w:tcPr>
            <w:tcW w:w="2036" w:type="dxa"/>
          </w:tcPr>
          <w:p w14:paraId="01C1AAAD"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Variables</w:t>
            </w:r>
          </w:p>
        </w:tc>
        <w:tc>
          <w:tcPr>
            <w:tcW w:w="3100" w:type="dxa"/>
          </w:tcPr>
          <w:p w14:paraId="7DBD5967"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Clearly define all outcomes, exposures, predictors, potential confounders, and effect modifiers. Give diagnostic criteria, if applicable.</w:t>
            </w:r>
          </w:p>
        </w:tc>
        <w:tc>
          <w:tcPr>
            <w:tcW w:w="4387" w:type="dxa"/>
          </w:tcPr>
          <w:p w14:paraId="641BCB37"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Unit of analysis and variable definitions; Uptake measure; Comparable drug forms and observed supply structure</w:t>
            </w:r>
          </w:p>
        </w:tc>
      </w:tr>
      <w:tr w:rsidR="00CC17CD" w:rsidRPr="00CC36EA" w14:paraId="7EA9B5A4" w14:textId="77777777" w:rsidTr="00536296">
        <w:trPr>
          <w:jc w:val="center"/>
        </w:trPr>
        <w:tc>
          <w:tcPr>
            <w:tcW w:w="650" w:type="dxa"/>
          </w:tcPr>
          <w:p w14:paraId="29132F64"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8</w:t>
            </w:r>
          </w:p>
        </w:tc>
        <w:tc>
          <w:tcPr>
            <w:tcW w:w="2036" w:type="dxa"/>
          </w:tcPr>
          <w:p w14:paraId="600DD8FB"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Data sources/measurement</w:t>
            </w:r>
          </w:p>
        </w:tc>
        <w:tc>
          <w:tcPr>
            <w:tcW w:w="3100" w:type="dxa"/>
          </w:tcPr>
          <w:p w14:paraId="0E4A043B"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For each variable of interest, give sources of data and details of methods of assessment. Describe comparability of assessment methods if there is more than one group.</w:t>
            </w:r>
          </w:p>
        </w:tc>
        <w:tc>
          <w:tcPr>
            <w:tcW w:w="4387" w:type="dxa"/>
          </w:tcPr>
          <w:p w14:paraId="48910641"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Study design and data sources; Unit of analysis and variable definitions; Uptake measure</w:t>
            </w:r>
          </w:p>
        </w:tc>
      </w:tr>
      <w:tr w:rsidR="00CC17CD" w:rsidRPr="00CC36EA" w14:paraId="4D641C57" w14:textId="77777777" w:rsidTr="00536296">
        <w:trPr>
          <w:jc w:val="center"/>
        </w:trPr>
        <w:tc>
          <w:tcPr>
            <w:tcW w:w="650" w:type="dxa"/>
          </w:tcPr>
          <w:p w14:paraId="4FAA4019"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9</w:t>
            </w:r>
          </w:p>
        </w:tc>
        <w:tc>
          <w:tcPr>
            <w:tcW w:w="2036" w:type="dxa"/>
          </w:tcPr>
          <w:p w14:paraId="5169F219"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Bias</w:t>
            </w:r>
          </w:p>
        </w:tc>
        <w:tc>
          <w:tcPr>
            <w:tcW w:w="3100" w:type="dxa"/>
          </w:tcPr>
          <w:p w14:paraId="68797BF3"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Describe any efforts to address potential sources of bias.</w:t>
            </w:r>
          </w:p>
        </w:tc>
        <w:tc>
          <w:tcPr>
            <w:tcW w:w="4387" w:type="dxa"/>
          </w:tcPr>
          <w:p w14:paraId="17951570"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Inclusion and exclusion criteria; Comparable drug forms; Statistical analysis; Discussion: Limitations</w:t>
            </w:r>
          </w:p>
        </w:tc>
      </w:tr>
      <w:tr w:rsidR="00CC17CD" w:rsidRPr="00CC36EA" w14:paraId="689CECEA" w14:textId="77777777" w:rsidTr="00536296">
        <w:trPr>
          <w:jc w:val="center"/>
        </w:trPr>
        <w:tc>
          <w:tcPr>
            <w:tcW w:w="650" w:type="dxa"/>
          </w:tcPr>
          <w:p w14:paraId="14A0075B"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10</w:t>
            </w:r>
          </w:p>
        </w:tc>
        <w:tc>
          <w:tcPr>
            <w:tcW w:w="2036" w:type="dxa"/>
          </w:tcPr>
          <w:p w14:paraId="5A46E80D"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Study size</w:t>
            </w:r>
          </w:p>
        </w:tc>
        <w:tc>
          <w:tcPr>
            <w:tcW w:w="3100" w:type="dxa"/>
          </w:tcPr>
          <w:p w14:paraId="6D412B30"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 xml:space="preserve">Explain how the study size was </w:t>
            </w:r>
            <w:r w:rsidRPr="00CC36EA">
              <w:rPr>
                <w:rFonts w:ascii="Times New Roman" w:eastAsia="Arial" w:hAnsi="Times New Roman"/>
                <w:sz w:val="21"/>
                <w:szCs w:val="21"/>
              </w:rPr>
              <w:lastRenderedPageBreak/>
              <w:t>arrived at.</w:t>
            </w:r>
          </w:p>
        </w:tc>
        <w:tc>
          <w:tcPr>
            <w:tcW w:w="4387" w:type="dxa"/>
          </w:tcPr>
          <w:p w14:paraId="7822C2ED"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lastRenderedPageBreak/>
              <w:t xml:space="preserve">Methods: Inclusion and exclusion criteria; </w:t>
            </w:r>
            <w:r w:rsidRPr="00CC36EA">
              <w:rPr>
                <w:rFonts w:ascii="Times New Roman" w:eastAsia="Arial" w:hAnsi="Times New Roman"/>
                <w:sz w:val="21"/>
                <w:szCs w:val="21"/>
              </w:rPr>
              <w:lastRenderedPageBreak/>
              <w:t>Results: Observed supply structure; Physician survey</w:t>
            </w:r>
          </w:p>
        </w:tc>
      </w:tr>
      <w:tr w:rsidR="00CC17CD" w:rsidRPr="00CC36EA" w14:paraId="50BE235D" w14:textId="77777777" w:rsidTr="00536296">
        <w:trPr>
          <w:jc w:val="center"/>
        </w:trPr>
        <w:tc>
          <w:tcPr>
            <w:tcW w:w="650" w:type="dxa"/>
          </w:tcPr>
          <w:p w14:paraId="6739BFB9"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lastRenderedPageBreak/>
              <w:t>11</w:t>
            </w:r>
          </w:p>
        </w:tc>
        <w:tc>
          <w:tcPr>
            <w:tcW w:w="2036" w:type="dxa"/>
          </w:tcPr>
          <w:p w14:paraId="2D7CF992"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Quantitative variables</w:t>
            </w:r>
          </w:p>
        </w:tc>
        <w:tc>
          <w:tcPr>
            <w:tcW w:w="3100" w:type="dxa"/>
          </w:tcPr>
          <w:p w14:paraId="2E7F15F4"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Explain how quantitative variables were handled in the analyses. If applicable, describe which groupings were chosen and why.</w:t>
            </w:r>
          </w:p>
        </w:tc>
        <w:tc>
          <w:tcPr>
            <w:tcW w:w="4387" w:type="dxa"/>
          </w:tcPr>
          <w:p w14:paraId="5C7A0928"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Uptake measure; Statistical analysis</w:t>
            </w:r>
          </w:p>
        </w:tc>
      </w:tr>
      <w:tr w:rsidR="00CC17CD" w:rsidRPr="00CC36EA" w14:paraId="7075D277" w14:textId="77777777" w:rsidTr="00536296">
        <w:trPr>
          <w:jc w:val="center"/>
        </w:trPr>
        <w:tc>
          <w:tcPr>
            <w:tcW w:w="650" w:type="dxa"/>
          </w:tcPr>
          <w:p w14:paraId="295F8CD7"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12a</w:t>
            </w:r>
          </w:p>
        </w:tc>
        <w:tc>
          <w:tcPr>
            <w:tcW w:w="2036" w:type="dxa"/>
          </w:tcPr>
          <w:p w14:paraId="51AAD6B7"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Statistical methods</w:t>
            </w:r>
          </w:p>
        </w:tc>
        <w:tc>
          <w:tcPr>
            <w:tcW w:w="3100" w:type="dxa"/>
          </w:tcPr>
          <w:p w14:paraId="21FC16AE"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Describe all statistical methods, including those used to control for confounding.</w:t>
            </w:r>
          </w:p>
        </w:tc>
        <w:tc>
          <w:tcPr>
            <w:tcW w:w="4387" w:type="dxa"/>
          </w:tcPr>
          <w:p w14:paraId="5EFECFC6"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Statistical analysis</w:t>
            </w:r>
          </w:p>
        </w:tc>
      </w:tr>
      <w:tr w:rsidR="00CC17CD" w:rsidRPr="00CC36EA" w14:paraId="7B87EE54" w14:textId="77777777" w:rsidTr="00536296">
        <w:trPr>
          <w:jc w:val="center"/>
        </w:trPr>
        <w:tc>
          <w:tcPr>
            <w:tcW w:w="650" w:type="dxa"/>
          </w:tcPr>
          <w:p w14:paraId="731822E0"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12b</w:t>
            </w:r>
          </w:p>
        </w:tc>
        <w:tc>
          <w:tcPr>
            <w:tcW w:w="2036" w:type="dxa"/>
          </w:tcPr>
          <w:p w14:paraId="7FFEF11E"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Statistical methods</w:t>
            </w:r>
          </w:p>
        </w:tc>
        <w:tc>
          <w:tcPr>
            <w:tcW w:w="3100" w:type="dxa"/>
          </w:tcPr>
          <w:p w14:paraId="727514F1"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Describe any methods used to examine subgroups and interactions.</w:t>
            </w:r>
          </w:p>
        </w:tc>
        <w:tc>
          <w:tcPr>
            <w:tcW w:w="4387" w:type="dxa"/>
          </w:tcPr>
          <w:p w14:paraId="10B143EF"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Statistical analysis; Comparable drug forms and observed supply structure</w:t>
            </w:r>
          </w:p>
        </w:tc>
      </w:tr>
      <w:tr w:rsidR="00CC17CD" w:rsidRPr="00CC36EA" w14:paraId="6FFAE986" w14:textId="77777777" w:rsidTr="00536296">
        <w:trPr>
          <w:jc w:val="center"/>
        </w:trPr>
        <w:tc>
          <w:tcPr>
            <w:tcW w:w="650" w:type="dxa"/>
          </w:tcPr>
          <w:p w14:paraId="28CF09CC"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12c</w:t>
            </w:r>
          </w:p>
        </w:tc>
        <w:tc>
          <w:tcPr>
            <w:tcW w:w="2036" w:type="dxa"/>
          </w:tcPr>
          <w:p w14:paraId="29B7A590"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Statistical methods</w:t>
            </w:r>
          </w:p>
        </w:tc>
        <w:tc>
          <w:tcPr>
            <w:tcW w:w="3100" w:type="dxa"/>
          </w:tcPr>
          <w:p w14:paraId="05573F9C"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Explain how missing data were addressed.</w:t>
            </w:r>
          </w:p>
        </w:tc>
        <w:tc>
          <w:tcPr>
            <w:tcW w:w="4387" w:type="dxa"/>
          </w:tcPr>
          <w:p w14:paraId="7F300348"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Inclusion and exclusion criteria; Statistical analysis</w:t>
            </w:r>
          </w:p>
        </w:tc>
      </w:tr>
      <w:tr w:rsidR="00CC17CD" w:rsidRPr="00CC36EA" w14:paraId="257CF442" w14:textId="77777777" w:rsidTr="00536296">
        <w:trPr>
          <w:jc w:val="center"/>
        </w:trPr>
        <w:tc>
          <w:tcPr>
            <w:tcW w:w="650" w:type="dxa"/>
          </w:tcPr>
          <w:p w14:paraId="07DDAA00"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12d</w:t>
            </w:r>
          </w:p>
        </w:tc>
        <w:tc>
          <w:tcPr>
            <w:tcW w:w="2036" w:type="dxa"/>
          </w:tcPr>
          <w:p w14:paraId="5DCF8044"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Statistical methods</w:t>
            </w:r>
          </w:p>
        </w:tc>
        <w:tc>
          <w:tcPr>
            <w:tcW w:w="3100" w:type="dxa"/>
          </w:tcPr>
          <w:p w14:paraId="7C78885E"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If applicable, explain how loss to follow-up, matching, or sampling strategy was addressed.</w:t>
            </w:r>
          </w:p>
        </w:tc>
        <w:tc>
          <w:tcPr>
            <w:tcW w:w="4387" w:type="dxa"/>
          </w:tcPr>
          <w:p w14:paraId="37146BEB"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Physician survey; Statistical analysis</w:t>
            </w:r>
          </w:p>
        </w:tc>
      </w:tr>
      <w:tr w:rsidR="00CC17CD" w:rsidRPr="00CC36EA" w14:paraId="12B41BF3" w14:textId="77777777" w:rsidTr="00536296">
        <w:trPr>
          <w:jc w:val="center"/>
        </w:trPr>
        <w:tc>
          <w:tcPr>
            <w:tcW w:w="650" w:type="dxa"/>
          </w:tcPr>
          <w:p w14:paraId="45B3524E"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12e</w:t>
            </w:r>
          </w:p>
        </w:tc>
        <w:tc>
          <w:tcPr>
            <w:tcW w:w="2036" w:type="dxa"/>
          </w:tcPr>
          <w:p w14:paraId="0B695B5F"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Methods: Statistical methods</w:t>
            </w:r>
          </w:p>
        </w:tc>
        <w:tc>
          <w:tcPr>
            <w:tcW w:w="3100" w:type="dxa"/>
          </w:tcPr>
          <w:p w14:paraId="63E3079A"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Describe any sensitivity analyses.</w:t>
            </w:r>
          </w:p>
        </w:tc>
        <w:tc>
          <w:tcPr>
            <w:tcW w:w="4387" w:type="dxa"/>
          </w:tcPr>
          <w:p w14:paraId="17A792B6" w14:textId="498F359A" w:rsidR="00CC17CD" w:rsidRPr="00CC36EA" w:rsidRDefault="00CC17CD" w:rsidP="00536296">
            <w:pPr>
              <w:rPr>
                <w:rFonts w:ascii="Times New Roman" w:hAnsi="Times New Roman"/>
                <w:sz w:val="21"/>
                <w:szCs w:val="21"/>
              </w:rPr>
            </w:pPr>
            <w:r w:rsidRPr="00CC17CD">
              <w:rPr>
                <w:rFonts w:ascii="Times New Roman" w:eastAsia="Arial" w:hAnsi="Times New Roman"/>
                <w:sz w:val="21"/>
                <w:szCs w:val="21"/>
              </w:rPr>
              <w:t>Not applicable; no formal sensitivity analysis was prespecified. Supplementary descriptive analyses are described in Methods: Statistical analysis and Supplementary Appendix.</w:t>
            </w:r>
          </w:p>
        </w:tc>
      </w:tr>
      <w:tr w:rsidR="00CC17CD" w:rsidRPr="00CC36EA" w14:paraId="53C9D951" w14:textId="77777777" w:rsidTr="00536296">
        <w:trPr>
          <w:jc w:val="center"/>
        </w:trPr>
        <w:tc>
          <w:tcPr>
            <w:tcW w:w="650" w:type="dxa"/>
          </w:tcPr>
          <w:p w14:paraId="22A0E5DD"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13a</w:t>
            </w:r>
          </w:p>
        </w:tc>
        <w:tc>
          <w:tcPr>
            <w:tcW w:w="2036" w:type="dxa"/>
          </w:tcPr>
          <w:p w14:paraId="119F05B0"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Results: Participants</w:t>
            </w:r>
          </w:p>
        </w:tc>
        <w:tc>
          <w:tcPr>
            <w:tcW w:w="3100" w:type="dxa"/>
          </w:tcPr>
          <w:p w14:paraId="1CA9DF78"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 xml:space="preserve">Report numbers of individuals at each stage of study—for example, potentially eligible, examined, included and </w:t>
            </w:r>
            <w:proofErr w:type="spellStart"/>
            <w:r w:rsidRPr="00CC36EA">
              <w:rPr>
                <w:rFonts w:ascii="Times New Roman" w:eastAsia="Arial" w:hAnsi="Times New Roman"/>
                <w:sz w:val="21"/>
                <w:szCs w:val="21"/>
              </w:rPr>
              <w:t>analysed</w:t>
            </w:r>
            <w:proofErr w:type="spellEnd"/>
            <w:r w:rsidRPr="00CC36EA">
              <w:rPr>
                <w:rFonts w:ascii="Times New Roman" w:eastAsia="Arial" w:hAnsi="Times New Roman"/>
                <w:sz w:val="21"/>
                <w:szCs w:val="21"/>
              </w:rPr>
              <w:t>.</w:t>
            </w:r>
          </w:p>
        </w:tc>
        <w:tc>
          <w:tcPr>
            <w:tcW w:w="4387" w:type="dxa"/>
          </w:tcPr>
          <w:p w14:paraId="3BEED0B7" w14:textId="13BEB9EF" w:rsidR="00CC17CD" w:rsidRPr="00CC36EA" w:rsidRDefault="00CC17CD" w:rsidP="00536296">
            <w:pPr>
              <w:rPr>
                <w:rFonts w:ascii="Times New Roman" w:hAnsi="Times New Roman"/>
                <w:sz w:val="21"/>
                <w:szCs w:val="21"/>
              </w:rPr>
            </w:pPr>
            <w:r w:rsidRPr="00CC17CD">
              <w:rPr>
                <w:rFonts w:ascii="Times New Roman" w:eastAsia="Arial" w:hAnsi="Times New Roman"/>
                <w:sz w:val="21"/>
                <w:szCs w:val="21"/>
              </w:rPr>
              <w:t>Results: Observed sales structure and generic/biosimilar uptake; Supplementary Appendix S8.2 for the physician survey sample.</w:t>
            </w:r>
          </w:p>
        </w:tc>
      </w:tr>
      <w:tr w:rsidR="00CC17CD" w:rsidRPr="00CC36EA" w14:paraId="7809D763" w14:textId="77777777" w:rsidTr="00536296">
        <w:trPr>
          <w:jc w:val="center"/>
        </w:trPr>
        <w:tc>
          <w:tcPr>
            <w:tcW w:w="650" w:type="dxa"/>
          </w:tcPr>
          <w:p w14:paraId="01A2D44B"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13b</w:t>
            </w:r>
          </w:p>
        </w:tc>
        <w:tc>
          <w:tcPr>
            <w:tcW w:w="2036" w:type="dxa"/>
          </w:tcPr>
          <w:p w14:paraId="5EB6E8E2"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Results: Participants</w:t>
            </w:r>
          </w:p>
        </w:tc>
        <w:tc>
          <w:tcPr>
            <w:tcW w:w="3100" w:type="dxa"/>
          </w:tcPr>
          <w:p w14:paraId="2A110351"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Give reasons for non-participation at each stage.</w:t>
            </w:r>
          </w:p>
        </w:tc>
        <w:tc>
          <w:tcPr>
            <w:tcW w:w="4387" w:type="dxa"/>
          </w:tcPr>
          <w:p w14:paraId="69B8F7DD" w14:textId="110EA3FF" w:rsidR="00CC17CD" w:rsidRPr="00CC36EA" w:rsidRDefault="00CC17CD" w:rsidP="00536296">
            <w:pPr>
              <w:rPr>
                <w:rFonts w:ascii="Times New Roman" w:hAnsi="Times New Roman"/>
                <w:sz w:val="21"/>
                <w:szCs w:val="21"/>
              </w:rPr>
            </w:pPr>
            <w:r w:rsidRPr="00CC17CD">
              <w:rPr>
                <w:rFonts w:ascii="Times New Roman" w:eastAsia="Arial" w:hAnsi="Times New Roman"/>
                <w:sz w:val="21"/>
                <w:szCs w:val="21"/>
              </w:rPr>
              <w:t>For the sales-data analysis, reasons for record exclusion are described in Methods. For the supplementary physician survey, detailed non-participation data were not available because convenience sampling was used.</w:t>
            </w:r>
          </w:p>
        </w:tc>
      </w:tr>
      <w:tr w:rsidR="00CC17CD" w:rsidRPr="00CC36EA" w14:paraId="65917441" w14:textId="77777777" w:rsidTr="00536296">
        <w:trPr>
          <w:jc w:val="center"/>
        </w:trPr>
        <w:tc>
          <w:tcPr>
            <w:tcW w:w="650" w:type="dxa"/>
          </w:tcPr>
          <w:p w14:paraId="2C98E5B4"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13c</w:t>
            </w:r>
          </w:p>
        </w:tc>
        <w:tc>
          <w:tcPr>
            <w:tcW w:w="2036" w:type="dxa"/>
          </w:tcPr>
          <w:p w14:paraId="00B1043C"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Results: Participants</w:t>
            </w:r>
          </w:p>
        </w:tc>
        <w:tc>
          <w:tcPr>
            <w:tcW w:w="3100" w:type="dxa"/>
          </w:tcPr>
          <w:p w14:paraId="21FC1D1C"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Consider use of a flow diagram.</w:t>
            </w:r>
          </w:p>
        </w:tc>
        <w:tc>
          <w:tcPr>
            <w:tcW w:w="4387" w:type="dxa"/>
          </w:tcPr>
          <w:p w14:paraId="5FF56E33" w14:textId="5235D0DE" w:rsidR="00CC17CD" w:rsidRPr="00CC36EA" w:rsidRDefault="00CC17CD" w:rsidP="00536296">
            <w:pPr>
              <w:rPr>
                <w:rFonts w:ascii="Times New Roman" w:hAnsi="Times New Roman"/>
                <w:sz w:val="21"/>
                <w:szCs w:val="21"/>
                <w:lang w:eastAsia="zh-CN"/>
              </w:rPr>
            </w:pPr>
            <w:r w:rsidRPr="00CC17CD">
              <w:rPr>
                <w:rFonts w:ascii="Times New Roman" w:eastAsia="Arial" w:hAnsi="Times New Roman"/>
                <w:sz w:val="21"/>
                <w:szCs w:val="21"/>
              </w:rPr>
              <w:t xml:space="preserve">No participant flow diagram was used; sample derivation and numbers of </w:t>
            </w:r>
            <w:proofErr w:type="spellStart"/>
            <w:r w:rsidRPr="00CC17CD">
              <w:rPr>
                <w:rFonts w:ascii="Times New Roman" w:eastAsia="Arial" w:hAnsi="Times New Roman"/>
                <w:sz w:val="21"/>
                <w:szCs w:val="21"/>
              </w:rPr>
              <w:t>analysed</w:t>
            </w:r>
            <w:proofErr w:type="spellEnd"/>
            <w:r w:rsidRPr="00CC17CD">
              <w:rPr>
                <w:rFonts w:ascii="Times New Roman" w:eastAsia="Arial" w:hAnsi="Times New Roman"/>
                <w:sz w:val="21"/>
                <w:szCs w:val="21"/>
              </w:rPr>
              <w:t xml:space="preserve"> drug forms are described in Methods and Results</w:t>
            </w:r>
            <w:r>
              <w:rPr>
                <w:rFonts w:ascii="宋体" w:eastAsia="宋体" w:hAnsi="宋体" w:cs="宋体" w:hint="eastAsia"/>
                <w:sz w:val="21"/>
                <w:szCs w:val="21"/>
                <w:lang w:eastAsia="zh-CN"/>
              </w:rPr>
              <w:t>.</w:t>
            </w:r>
          </w:p>
        </w:tc>
      </w:tr>
      <w:tr w:rsidR="00CC17CD" w:rsidRPr="00CC36EA" w14:paraId="3C73E7FC" w14:textId="77777777" w:rsidTr="00536296">
        <w:trPr>
          <w:jc w:val="center"/>
        </w:trPr>
        <w:tc>
          <w:tcPr>
            <w:tcW w:w="650" w:type="dxa"/>
          </w:tcPr>
          <w:p w14:paraId="1825BBFB"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14a</w:t>
            </w:r>
          </w:p>
        </w:tc>
        <w:tc>
          <w:tcPr>
            <w:tcW w:w="2036" w:type="dxa"/>
          </w:tcPr>
          <w:p w14:paraId="7AA941E7"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Results: Descriptive data</w:t>
            </w:r>
          </w:p>
        </w:tc>
        <w:tc>
          <w:tcPr>
            <w:tcW w:w="3100" w:type="dxa"/>
          </w:tcPr>
          <w:p w14:paraId="4A524430"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Give characteristics of study participants and information on exposures and potential confounders.</w:t>
            </w:r>
          </w:p>
        </w:tc>
        <w:tc>
          <w:tcPr>
            <w:tcW w:w="4387" w:type="dxa"/>
          </w:tcPr>
          <w:p w14:paraId="510EB649"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Results: Observed supply structure; Association between uptake and reimbursement class; Supplementary table</w:t>
            </w:r>
          </w:p>
        </w:tc>
      </w:tr>
      <w:tr w:rsidR="00CC17CD" w:rsidRPr="00CC36EA" w14:paraId="53D653A5" w14:textId="77777777" w:rsidTr="00536296">
        <w:trPr>
          <w:jc w:val="center"/>
        </w:trPr>
        <w:tc>
          <w:tcPr>
            <w:tcW w:w="650" w:type="dxa"/>
          </w:tcPr>
          <w:p w14:paraId="459783BE"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14b</w:t>
            </w:r>
          </w:p>
        </w:tc>
        <w:tc>
          <w:tcPr>
            <w:tcW w:w="2036" w:type="dxa"/>
          </w:tcPr>
          <w:p w14:paraId="60A5D7A7"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Results: Descriptive data</w:t>
            </w:r>
          </w:p>
        </w:tc>
        <w:tc>
          <w:tcPr>
            <w:tcW w:w="3100" w:type="dxa"/>
          </w:tcPr>
          <w:p w14:paraId="554F1462"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Indicate number of participants with missing data for each variable of interest.</w:t>
            </w:r>
          </w:p>
        </w:tc>
        <w:tc>
          <w:tcPr>
            <w:tcW w:w="4387" w:type="dxa"/>
          </w:tcPr>
          <w:p w14:paraId="55CDD0F6" w14:textId="7DEB5AB4" w:rsidR="00CC17CD" w:rsidRPr="00CC36EA" w:rsidRDefault="00CC17CD" w:rsidP="00536296">
            <w:pPr>
              <w:rPr>
                <w:rFonts w:ascii="Times New Roman" w:hAnsi="Times New Roman"/>
                <w:sz w:val="21"/>
                <w:szCs w:val="21"/>
              </w:rPr>
            </w:pPr>
            <w:r w:rsidRPr="00CC17CD">
              <w:rPr>
                <w:rFonts w:ascii="Times New Roman" w:eastAsia="Arial" w:hAnsi="Times New Roman"/>
                <w:sz w:val="21"/>
                <w:szCs w:val="21"/>
              </w:rPr>
              <w:t>Methods: Analytical sample and variable definitions; Statistical analysis. Records with unknown or unclassifiable product source were excluded, and structural missingness was presented as NA without imputation.</w:t>
            </w:r>
          </w:p>
        </w:tc>
      </w:tr>
      <w:tr w:rsidR="00CC17CD" w:rsidRPr="00CC36EA" w14:paraId="245C2F8B" w14:textId="77777777" w:rsidTr="00536296">
        <w:trPr>
          <w:jc w:val="center"/>
        </w:trPr>
        <w:tc>
          <w:tcPr>
            <w:tcW w:w="650" w:type="dxa"/>
          </w:tcPr>
          <w:p w14:paraId="6053B875"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14c</w:t>
            </w:r>
          </w:p>
        </w:tc>
        <w:tc>
          <w:tcPr>
            <w:tcW w:w="2036" w:type="dxa"/>
          </w:tcPr>
          <w:p w14:paraId="06D84057"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Results: Descriptive data</w:t>
            </w:r>
          </w:p>
        </w:tc>
        <w:tc>
          <w:tcPr>
            <w:tcW w:w="3100" w:type="dxa"/>
          </w:tcPr>
          <w:p w14:paraId="3129094C"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Cohort study—</w:t>
            </w:r>
            <w:proofErr w:type="spellStart"/>
            <w:r w:rsidRPr="00CC36EA">
              <w:rPr>
                <w:rFonts w:ascii="Times New Roman" w:eastAsia="Arial" w:hAnsi="Times New Roman"/>
                <w:sz w:val="21"/>
                <w:szCs w:val="21"/>
              </w:rPr>
              <w:t>Summarise</w:t>
            </w:r>
            <w:proofErr w:type="spellEnd"/>
            <w:r w:rsidRPr="00CC36EA">
              <w:rPr>
                <w:rFonts w:ascii="Times New Roman" w:eastAsia="Arial" w:hAnsi="Times New Roman"/>
                <w:sz w:val="21"/>
                <w:szCs w:val="21"/>
              </w:rPr>
              <w:t xml:space="preserve"> follow-up time.</w:t>
            </w:r>
          </w:p>
        </w:tc>
        <w:tc>
          <w:tcPr>
            <w:tcW w:w="4387" w:type="dxa"/>
          </w:tcPr>
          <w:p w14:paraId="0E566B39"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Not applicable</w:t>
            </w:r>
          </w:p>
        </w:tc>
      </w:tr>
      <w:tr w:rsidR="00CC17CD" w:rsidRPr="00CC36EA" w14:paraId="176E5987" w14:textId="77777777" w:rsidTr="00536296">
        <w:trPr>
          <w:jc w:val="center"/>
        </w:trPr>
        <w:tc>
          <w:tcPr>
            <w:tcW w:w="650" w:type="dxa"/>
          </w:tcPr>
          <w:p w14:paraId="7F98A60F"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lastRenderedPageBreak/>
              <w:t>15</w:t>
            </w:r>
          </w:p>
        </w:tc>
        <w:tc>
          <w:tcPr>
            <w:tcW w:w="2036" w:type="dxa"/>
          </w:tcPr>
          <w:p w14:paraId="1E2780FE"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Results: Outcome data</w:t>
            </w:r>
          </w:p>
        </w:tc>
        <w:tc>
          <w:tcPr>
            <w:tcW w:w="3100" w:type="dxa"/>
          </w:tcPr>
          <w:p w14:paraId="6C8C4758"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Cross-sectional study—Report numbers of outcome events or summary measures.</w:t>
            </w:r>
          </w:p>
        </w:tc>
        <w:tc>
          <w:tcPr>
            <w:tcW w:w="4387" w:type="dxa"/>
          </w:tcPr>
          <w:p w14:paraId="5C99E836"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Results: Uptake in the full sample and among comparable drug forms; Association between uptake and reimbursement class; Temporal trends</w:t>
            </w:r>
          </w:p>
        </w:tc>
      </w:tr>
      <w:tr w:rsidR="00CC17CD" w:rsidRPr="00CC36EA" w14:paraId="3C5D582B" w14:textId="77777777" w:rsidTr="00536296">
        <w:trPr>
          <w:jc w:val="center"/>
        </w:trPr>
        <w:tc>
          <w:tcPr>
            <w:tcW w:w="650" w:type="dxa"/>
          </w:tcPr>
          <w:p w14:paraId="7F6D57D2"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16a</w:t>
            </w:r>
          </w:p>
        </w:tc>
        <w:tc>
          <w:tcPr>
            <w:tcW w:w="2036" w:type="dxa"/>
          </w:tcPr>
          <w:p w14:paraId="20CF13F1"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Results: Main results</w:t>
            </w:r>
          </w:p>
        </w:tc>
        <w:tc>
          <w:tcPr>
            <w:tcW w:w="3100" w:type="dxa"/>
          </w:tcPr>
          <w:p w14:paraId="433CD9BF"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Give unadjusted estimates and, if applicable, confounder-adjusted estimates and their precision. Make clear which confounders were adjusted for and why.</w:t>
            </w:r>
          </w:p>
        </w:tc>
        <w:tc>
          <w:tcPr>
            <w:tcW w:w="4387" w:type="dxa"/>
          </w:tcPr>
          <w:p w14:paraId="107A3C05" w14:textId="2BC2FD39" w:rsidR="00CC17CD" w:rsidRPr="00CC36EA" w:rsidRDefault="003F2A02" w:rsidP="00536296">
            <w:pPr>
              <w:rPr>
                <w:rFonts w:ascii="Times New Roman" w:hAnsi="Times New Roman"/>
                <w:sz w:val="21"/>
                <w:szCs w:val="21"/>
              </w:rPr>
            </w:pPr>
            <w:r w:rsidRPr="003F2A02">
              <w:rPr>
                <w:rFonts w:ascii="Times New Roman" w:eastAsia="Arial" w:hAnsi="Times New Roman"/>
                <w:sz w:val="21"/>
                <w:szCs w:val="21"/>
              </w:rPr>
              <w:t>Results: Generic/biosimilar uptake among comparable drug forms; Reimbursement class and temporal trends. Estimates were unadjusted because the analyses were descriptive and exploratory; no causal or confounder-adjusted effects were estimated.</w:t>
            </w:r>
          </w:p>
        </w:tc>
      </w:tr>
      <w:tr w:rsidR="00CC17CD" w:rsidRPr="00CC36EA" w14:paraId="2EC36661" w14:textId="77777777" w:rsidTr="00536296">
        <w:trPr>
          <w:jc w:val="center"/>
        </w:trPr>
        <w:tc>
          <w:tcPr>
            <w:tcW w:w="650" w:type="dxa"/>
          </w:tcPr>
          <w:p w14:paraId="640C46FB"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16b</w:t>
            </w:r>
          </w:p>
        </w:tc>
        <w:tc>
          <w:tcPr>
            <w:tcW w:w="2036" w:type="dxa"/>
          </w:tcPr>
          <w:p w14:paraId="460BF176"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Results: Main results</w:t>
            </w:r>
          </w:p>
        </w:tc>
        <w:tc>
          <w:tcPr>
            <w:tcW w:w="3100" w:type="dxa"/>
          </w:tcPr>
          <w:p w14:paraId="533B1362"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 xml:space="preserve">Report category boundaries when continuous variables were </w:t>
            </w:r>
            <w:proofErr w:type="spellStart"/>
            <w:r w:rsidRPr="00CC36EA">
              <w:rPr>
                <w:rFonts w:ascii="Times New Roman" w:eastAsia="Arial" w:hAnsi="Times New Roman"/>
                <w:sz w:val="21"/>
                <w:szCs w:val="21"/>
              </w:rPr>
              <w:t>categorised</w:t>
            </w:r>
            <w:proofErr w:type="spellEnd"/>
            <w:r w:rsidRPr="00CC36EA">
              <w:rPr>
                <w:rFonts w:ascii="Times New Roman" w:eastAsia="Arial" w:hAnsi="Times New Roman"/>
                <w:sz w:val="21"/>
                <w:szCs w:val="21"/>
              </w:rPr>
              <w:t>.</w:t>
            </w:r>
          </w:p>
        </w:tc>
        <w:tc>
          <w:tcPr>
            <w:tcW w:w="4387" w:type="dxa"/>
          </w:tcPr>
          <w:p w14:paraId="1C637670" w14:textId="08730F25" w:rsidR="00CC17CD" w:rsidRPr="00CC36EA" w:rsidRDefault="003F2A02" w:rsidP="00536296">
            <w:pPr>
              <w:rPr>
                <w:rFonts w:ascii="Times New Roman" w:hAnsi="Times New Roman"/>
                <w:sz w:val="21"/>
                <w:szCs w:val="21"/>
              </w:rPr>
            </w:pPr>
            <w:r w:rsidRPr="003F2A02">
              <w:rPr>
                <w:rFonts w:ascii="Times New Roman" w:eastAsia="Arial" w:hAnsi="Times New Roman"/>
                <w:sz w:val="21"/>
                <w:szCs w:val="21"/>
              </w:rPr>
              <w:t>Results: Generic/biosimilar uptake among comparable drug forms; Supplementary Appendix S3 and S4.4. Category boundaries and the descriptive uptake thresholds are reported where applicable.</w:t>
            </w:r>
          </w:p>
        </w:tc>
      </w:tr>
      <w:tr w:rsidR="00CC17CD" w:rsidRPr="00CC36EA" w14:paraId="2A15DFA4" w14:textId="77777777" w:rsidTr="00536296">
        <w:trPr>
          <w:jc w:val="center"/>
        </w:trPr>
        <w:tc>
          <w:tcPr>
            <w:tcW w:w="650" w:type="dxa"/>
          </w:tcPr>
          <w:p w14:paraId="193B59DA"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16c</w:t>
            </w:r>
          </w:p>
        </w:tc>
        <w:tc>
          <w:tcPr>
            <w:tcW w:w="2036" w:type="dxa"/>
          </w:tcPr>
          <w:p w14:paraId="14F2C608"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Results: Main results</w:t>
            </w:r>
          </w:p>
        </w:tc>
        <w:tc>
          <w:tcPr>
            <w:tcW w:w="3100" w:type="dxa"/>
          </w:tcPr>
          <w:p w14:paraId="40A3DF79"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If relevant, consider translating estimates of relative risk into absolute risk for a meaningful time period.</w:t>
            </w:r>
          </w:p>
        </w:tc>
        <w:tc>
          <w:tcPr>
            <w:tcW w:w="4387" w:type="dxa"/>
          </w:tcPr>
          <w:p w14:paraId="69C0F222"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Not applicable</w:t>
            </w:r>
          </w:p>
        </w:tc>
      </w:tr>
      <w:tr w:rsidR="00CC17CD" w:rsidRPr="00CC36EA" w14:paraId="7DFAD010" w14:textId="77777777" w:rsidTr="00536296">
        <w:trPr>
          <w:jc w:val="center"/>
        </w:trPr>
        <w:tc>
          <w:tcPr>
            <w:tcW w:w="650" w:type="dxa"/>
          </w:tcPr>
          <w:p w14:paraId="24314F87"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17</w:t>
            </w:r>
          </w:p>
        </w:tc>
        <w:tc>
          <w:tcPr>
            <w:tcW w:w="2036" w:type="dxa"/>
          </w:tcPr>
          <w:p w14:paraId="12C4A352"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Results: Other analyses</w:t>
            </w:r>
          </w:p>
        </w:tc>
        <w:tc>
          <w:tcPr>
            <w:tcW w:w="3100" w:type="dxa"/>
          </w:tcPr>
          <w:p w14:paraId="1CBA39E3"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Report other analyses done, including subgroup analyses, interaction analyses and sensitivity analyses.</w:t>
            </w:r>
          </w:p>
        </w:tc>
        <w:tc>
          <w:tcPr>
            <w:tcW w:w="4387" w:type="dxa"/>
          </w:tcPr>
          <w:p w14:paraId="2F4B7CAD" w14:textId="52B1C27D" w:rsidR="00CC17CD" w:rsidRPr="00CC36EA" w:rsidRDefault="00CC17CD" w:rsidP="00536296">
            <w:pPr>
              <w:rPr>
                <w:rFonts w:ascii="Times New Roman" w:hAnsi="Times New Roman"/>
                <w:sz w:val="21"/>
                <w:szCs w:val="21"/>
              </w:rPr>
            </w:pPr>
            <w:r w:rsidRPr="00CC17CD">
              <w:rPr>
                <w:rFonts w:ascii="Times New Roman" w:eastAsia="Arial" w:hAnsi="Times New Roman"/>
                <w:sz w:val="21"/>
                <w:szCs w:val="21"/>
              </w:rPr>
              <w:t>Methods and Supplementary Appendix S7–S8; selected contextual findings are discussed in the Discussion.</w:t>
            </w:r>
          </w:p>
        </w:tc>
      </w:tr>
      <w:tr w:rsidR="00CC17CD" w:rsidRPr="00CC36EA" w14:paraId="32412C29" w14:textId="77777777" w:rsidTr="00536296">
        <w:trPr>
          <w:jc w:val="center"/>
        </w:trPr>
        <w:tc>
          <w:tcPr>
            <w:tcW w:w="650" w:type="dxa"/>
          </w:tcPr>
          <w:p w14:paraId="1A0CE023"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18</w:t>
            </w:r>
          </w:p>
        </w:tc>
        <w:tc>
          <w:tcPr>
            <w:tcW w:w="2036" w:type="dxa"/>
          </w:tcPr>
          <w:p w14:paraId="7AFF6EF6"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Discussion: Key results</w:t>
            </w:r>
          </w:p>
        </w:tc>
        <w:tc>
          <w:tcPr>
            <w:tcW w:w="3100" w:type="dxa"/>
          </w:tcPr>
          <w:p w14:paraId="3450C1D0" w14:textId="77777777" w:rsidR="00CC17CD" w:rsidRPr="00CC36EA" w:rsidRDefault="00CC17CD" w:rsidP="00536296">
            <w:pPr>
              <w:rPr>
                <w:rFonts w:ascii="Times New Roman" w:hAnsi="Times New Roman"/>
                <w:sz w:val="21"/>
                <w:szCs w:val="21"/>
              </w:rPr>
            </w:pPr>
            <w:proofErr w:type="spellStart"/>
            <w:r w:rsidRPr="00CC36EA">
              <w:rPr>
                <w:rFonts w:ascii="Times New Roman" w:eastAsia="Arial" w:hAnsi="Times New Roman"/>
                <w:sz w:val="21"/>
                <w:szCs w:val="21"/>
              </w:rPr>
              <w:t>Summarise</w:t>
            </w:r>
            <w:proofErr w:type="spellEnd"/>
            <w:r w:rsidRPr="00CC36EA">
              <w:rPr>
                <w:rFonts w:ascii="Times New Roman" w:eastAsia="Arial" w:hAnsi="Times New Roman"/>
                <w:sz w:val="21"/>
                <w:szCs w:val="21"/>
              </w:rPr>
              <w:t xml:space="preserve"> key results with reference to study objectives.</w:t>
            </w:r>
          </w:p>
        </w:tc>
        <w:tc>
          <w:tcPr>
            <w:tcW w:w="4387" w:type="dxa"/>
          </w:tcPr>
          <w:p w14:paraId="19281884"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Discussion opening paragraph</w:t>
            </w:r>
          </w:p>
        </w:tc>
      </w:tr>
      <w:tr w:rsidR="00CC17CD" w:rsidRPr="00CC36EA" w14:paraId="3981FFEB" w14:textId="77777777" w:rsidTr="00536296">
        <w:trPr>
          <w:jc w:val="center"/>
        </w:trPr>
        <w:tc>
          <w:tcPr>
            <w:tcW w:w="650" w:type="dxa"/>
          </w:tcPr>
          <w:p w14:paraId="0948012E"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19</w:t>
            </w:r>
          </w:p>
        </w:tc>
        <w:tc>
          <w:tcPr>
            <w:tcW w:w="2036" w:type="dxa"/>
          </w:tcPr>
          <w:p w14:paraId="2A6204D9"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Discussion: Limitations</w:t>
            </w:r>
          </w:p>
        </w:tc>
        <w:tc>
          <w:tcPr>
            <w:tcW w:w="3100" w:type="dxa"/>
          </w:tcPr>
          <w:p w14:paraId="0D60C915"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Discuss limitations of the study, taking into account sources of potential bias or imprecision. Discuss both direction and magnitude of any potential bias.</w:t>
            </w:r>
          </w:p>
        </w:tc>
        <w:tc>
          <w:tcPr>
            <w:tcW w:w="4387" w:type="dxa"/>
          </w:tcPr>
          <w:p w14:paraId="550EF2B5"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Discussion: Limitations</w:t>
            </w:r>
          </w:p>
        </w:tc>
      </w:tr>
      <w:tr w:rsidR="00CC17CD" w:rsidRPr="00CC36EA" w14:paraId="2E13D31A" w14:textId="77777777" w:rsidTr="00536296">
        <w:trPr>
          <w:jc w:val="center"/>
        </w:trPr>
        <w:tc>
          <w:tcPr>
            <w:tcW w:w="650" w:type="dxa"/>
          </w:tcPr>
          <w:p w14:paraId="4B439F01"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20</w:t>
            </w:r>
          </w:p>
        </w:tc>
        <w:tc>
          <w:tcPr>
            <w:tcW w:w="2036" w:type="dxa"/>
          </w:tcPr>
          <w:p w14:paraId="7C37D1E3"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Discussion: Interpretation</w:t>
            </w:r>
          </w:p>
        </w:tc>
        <w:tc>
          <w:tcPr>
            <w:tcW w:w="3100" w:type="dxa"/>
          </w:tcPr>
          <w:p w14:paraId="047BDA38"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Give a cautious overall interpretation considering objectives, limitations, multiplicity of analyses, results from similar studies and other relevant evidence.</w:t>
            </w:r>
          </w:p>
        </w:tc>
        <w:tc>
          <w:tcPr>
            <w:tcW w:w="4387" w:type="dxa"/>
          </w:tcPr>
          <w:p w14:paraId="1E6F476D"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Discussion</w:t>
            </w:r>
          </w:p>
        </w:tc>
      </w:tr>
      <w:tr w:rsidR="00CC17CD" w:rsidRPr="00CC36EA" w14:paraId="602DD8CF" w14:textId="77777777" w:rsidTr="00536296">
        <w:trPr>
          <w:jc w:val="center"/>
        </w:trPr>
        <w:tc>
          <w:tcPr>
            <w:tcW w:w="650" w:type="dxa"/>
          </w:tcPr>
          <w:p w14:paraId="49965041"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21</w:t>
            </w:r>
          </w:p>
        </w:tc>
        <w:tc>
          <w:tcPr>
            <w:tcW w:w="2036" w:type="dxa"/>
          </w:tcPr>
          <w:p w14:paraId="2691B637"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 xml:space="preserve">Discussion: </w:t>
            </w:r>
            <w:proofErr w:type="spellStart"/>
            <w:r w:rsidRPr="00CC36EA">
              <w:rPr>
                <w:rFonts w:ascii="Times New Roman" w:eastAsia="Arial" w:hAnsi="Times New Roman"/>
                <w:sz w:val="21"/>
                <w:szCs w:val="21"/>
              </w:rPr>
              <w:t>Generalisability</w:t>
            </w:r>
            <w:proofErr w:type="spellEnd"/>
          </w:p>
        </w:tc>
        <w:tc>
          <w:tcPr>
            <w:tcW w:w="3100" w:type="dxa"/>
          </w:tcPr>
          <w:p w14:paraId="3F082556"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 xml:space="preserve">Discuss the </w:t>
            </w:r>
            <w:proofErr w:type="spellStart"/>
            <w:r w:rsidRPr="00CC36EA">
              <w:rPr>
                <w:rFonts w:ascii="Times New Roman" w:eastAsia="Arial" w:hAnsi="Times New Roman"/>
                <w:sz w:val="21"/>
                <w:szCs w:val="21"/>
              </w:rPr>
              <w:t>generalisability</w:t>
            </w:r>
            <w:proofErr w:type="spellEnd"/>
            <w:r w:rsidRPr="00CC36EA">
              <w:rPr>
                <w:rFonts w:ascii="Times New Roman" w:eastAsia="Arial" w:hAnsi="Times New Roman"/>
                <w:sz w:val="21"/>
                <w:szCs w:val="21"/>
              </w:rPr>
              <w:t xml:space="preserve"> or external validity of the study results.</w:t>
            </w:r>
          </w:p>
        </w:tc>
        <w:tc>
          <w:tcPr>
            <w:tcW w:w="4387" w:type="dxa"/>
          </w:tcPr>
          <w:p w14:paraId="368D276A"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Discussion: Limitations; Conclusions</w:t>
            </w:r>
          </w:p>
        </w:tc>
      </w:tr>
      <w:tr w:rsidR="00CC17CD" w:rsidRPr="00CC36EA" w14:paraId="17BFCAA1" w14:textId="77777777" w:rsidTr="00536296">
        <w:trPr>
          <w:jc w:val="center"/>
        </w:trPr>
        <w:tc>
          <w:tcPr>
            <w:tcW w:w="650" w:type="dxa"/>
          </w:tcPr>
          <w:p w14:paraId="59E36C18"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22</w:t>
            </w:r>
          </w:p>
        </w:tc>
        <w:tc>
          <w:tcPr>
            <w:tcW w:w="2036" w:type="dxa"/>
          </w:tcPr>
          <w:p w14:paraId="04B6A7F8"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Other information: Funding</w:t>
            </w:r>
          </w:p>
        </w:tc>
        <w:tc>
          <w:tcPr>
            <w:tcW w:w="3100" w:type="dxa"/>
          </w:tcPr>
          <w:p w14:paraId="6E568100"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Give the source of funding and the role of the funders for the present study and, if applicable, for the original study.</w:t>
            </w:r>
          </w:p>
        </w:tc>
        <w:tc>
          <w:tcPr>
            <w:tcW w:w="4387" w:type="dxa"/>
          </w:tcPr>
          <w:p w14:paraId="079FC7C7" w14:textId="77777777" w:rsidR="00CC17CD" w:rsidRPr="00CC36EA" w:rsidRDefault="00CC17CD" w:rsidP="00536296">
            <w:pPr>
              <w:rPr>
                <w:rFonts w:ascii="Times New Roman" w:hAnsi="Times New Roman"/>
                <w:sz w:val="21"/>
                <w:szCs w:val="21"/>
              </w:rPr>
            </w:pPr>
            <w:r w:rsidRPr="00CC36EA">
              <w:rPr>
                <w:rFonts w:ascii="Times New Roman" w:eastAsia="Arial" w:hAnsi="Times New Roman"/>
                <w:sz w:val="21"/>
                <w:szCs w:val="21"/>
              </w:rPr>
              <w:t>Declarations: Funding</w:t>
            </w:r>
          </w:p>
        </w:tc>
      </w:tr>
    </w:tbl>
    <w:p w14:paraId="33CD31D8" w14:textId="77777777" w:rsidR="00CC17CD" w:rsidRPr="002602FB" w:rsidRDefault="00CC17CD" w:rsidP="00CC17CD">
      <w:pPr>
        <w:pStyle w:val="TableTitle"/>
        <w:rPr>
          <w:sz w:val="20"/>
        </w:rPr>
      </w:pPr>
    </w:p>
    <w:p w14:paraId="61FDFD83" w14:textId="77777777" w:rsidR="00CC17CD" w:rsidRPr="009A2E93" w:rsidRDefault="00CC17CD" w:rsidP="00CC17CD">
      <w:pPr>
        <w:rPr>
          <w:rFonts w:ascii="Times New Roman" w:hAnsi="Times New Roman" w:cs="Times New Roman"/>
        </w:rPr>
      </w:pPr>
    </w:p>
    <w:p w14:paraId="5632DB59" w14:textId="77777777" w:rsidR="007518A8" w:rsidRPr="003C2054" w:rsidRDefault="007518A8" w:rsidP="008B2194">
      <w:pPr>
        <w:spacing w:line="480" w:lineRule="auto"/>
        <w:rPr>
          <w:rFonts w:ascii="Times New Roman" w:hAnsi="Times New Roman" w:cs="Times New Roman"/>
          <w:sz w:val="24"/>
          <w:szCs w:val="24"/>
        </w:rPr>
      </w:pPr>
    </w:p>
    <w:sectPr w:rsidR="007518A8" w:rsidRPr="003C20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0D115" w14:textId="77777777" w:rsidR="006B5ED2" w:rsidRDefault="006B5ED2" w:rsidP="00A9017F">
      <w:pPr>
        <w:rPr>
          <w:rFonts w:hint="eastAsia"/>
        </w:rPr>
      </w:pPr>
      <w:r>
        <w:separator/>
      </w:r>
    </w:p>
  </w:endnote>
  <w:endnote w:type="continuationSeparator" w:id="0">
    <w:p w14:paraId="4A92B5CF" w14:textId="77777777" w:rsidR="006B5ED2" w:rsidRDefault="006B5ED2" w:rsidP="00A9017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E97C6" w14:textId="77777777" w:rsidR="006B5ED2" w:rsidRDefault="006B5ED2" w:rsidP="00A9017F">
      <w:pPr>
        <w:rPr>
          <w:rFonts w:hint="eastAsia"/>
        </w:rPr>
      </w:pPr>
      <w:r>
        <w:separator/>
      </w:r>
    </w:p>
  </w:footnote>
  <w:footnote w:type="continuationSeparator" w:id="0">
    <w:p w14:paraId="23AD25D7" w14:textId="77777777" w:rsidR="006B5ED2" w:rsidRDefault="006B5ED2" w:rsidP="00A9017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2353"/>
    <w:multiLevelType w:val="multilevel"/>
    <w:tmpl w:val="B9A6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CF24B0"/>
    <w:multiLevelType w:val="multilevel"/>
    <w:tmpl w:val="3412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D126D0"/>
    <w:multiLevelType w:val="multilevel"/>
    <w:tmpl w:val="41BC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92752D"/>
    <w:multiLevelType w:val="multilevel"/>
    <w:tmpl w:val="0D50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AD7FCE"/>
    <w:multiLevelType w:val="multilevel"/>
    <w:tmpl w:val="A05A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3116C0"/>
    <w:multiLevelType w:val="multilevel"/>
    <w:tmpl w:val="CCC0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176ECC"/>
    <w:multiLevelType w:val="multilevel"/>
    <w:tmpl w:val="C7D8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932FFF"/>
    <w:multiLevelType w:val="multilevel"/>
    <w:tmpl w:val="1EA4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0123E3"/>
    <w:multiLevelType w:val="multilevel"/>
    <w:tmpl w:val="EDA8F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194FAE"/>
    <w:multiLevelType w:val="multilevel"/>
    <w:tmpl w:val="36167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2834FC"/>
    <w:multiLevelType w:val="multilevel"/>
    <w:tmpl w:val="D5EC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612794"/>
    <w:multiLevelType w:val="multilevel"/>
    <w:tmpl w:val="072C8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2473082">
    <w:abstractNumId w:val="7"/>
  </w:num>
  <w:num w:numId="2" w16cid:durableId="389500992">
    <w:abstractNumId w:val="3"/>
  </w:num>
  <w:num w:numId="3" w16cid:durableId="1730376503">
    <w:abstractNumId w:val="11"/>
  </w:num>
  <w:num w:numId="4" w16cid:durableId="968390752">
    <w:abstractNumId w:val="10"/>
  </w:num>
  <w:num w:numId="5" w16cid:durableId="138108572">
    <w:abstractNumId w:val="6"/>
  </w:num>
  <w:num w:numId="6" w16cid:durableId="1418021820">
    <w:abstractNumId w:val="0"/>
  </w:num>
  <w:num w:numId="7" w16cid:durableId="228922455">
    <w:abstractNumId w:val="4"/>
  </w:num>
  <w:num w:numId="8" w16cid:durableId="219484228">
    <w:abstractNumId w:val="8"/>
  </w:num>
  <w:num w:numId="9" w16cid:durableId="1751657180">
    <w:abstractNumId w:val="2"/>
  </w:num>
  <w:num w:numId="10" w16cid:durableId="1080911966">
    <w:abstractNumId w:val="9"/>
  </w:num>
  <w:num w:numId="11" w16cid:durableId="916087955">
    <w:abstractNumId w:val="5"/>
  </w:num>
  <w:num w:numId="12" w16cid:durableId="1776363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194"/>
    <w:rsid w:val="000E5DEE"/>
    <w:rsid w:val="001735F8"/>
    <w:rsid w:val="001C0F56"/>
    <w:rsid w:val="0032667B"/>
    <w:rsid w:val="003768C5"/>
    <w:rsid w:val="003C2054"/>
    <w:rsid w:val="003E0D62"/>
    <w:rsid w:val="003F2A02"/>
    <w:rsid w:val="003F4521"/>
    <w:rsid w:val="004037C0"/>
    <w:rsid w:val="00431892"/>
    <w:rsid w:val="006221E7"/>
    <w:rsid w:val="006B5ED2"/>
    <w:rsid w:val="007518A8"/>
    <w:rsid w:val="00832313"/>
    <w:rsid w:val="008B2194"/>
    <w:rsid w:val="008D2CAD"/>
    <w:rsid w:val="009333D7"/>
    <w:rsid w:val="0097709A"/>
    <w:rsid w:val="00A9017F"/>
    <w:rsid w:val="00AF63AB"/>
    <w:rsid w:val="00B15D17"/>
    <w:rsid w:val="00B80056"/>
    <w:rsid w:val="00C97C3C"/>
    <w:rsid w:val="00CC17CD"/>
    <w:rsid w:val="00F3194D"/>
    <w:rsid w:val="00F346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5D27AC"/>
  <w15:chartTrackingRefBased/>
  <w15:docId w15:val="{3968845F-B599-47F5-B8A5-D852F421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B219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8B219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B219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B219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B2194"/>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8B219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B219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B219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B2194"/>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样式1"/>
    <w:basedOn w:val="a1"/>
    <w:uiPriority w:val="99"/>
    <w:rsid w:val="008D2CAD"/>
    <w:rPr>
      <w:rFonts w:ascii="Times New Roman" w:eastAsia="宋体" w:hAnsi="Times New Roman"/>
      <w14:ligatures w14:val="none"/>
    </w:rPr>
    <w:tblPr>
      <w:tblBorders>
        <w:top w:val="single" w:sz="12" w:space="0" w:color="auto"/>
        <w:bottom w:val="single" w:sz="12" w:space="0" w:color="auto"/>
      </w:tblBorders>
    </w:tblPr>
    <w:tblStylePr w:type="firstRow">
      <w:pPr>
        <w:wordWrap/>
        <w:spacing w:beforeLines="0" w:before="0" w:beforeAutospacing="0" w:afterLines="0" w:after="0" w:afterAutospacing="0" w:line="240" w:lineRule="auto"/>
        <w:ind w:firstLineChars="0" w:firstLine="0"/>
      </w:pPr>
      <w:rPr>
        <w:rFonts w:ascii="Times New Roman" w:eastAsia="宋体" w:hAnsi="Times New Roman"/>
      </w:rPr>
      <w:tblPr/>
      <w:tcPr>
        <w:tcBorders>
          <w:bottom w:val="single" w:sz="4" w:space="0" w:color="auto"/>
        </w:tcBorders>
      </w:tcPr>
    </w:tblStylePr>
  </w:style>
  <w:style w:type="character" w:customStyle="1" w:styleId="10">
    <w:name w:val="标题 1 字符"/>
    <w:basedOn w:val="a0"/>
    <w:link w:val="1"/>
    <w:uiPriority w:val="9"/>
    <w:rsid w:val="008B219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8B219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B219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B2194"/>
    <w:rPr>
      <w:rFonts w:cstheme="majorBidi"/>
      <w:color w:val="0F4761" w:themeColor="accent1" w:themeShade="BF"/>
      <w:sz w:val="28"/>
      <w:szCs w:val="28"/>
    </w:rPr>
  </w:style>
  <w:style w:type="character" w:customStyle="1" w:styleId="50">
    <w:name w:val="标题 5 字符"/>
    <w:basedOn w:val="a0"/>
    <w:link w:val="5"/>
    <w:uiPriority w:val="9"/>
    <w:semiHidden/>
    <w:rsid w:val="008B2194"/>
    <w:rPr>
      <w:rFonts w:cstheme="majorBidi"/>
      <w:color w:val="0F4761" w:themeColor="accent1" w:themeShade="BF"/>
      <w:sz w:val="24"/>
      <w:szCs w:val="24"/>
    </w:rPr>
  </w:style>
  <w:style w:type="character" w:customStyle="1" w:styleId="60">
    <w:name w:val="标题 6 字符"/>
    <w:basedOn w:val="a0"/>
    <w:link w:val="6"/>
    <w:uiPriority w:val="9"/>
    <w:semiHidden/>
    <w:rsid w:val="008B2194"/>
    <w:rPr>
      <w:rFonts w:cstheme="majorBidi"/>
      <w:b/>
      <w:bCs/>
      <w:color w:val="0F4761" w:themeColor="accent1" w:themeShade="BF"/>
    </w:rPr>
  </w:style>
  <w:style w:type="character" w:customStyle="1" w:styleId="70">
    <w:name w:val="标题 7 字符"/>
    <w:basedOn w:val="a0"/>
    <w:link w:val="7"/>
    <w:uiPriority w:val="9"/>
    <w:semiHidden/>
    <w:rsid w:val="008B2194"/>
    <w:rPr>
      <w:rFonts w:cstheme="majorBidi"/>
      <w:b/>
      <w:bCs/>
      <w:color w:val="595959" w:themeColor="text1" w:themeTint="A6"/>
    </w:rPr>
  </w:style>
  <w:style w:type="character" w:customStyle="1" w:styleId="80">
    <w:name w:val="标题 8 字符"/>
    <w:basedOn w:val="a0"/>
    <w:link w:val="8"/>
    <w:uiPriority w:val="9"/>
    <w:semiHidden/>
    <w:rsid w:val="008B2194"/>
    <w:rPr>
      <w:rFonts w:cstheme="majorBidi"/>
      <w:color w:val="595959" w:themeColor="text1" w:themeTint="A6"/>
    </w:rPr>
  </w:style>
  <w:style w:type="character" w:customStyle="1" w:styleId="90">
    <w:name w:val="标题 9 字符"/>
    <w:basedOn w:val="a0"/>
    <w:link w:val="9"/>
    <w:uiPriority w:val="9"/>
    <w:semiHidden/>
    <w:rsid w:val="008B2194"/>
    <w:rPr>
      <w:rFonts w:eastAsiaTheme="majorEastAsia" w:cstheme="majorBidi"/>
      <w:color w:val="595959" w:themeColor="text1" w:themeTint="A6"/>
    </w:rPr>
  </w:style>
  <w:style w:type="paragraph" w:styleId="a3">
    <w:name w:val="Title"/>
    <w:basedOn w:val="a"/>
    <w:next w:val="a"/>
    <w:link w:val="a4"/>
    <w:uiPriority w:val="10"/>
    <w:qFormat/>
    <w:rsid w:val="008B219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B21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219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B219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B2194"/>
    <w:pPr>
      <w:spacing w:before="160" w:after="160"/>
      <w:jc w:val="center"/>
    </w:pPr>
    <w:rPr>
      <w:i/>
      <w:iCs/>
      <w:color w:val="404040" w:themeColor="text1" w:themeTint="BF"/>
    </w:rPr>
  </w:style>
  <w:style w:type="character" w:customStyle="1" w:styleId="a8">
    <w:name w:val="引用 字符"/>
    <w:basedOn w:val="a0"/>
    <w:link w:val="a7"/>
    <w:uiPriority w:val="29"/>
    <w:rsid w:val="008B2194"/>
    <w:rPr>
      <w:i/>
      <w:iCs/>
      <w:color w:val="404040" w:themeColor="text1" w:themeTint="BF"/>
    </w:rPr>
  </w:style>
  <w:style w:type="paragraph" w:styleId="a9">
    <w:name w:val="List Paragraph"/>
    <w:basedOn w:val="a"/>
    <w:uiPriority w:val="34"/>
    <w:qFormat/>
    <w:rsid w:val="008B2194"/>
    <w:pPr>
      <w:ind w:left="720"/>
      <w:contextualSpacing/>
    </w:pPr>
  </w:style>
  <w:style w:type="character" w:styleId="aa">
    <w:name w:val="Intense Emphasis"/>
    <w:basedOn w:val="a0"/>
    <w:uiPriority w:val="21"/>
    <w:qFormat/>
    <w:rsid w:val="008B2194"/>
    <w:rPr>
      <w:i/>
      <w:iCs/>
      <w:color w:val="0F4761" w:themeColor="accent1" w:themeShade="BF"/>
    </w:rPr>
  </w:style>
  <w:style w:type="paragraph" w:styleId="ab">
    <w:name w:val="Intense Quote"/>
    <w:basedOn w:val="a"/>
    <w:next w:val="a"/>
    <w:link w:val="ac"/>
    <w:uiPriority w:val="30"/>
    <w:qFormat/>
    <w:rsid w:val="008B21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B2194"/>
    <w:rPr>
      <w:i/>
      <w:iCs/>
      <w:color w:val="0F4761" w:themeColor="accent1" w:themeShade="BF"/>
    </w:rPr>
  </w:style>
  <w:style w:type="character" w:styleId="ad">
    <w:name w:val="Intense Reference"/>
    <w:basedOn w:val="a0"/>
    <w:uiPriority w:val="32"/>
    <w:qFormat/>
    <w:rsid w:val="008B2194"/>
    <w:rPr>
      <w:b/>
      <w:bCs/>
      <w:smallCaps/>
      <w:color w:val="0F4761" w:themeColor="accent1" w:themeShade="BF"/>
      <w:spacing w:val="5"/>
    </w:rPr>
  </w:style>
  <w:style w:type="paragraph" w:styleId="ae">
    <w:name w:val="header"/>
    <w:basedOn w:val="a"/>
    <w:link w:val="af"/>
    <w:uiPriority w:val="99"/>
    <w:unhideWhenUsed/>
    <w:rsid w:val="00A9017F"/>
    <w:pPr>
      <w:tabs>
        <w:tab w:val="center" w:pos="4153"/>
        <w:tab w:val="right" w:pos="8306"/>
      </w:tabs>
      <w:snapToGrid w:val="0"/>
      <w:jc w:val="center"/>
    </w:pPr>
    <w:rPr>
      <w:sz w:val="18"/>
      <w:szCs w:val="18"/>
    </w:rPr>
  </w:style>
  <w:style w:type="character" w:customStyle="1" w:styleId="af">
    <w:name w:val="页眉 字符"/>
    <w:basedOn w:val="a0"/>
    <w:link w:val="ae"/>
    <w:uiPriority w:val="99"/>
    <w:rsid w:val="00A9017F"/>
    <w:rPr>
      <w:sz w:val="18"/>
      <w:szCs w:val="18"/>
    </w:rPr>
  </w:style>
  <w:style w:type="paragraph" w:styleId="af0">
    <w:name w:val="footer"/>
    <w:basedOn w:val="a"/>
    <w:link w:val="af1"/>
    <w:uiPriority w:val="99"/>
    <w:unhideWhenUsed/>
    <w:rsid w:val="00A9017F"/>
    <w:pPr>
      <w:tabs>
        <w:tab w:val="center" w:pos="4153"/>
        <w:tab w:val="right" w:pos="8306"/>
      </w:tabs>
      <w:snapToGrid w:val="0"/>
      <w:jc w:val="left"/>
    </w:pPr>
    <w:rPr>
      <w:sz w:val="18"/>
      <w:szCs w:val="18"/>
    </w:rPr>
  </w:style>
  <w:style w:type="character" w:customStyle="1" w:styleId="af1">
    <w:name w:val="页脚 字符"/>
    <w:basedOn w:val="a0"/>
    <w:link w:val="af0"/>
    <w:uiPriority w:val="99"/>
    <w:rsid w:val="00A9017F"/>
    <w:rPr>
      <w:sz w:val="18"/>
      <w:szCs w:val="18"/>
    </w:rPr>
  </w:style>
  <w:style w:type="table" w:styleId="af2">
    <w:name w:val="Table Grid"/>
    <w:basedOn w:val="a1"/>
    <w:uiPriority w:val="59"/>
    <w:rsid w:val="001C0F56"/>
    <w:rPr>
      <w:kern w:val="0"/>
      <w:sz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Title"/>
    <w:basedOn w:val="a"/>
    <w:rsid w:val="00CC17CD"/>
    <w:pPr>
      <w:widowControl/>
      <w:spacing w:line="300" w:lineRule="exact"/>
      <w:jc w:val="left"/>
    </w:pPr>
    <w:rPr>
      <w:rFonts w:ascii="Times New Roman" w:hAnsi="Times New Roman" w:cs="Times New Roman"/>
      <w:kern w:val="0"/>
      <w:sz w:val="24"/>
      <w:szCs w:val="20"/>
      <w:lang w:val="en-GB"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30</Pages>
  <Words>4682</Words>
  <Characters>31049</Characters>
  <Application>Microsoft Office Word</Application>
  <DocSecurity>0</DocSecurity>
  <Lines>1194</Lines>
  <Paragraphs>830</Paragraphs>
  <ScaleCrop>false</ScaleCrop>
  <Company/>
  <LinksUpToDate>false</LinksUpToDate>
  <CharactersWithSpaces>34901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孙凌垚 孙</dc:creator>
  <cp:keywords/>
  <dc:description/>
  <cp:lastModifiedBy>孙凌垚 孙</cp:lastModifiedBy>
  <cp:revision>7</cp:revision>
  <dcterms:created xsi:type="dcterms:W3CDTF">2026-07-09T07:07:00Z</dcterms:created>
  <dcterms:modified xsi:type="dcterms:W3CDTF">2026-07-13T09:30:00Z</dcterms:modified>
</cp:coreProperties>
</file>