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38D" w:rsidRDefault="005E038D" w:rsidP="005E038D">
      <w:pPr>
        <w:spacing w:line="360" w:lineRule="auto"/>
        <w:jc w:val="both"/>
        <w:rPr>
          <w:b/>
          <w:lang w:val="en-GB"/>
        </w:rPr>
      </w:pPr>
      <w:bookmarkStart w:id="0" w:name="_GoBack"/>
      <w:bookmarkEnd w:id="0"/>
      <w:r w:rsidRPr="00F463A9">
        <w:rPr>
          <w:b/>
          <w:lang w:val="en-GB"/>
        </w:rPr>
        <w:t xml:space="preserve">Supplementary figures: </w:t>
      </w:r>
    </w:p>
    <w:p w:rsidR="005E038D" w:rsidRDefault="005E038D" w:rsidP="005E038D">
      <w:pPr>
        <w:pStyle w:val="EndNoteBibliography"/>
        <w:ind w:left="720" w:hanging="720"/>
        <w:rPr>
          <w:lang w:val="en-GB"/>
        </w:rPr>
      </w:pPr>
      <w:r w:rsidRPr="00BA50BD">
        <w:rPr>
          <w:noProof/>
        </w:rPr>
        <w:drawing>
          <wp:inline distT="0" distB="0" distL="0" distR="0" wp14:anchorId="01CFD2B7" wp14:editId="1CD36217">
            <wp:extent cx="5756910" cy="2383041"/>
            <wp:effectExtent l="50800" t="25400" r="34290" b="4559"/>
            <wp:docPr id="3"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6910" cy="2383041"/>
                    </a:xfrm>
                    <a:prstGeom prst="rect">
                      <a:avLst/>
                    </a:prstGeom>
                    <a:noFill/>
                    <a:ln w="19050" cmpd="sng">
                      <a:solidFill>
                        <a:srgbClr val="000000"/>
                      </a:solidFill>
                      <a:miter lim="800000"/>
                      <a:headEnd/>
                      <a:tailEnd/>
                    </a:ln>
                    <a:effectLst/>
                  </pic:spPr>
                </pic:pic>
              </a:graphicData>
            </a:graphic>
          </wp:inline>
        </w:drawing>
      </w:r>
    </w:p>
    <w:p w:rsidR="005E038D" w:rsidRDefault="005E038D" w:rsidP="005E038D">
      <w:pPr>
        <w:pStyle w:val="EndNoteBibliography"/>
        <w:ind w:left="720" w:hanging="720"/>
        <w:rPr>
          <w:lang w:val="en-GB"/>
        </w:rPr>
      </w:pPr>
    </w:p>
    <w:p w:rsidR="005E038D" w:rsidRPr="00D35DCF" w:rsidRDefault="005E038D" w:rsidP="005E038D">
      <w:pPr>
        <w:jc w:val="both"/>
        <w:rPr>
          <w:rFonts w:ascii="Helvetica" w:hAnsi="Helvetica"/>
          <w:b/>
          <w:sz w:val="20"/>
          <w:lang w:val="en-GB"/>
        </w:rPr>
      </w:pPr>
      <w:r w:rsidRPr="00D35DCF">
        <w:rPr>
          <w:rFonts w:ascii="Helvetica" w:hAnsi="Helvetica"/>
          <w:b/>
          <w:sz w:val="20"/>
          <w:lang w:val="en-GB"/>
        </w:rPr>
        <w:t>Figure</w:t>
      </w:r>
      <w:r>
        <w:rPr>
          <w:rFonts w:ascii="Helvetica" w:hAnsi="Helvetica"/>
          <w:b/>
          <w:sz w:val="20"/>
          <w:lang w:val="en-GB"/>
        </w:rPr>
        <w:t xml:space="preserve"> S1</w:t>
      </w:r>
      <w:r w:rsidRPr="00D35DCF">
        <w:rPr>
          <w:rFonts w:ascii="Helvetica" w:hAnsi="Helvetica"/>
          <w:b/>
          <w:sz w:val="20"/>
          <w:lang w:val="en-GB"/>
        </w:rPr>
        <w:t xml:space="preserve"> Verification of FBP1 over-expression and deletion in MCF7 cells. </w:t>
      </w:r>
    </w:p>
    <w:p w:rsidR="005E038D" w:rsidRPr="00D35DCF" w:rsidRDefault="005E038D" w:rsidP="005E038D">
      <w:pPr>
        <w:jc w:val="both"/>
        <w:rPr>
          <w:rFonts w:ascii="Helvetica" w:hAnsi="Helvetica"/>
          <w:sz w:val="20"/>
          <w:lang w:val="en-GB"/>
        </w:rPr>
      </w:pPr>
      <w:r w:rsidRPr="009D6DFD">
        <w:rPr>
          <w:rFonts w:ascii="Helvetica" w:hAnsi="Helvetica"/>
          <w:b/>
          <w:sz w:val="20"/>
          <w:lang w:val="en-GB"/>
        </w:rPr>
        <w:t>a)</w:t>
      </w:r>
      <w:r w:rsidRPr="00D35DCF">
        <w:rPr>
          <w:rFonts w:ascii="Helvetica" w:hAnsi="Helvetica"/>
          <w:sz w:val="20"/>
          <w:lang w:val="en-GB"/>
        </w:rPr>
        <w:t xml:space="preserve"> Western-blots comparing the established stable FBP1 deletion and over-expression cell types to the wild type and empty-vector cells, respectively. The blots feature biologically independent triplets of each cell type. </w:t>
      </w:r>
      <w:r w:rsidRPr="009D6DFD">
        <w:rPr>
          <w:rFonts w:ascii="Helvetica" w:hAnsi="Helvetica"/>
          <w:b/>
          <w:sz w:val="20"/>
          <w:lang w:val="en-GB"/>
        </w:rPr>
        <w:t>b)</w:t>
      </w:r>
      <w:r w:rsidRPr="00D35DCF">
        <w:rPr>
          <w:rFonts w:ascii="Helvetica" w:hAnsi="Helvetica"/>
          <w:sz w:val="20"/>
          <w:lang w:val="en-GB"/>
        </w:rPr>
        <w:t xml:space="preserve"> The measured </w:t>
      </w:r>
      <w:proofErr w:type="spellStart"/>
      <w:r w:rsidRPr="00D35DCF">
        <w:rPr>
          <w:rFonts w:ascii="Helvetica" w:hAnsi="Helvetica"/>
          <w:sz w:val="20"/>
          <w:lang w:val="en-GB"/>
        </w:rPr>
        <w:t>FBPase</w:t>
      </w:r>
      <w:proofErr w:type="spellEnd"/>
      <w:r w:rsidRPr="00D35DCF">
        <w:rPr>
          <w:rFonts w:ascii="Helvetica" w:hAnsi="Helvetica"/>
          <w:sz w:val="20"/>
          <w:lang w:val="en-GB"/>
        </w:rPr>
        <w:t xml:space="preserve"> catalysis in native protein extracts of</w:t>
      </w:r>
      <w:r>
        <w:rPr>
          <w:rFonts w:ascii="Helvetica" w:hAnsi="Helvetica"/>
          <w:sz w:val="20"/>
          <w:lang w:val="en-GB"/>
        </w:rPr>
        <w:t xml:space="preserve"> the stably modified cell types</w:t>
      </w:r>
      <w:r w:rsidRPr="00D35DCF">
        <w:rPr>
          <w:rFonts w:ascii="Helvetica" w:hAnsi="Helvetica"/>
          <w:sz w:val="20"/>
          <w:lang w:val="en-GB"/>
        </w:rPr>
        <w:t xml:space="preserve">. </w:t>
      </w:r>
    </w:p>
    <w:p w:rsidR="005E038D" w:rsidRDefault="005E038D" w:rsidP="005E038D">
      <w:pPr>
        <w:spacing w:line="360" w:lineRule="auto"/>
        <w:jc w:val="both"/>
        <w:rPr>
          <w:b/>
          <w:lang w:val="en-GB"/>
        </w:rPr>
      </w:pPr>
    </w:p>
    <w:p w:rsidR="005E038D" w:rsidRDefault="005E038D" w:rsidP="005E038D">
      <w:r>
        <w:rPr>
          <w:noProof/>
          <w:lang w:val="en-US"/>
        </w:rPr>
        <w:drawing>
          <wp:inline distT="0" distB="0" distL="0" distR="0" wp14:anchorId="7466DB41" wp14:editId="28F647B9">
            <wp:extent cx="4617720" cy="3916224"/>
            <wp:effectExtent l="0" t="0" r="0" b="0"/>
            <wp:docPr id="12"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4615768" cy="3914568"/>
                    </a:xfrm>
                    <a:prstGeom prst="rect">
                      <a:avLst/>
                    </a:prstGeom>
                    <a:noFill/>
                    <a:ln w="9525">
                      <a:noFill/>
                      <a:miter lim="800000"/>
                      <a:headEnd/>
                      <a:tailEnd/>
                    </a:ln>
                  </pic:spPr>
                </pic:pic>
              </a:graphicData>
            </a:graphic>
          </wp:inline>
        </w:drawing>
      </w:r>
    </w:p>
    <w:p w:rsidR="005E038D" w:rsidRDefault="005E038D" w:rsidP="005E038D"/>
    <w:p w:rsidR="005E038D" w:rsidRPr="00E44B68" w:rsidRDefault="005E038D" w:rsidP="005E038D">
      <w:pPr>
        <w:jc w:val="both"/>
        <w:rPr>
          <w:lang w:val="en-GB"/>
        </w:rPr>
      </w:pPr>
      <w:r>
        <w:rPr>
          <w:b/>
          <w:lang w:val="en-GB"/>
        </w:rPr>
        <w:t xml:space="preserve">Figure S2 </w:t>
      </w:r>
      <w:r w:rsidRPr="00E44B68">
        <w:rPr>
          <w:b/>
          <w:lang w:val="en-GB"/>
        </w:rPr>
        <w:t>Net change of metabolites in medium when incubated with MCF-7 cells.</w:t>
      </w:r>
      <w:r w:rsidRPr="00E44B68">
        <w:rPr>
          <w:lang w:val="en-GB"/>
        </w:rPr>
        <w:t xml:space="preserve">  Only statistically significant (p-Value≤0.05) are depicted. The values of change where calculated </w:t>
      </w:r>
      <w:r>
        <w:rPr>
          <w:lang w:val="en-GB"/>
        </w:rPr>
        <w:t>from HPLC-MS quantification as follows</w:t>
      </w:r>
      <w:r w:rsidRPr="00E44B68">
        <w:rPr>
          <w:lang w:val="en-GB"/>
        </w:rPr>
        <w:t>; log</w:t>
      </w:r>
      <w:r>
        <w:rPr>
          <w:lang w:val="en-GB"/>
        </w:rPr>
        <w:t xml:space="preserve"> </w:t>
      </w:r>
      <w:r w:rsidRPr="00E44B68">
        <w:rPr>
          <w:lang w:val="en-GB"/>
        </w:rPr>
        <w:t xml:space="preserve">(concentration in medium covering cells/concentration in medium without cells). </w:t>
      </w:r>
    </w:p>
    <w:p w:rsidR="005E038D" w:rsidRDefault="005E038D" w:rsidP="005E038D">
      <w:pPr>
        <w:spacing w:line="360" w:lineRule="auto"/>
        <w:jc w:val="both"/>
        <w:rPr>
          <w:b/>
          <w:lang w:val="en-GB"/>
        </w:rPr>
      </w:pPr>
    </w:p>
    <w:p w:rsidR="005E038D" w:rsidRDefault="005E038D" w:rsidP="005E038D">
      <w:pPr>
        <w:spacing w:line="360" w:lineRule="auto"/>
        <w:jc w:val="both"/>
        <w:rPr>
          <w:b/>
          <w:lang w:val="en-GB"/>
        </w:rPr>
      </w:pPr>
    </w:p>
    <w:p w:rsidR="005E038D" w:rsidRDefault="005E038D" w:rsidP="005E038D">
      <w:pPr>
        <w:spacing w:line="360" w:lineRule="auto"/>
        <w:jc w:val="both"/>
        <w:rPr>
          <w:b/>
          <w:lang w:val="en-GB"/>
        </w:rPr>
      </w:pPr>
      <w:r>
        <w:rPr>
          <w:b/>
          <w:noProof/>
          <w:lang w:val="en-US"/>
        </w:rPr>
        <w:drawing>
          <wp:inline distT="0" distB="0" distL="0" distR="0" wp14:anchorId="0B2A4878" wp14:editId="702AE946">
            <wp:extent cx="5756910" cy="1392527"/>
            <wp:effectExtent l="25400" t="0" r="8890" b="0"/>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5756910" cy="1392527"/>
                    </a:xfrm>
                    <a:prstGeom prst="rect">
                      <a:avLst/>
                    </a:prstGeom>
                    <a:noFill/>
                    <a:ln w="9525">
                      <a:noFill/>
                      <a:miter lim="800000"/>
                      <a:headEnd/>
                      <a:tailEnd/>
                    </a:ln>
                  </pic:spPr>
                </pic:pic>
              </a:graphicData>
            </a:graphic>
          </wp:inline>
        </w:drawing>
      </w:r>
    </w:p>
    <w:p w:rsidR="005E038D" w:rsidRPr="00AF2B61" w:rsidRDefault="005E038D" w:rsidP="005E038D">
      <w:pPr>
        <w:jc w:val="both"/>
        <w:rPr>
          <w:rFonts w:ascii="Helvetica" w:hAnsi="Helvetica"/>
          <w:b/>
          <w:sz w:val="22"/>
          <w:lang w:val="en-GB"/>
        </w:rPr>
      </w:pPr>
      <w:r>
        <w:rPr>
          <w:rFonts w:ascii="Helvetica" w:hAnsi="Helvetica"/>
          <w:b/>
          <w:sz w:val="22"/>
          <w:lang w:val="en-GB"/>
        </w:rPr>
        <w:t>Figure S3</w:t>
      </w:r>
      <w:r w:rsidRPr="00AF2B61">
        <w:rPr>
          <w:rFonts w:ascii="Helvetica" w:hAnsi="Helvetica"/>
          <w:b/>
          <w:sz w:val="22"/>
          <w:lang w:val="en-GB"/>
        </w:rPr>
        <w:t xml:space="preserve"> catalytic activity of enzymes in FBP1 KO vs wild type MCF-7 cells</w:t>
      </w:r>
    </w:p>
    <w:p w:rsidR="005E038D" w:rsidRDefault="005E038D" w:rsidP="005E038D">
      <w:pPr>
        <w:jc w:val="both"/>
        <w:rPr>
          <w:rFonts w:ascii="Helvetica" w:hAnsi="Helvetica"/>
          <w:sz w:val="22"/>
          <w:lang w:val="en-GB"/>
        </w:rPr>
      </w:pPr>
      <w:r w:rsidRPr="00AF2B61">
        <w:rPr>
          <w:rFonts w:ascii="Helvetica" w:hAnsi="Helvetica"/>
          <w:b/>
          <w:sz w:val="22"/>
          <w:lang w:val="en-GB"/>
        </w:rPr>
        <w:t>a)</w:t>
      </w:r>
      <w:r w:rsidRPr="00AF2B61">
        <w:rPr>
          <w:rFonts w:ascii="Helvetica" w:hAnsi="Helvetica"/>
          <w:sz w:val="22"/>
          <w:lang w:val="en-GB"/>
        </w:rPr>
        <w:t xml:space="preserve"> PHGDH</w:t>
      </w:r>
      <w:r>
        <w:rPr>
          <w:rFonts w:ascii="Helvetica" w:hAnsi="Helvetica"/>
          <w:sz w:val="22"/>
          <w:lang w:val="en-GB"/>
        </w:rPr>
        <w:t>;</w:t>
      </w:r>
      <w:r w:rsidRPr="00AF2B61">
        <w:rPr>
          <w:rFonts w:ascii="Helvetica" w:hAnsi="Helvetica"/>
          <w:sz w:val="22"/>
          <w:lang w:val="en-GB"/>
        </w:rPr>
        <w:t xml:space="preserve"> </w:t>
      </w:r>
      <w:r w:rsidRPr="00AF2B61">
        <w:rPr>
          <w:rFonts w:ascii="Helvetica" w:hAnsi="Helvetica"/>
          <w:b/>
          <w:sz w:val="22"/>
          <w:lang w:val="en-GB"/>
        </w:rPr>
        <w:t xml:space="preserve">b) </w:t>
      </w:r>
      <w:r w:rsidRPr="00AF2B61">
        <w:rPr>
          <w:rFonts w:ascii="Helvetica" w:hAnsi="Helvetica"/>
          <w:sz w:val="22"/>
          <w:lang w:val="en-GB"/>
        </w:rPr>
        <w:t>GAPDH</w:t>
      </w:r>
      <w:r>
        <w:rPr>
          <w:rFonts w:ascii="Helvetica" w:hAnsi="Helvetica"/>
          <w:sz w:val="22"/>
          <w:lang w:val="en-GB"/>
        </w:rPr>
        <w:t>;</w:t>
      </w:r>
      <w:r w:rsidRPr="00AF2B61">
        <w:rPr>
          <w:rFonts w:ascii="Helvetica" w:hAnsi="Helvetica"/>
          <w:sz w:val="22"/>
          <w:lang w:val="en-GB"/>
        </w:rPr>
        <w:t xml:space="preserve"> </w:t>
      </w:r>
      <w:r w:rsidRPr="00AF2B61">
        <w:rPr>
          <w:rFonts w:ascii="Helvetica" w:hAnsi="Helvetica"/>
          <w:b/>
          <w:sz w:val="22"/>
          <w:lang w:val="en-GB"/>
        </w:rPr>
        <w:t>c)</w:t>
      </w:r>
      <w:r w:rsidRPr="00AF2B61">
        <w:rPr>
          <w:rFonts w:ascii="Helvetica" w:hAnsi="Helvetica"/>
          <w:sz w:val="22"/>
          <w:lang w:val="en-GB"/>
        </w:rPr>
        <w:t xml:space="preserve"> PK.  Featured are mean values± SD (n=3; technical replicates).</w:t>
      </w:r>
    </w:p>
    <w:p w:rsidR="005E038D" w:rsidRDefault="005E038D" w:rsidP="005E038D">
      <w:pPr>
        <w:jc w:val="both"/>
        <w:rPr>
          <w:rFonts w:ascii="Helvetica" w:hAnsi="Helvetica"/>
          <w:sz w:val="22"/>
          <w:lang w:val="en-GB"/>
        </w:rPr>
      </w:pPr>
    </w:p>
    <w:p w:rsidR="005E038D" w:rsidRPr="00AF2B61" w:rsidRDefault="005E038D" w:rsidP="005E038D">
      <w:pPr>
        <w:jc w:val="both"/>
        <w:rPr>
          <w:rFonts w:ascii="Helvetica" w:hAnsi="Helvetica"/>
          <w:sz w:val="22"/>
          <w:lang w:val="en-GB"/>
        </w:rPr>
      </w:pPr>
    </w:p>
    <w:p w:rsidR="005E038D" w:rsidRDefault="005E038D" w:rsidP="005E038D">
      <w:pPr>
        <w:spacing w:line="360" w:lineRule="auto"/>
        <w:jc w:val="both"/>
        <w:rPr>
          <w:lang w:val="en-GB"/>
        </w:rPr>
      </w:pPr>
      <w:r w:rsidRPr="002D45FC">
        <w:rPr>
          <w:noProof/>
          <w:lang w:val="en-US"/>
        </w:rPr>
        <w:drawing>
          <wp:inline distT="0" distB="0" distL="0" distR="0" wp14:anchorId="39441FC9" wp14:editId="05843784">
            <wp:extent cx="5659755" cy="1905635"/>
            <wp:effectExtent l="25400" t="25400" r="29845" b="24765"/>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59755" cy="1905635"/>
                    </a:xfrm>
                    <a:prstGeom prst="rect">
                      <a:avLst/>
                    </a:prstGeom>
                    <a:noFill/>
                    <a:ln w="12700" cmpd="sng">
                      <a:solidFill>
                        <a:srgbClr val="000000"/>
                      </a:solidFill>
                      <a:miter lim="800000"/>
                      <a:headEnd/>
                      <a:tailEnd/>
                    </a:ln>
                    <a:effectLst/>
                  </pic:spPr>
                </pic:pic>
              </a:graphicData>
            </a:graphic>
          </wp:inline>
        </w:drawing>
      </w:r>
    </w:p>
    <w:p w:rsidR="005E038D" w:rsidRPr="00D35DCF" w:rsidRDefault="005E038D" w:rsidP="005E038D">
      <w:pPr>
        <w:pStyle w:val="EndNoteBibliography"/>
        <w:tabs>
          <w:tab w:val="left" w:pos="1228"/>
        </w:tabs>
        <w:jc w:val="both"/>
        <w:rPr>
          <w:rFonts w:ascii="Helvetica" w:hAnsi="Helvetica"/>
          <w:b/>
          <w:bCs/>
          <w:sz w:val="20"/>
          <w:szCs w:val="20"/>
          <w:lang w:val="en-GB"/>
        </w:rPr>
      </w:pPr>
      <w:r>
        <w:rPr>
          <w:rFonts w:ascii="Helvetica" w:hAnsi="Helvetica"/>
          <w:b/>
          <w:bCs/>
          <w:sz w:val="20"/>
          <w:szCs w:val="20"/>
          <w:lang w:val="en-GB"/>
        </w:rPr>
        <w:t xml:space="preserve">Figure S4 </w:t>
      </w:r>
      <w:r w:rsidRPr="00D35DCF">
        <w:rPr>
          <w:rFonts w:ascii="Helvetica" w:hAnsi="Helvetica"/>
          <w:b/>
          <w:bCs/>
          <w:sz w:val="20"/>
          <w:szCs w:val="20"/>
          <w:lang w:val="en-GB"/>
        </w:rPr>
        <w:t>online monitoring of acidi</w:t>
      </w:r>
      <w:r>
        <w:rPr>
          <w:rFonts w:ascii="Helvetica" w:hAnsi="Helvetica"/>
          <w:b/>
          <w:bCs/>
          <w:sz w:val="20"/>
          <w:szCs w:val="20"/>
          <w:lang w:val="en-GB"/>
        </w:rPr>
        <w:t>fication and impedance in MDA-MB-</w:t>
      </w:r>
      <w:r w:rsidRPr="00D35DCF">
        <w:rPr>
          <w:rFonts w:ascii="Helvetica" w:hAnsi="Helvetica"/>
          <w:b/>
          <w:bCs/>
          <w:sz w:val="20"/>
          <w:szCs w:val="20"/>
          <w:lang w:val="en-GB"/>
        </w:rPr>
        <w:t>231 cells with FBP1 over-expression using</w:t>
      </w:r>
      <w:r>
        <w:rPr>
          <w:rFonts w:ascii="Helvetica" w:hAnsi="Helvetica"/>
          <w:b/>
          <w:bCs/>
          <w:sz w:val="20"/>
          <w:szCs w:val="20"/>
          <w:lang w:val="en-GB"/>
        </w:rPr>
        <w:t xml:space="preserve"> the </w:t>
      </w:r>
      <w:proofErr w:type="spellStart"/>
      <w:r>
        <w:rPr>
          <w:rFonts w:ascii="Helvetica" w:hAnsi="Helvetica"/>
          <w:b/>
          <w:bCs/>
          <w:sz w:val="20"/>
          <w:szCs w:val="20"/>
          <w:lang w:val="en-GB"/>
        </w:rPr>
        <w:t>Bionas</w:t>
      </w:r>
      <w:proofErr w:type="spellEnd"/>
      <w:r>
        <w:rPr>
          <w:rFonts w:ascii="Helvetica" w:hAnsi="Helvetica"/>
          <w:b/>
          <w:bCs/>
          <w:sz w:val="20"/>
          <w:szCs w:val="20"/>
          <w:lang w:val="en-GB"/>
        </w:rPr>
        <w:t xml:space="preserve"> flow-through system</w:t>
      </w:r>
    </w:p>
    <w:p w:rsidR="005E038D" w:rsidRPr="009D6DFD" w:rsidRDefault="005E038D" w:rsidP="005E038D">
      <w:pPr>
        <w:jc w:val="both"/>
        <w:rPr>
          <w:rFonts w:ascii="Helvetica" w:hAnsi="Helvetica"/>
          <w:b/>
          <w:bCs/>
          <w:sz w:val="20"/>
          <w:szCs w:val="20"/>
          <w:lang w:val="en-GB"/>
        </w:rPr>
      </w:pPr>
      <w:r w:rsidRPr="009D6DFD">
        <w:rPr>
          <w:rFonts w:ascii="Helvetica" w:hAnsi="Helvetica"/>
          <w:b/>
          <w:bCs/>
          <w:sz w:val="20"/>
          <w:szCs w:val="20"/>
          <w:lang w:val="en-GB"/>
        </w:rPr>
        <w:t>a)</w:t>
      </w:r>
      <w:r>
        <w:rPr>
          <w:rFonts w:ascii="Helvetica" w:hAnsi="Helvetica"/>
          <w:bCs/>
          <w:sz w:val="20"/>
          <w:szCs w:val="20"/>
          <w:lang w:val="en-GB"/>
        </w:rPr>
        <w:t xml:space="preserve"> </w:t>
      </w:r>
      <w:r w:rsidRPr="009D6DFD">
        <w:rPr>
          <w:rFonts w:ascii="Helvetica" w:hAnsi="Helvetica"/>
          <w:bCs/>
          <w:sz w:val="20"/>
          <w:szCs w:val="20"/>
          <w:lang w:val="en-GB"/>
        </w:rPr>
        <w:t>Acidification rate (%) over time in MDA-mb231 oeFBP1 relative to that of the control cells with the empty vector.</w:t>
      </w:r>
      <w:r w:rsidRPr="009D6DFD">
        <w:rPr>
          <w:rFonts w:ascii="Helvetica" w:hAnsi="Helvetica"/>
          <w:b/>
          <w:bCs/>
          <w:sz w:val="20"/>
          <w:szCs w:val="20"/>
          <w:lang w:val="en-GB"/>
        </w:rPr>
        <w:t xml:space="preserve"> b)</w:t>
      </w:r>
      <w:r w:rsidRPr="009D6DFD">
        <w:rPr>
          <w:rFonts w:ascii="Helvetica" w:hAnsi="Helvetica"/>
          <w:bCs/>
          <w:sz w:val="20"/>
          <w:szCs w:val="20"/>
          <w:lang w:val="en-GB"/>
        </w:rPr>
        <w:t xml:space="preserve"> Impedance (%) over time in MDA-mb231 oeFBP1 relative to that of the control cells with the empty vector.</w:t>
      </w:r>
      <w:r w:rsidRPr="009D6DFD">
        <w:rPr>
          <w:rFonts w:ascii="Helvetica" w:hAnsi="Helvetica"/>
          <w:b/>
          <w:bCs/>
          <w:sz w:val="20"/>
          <w:szCs w:val="20"/>
          <w:lang w:val="en-GB"/>
        </w:rPr>
        <w:tab/>
      </w:r>
    </w:p>
    <w:p w:rsidR="005E038D" w:rsidRDefault="005E038D" w:rsidP="005E038D">
      <w:pPr>
        <w:spacing w:line="360" w:lineRule="auto"/>
        <w:jc w:val="both"/>
        <w:rPr>
          <w:lang w:val="en-GB"/>
        </w:rPr>
      </w:pPr>
    </w:p>
    <w:p w:rsidR="005E038D" w:rsidRPr="00263623" w:rsidRDefault="005E038D" w:rsidP="005E038D">
      <w:pPr>
        <w:spacing w:line="360" w:lineRule="auto"/>
        <w:jc w:val="both"/>
        <w:rPr>
          <w:lang w:val="en-GB"/>
        </w:rPr>
      </w:pPr>
    </w:p>
    <w:p w:rsidR="005E038D" w:rsidRDefault="005E038D" w:rsidP="005E038D">
      <w:pPr>
        <w:spacing w:line="360" w:lineRule="auto"/>
        <w:jc w:val="both"/>
        <w:rPr>
          <w:lang w:val="en-GB"/>
        </w:rPr>
      </w:pPr>
    </w:p>
    <w:p w:rsidR="005E038D" w:rsidRDefault="005E038D" w:rsidP="005E038D">
      <w:pPr>
        <w:pStyle w:val="EndNoteBibliography"/>
        <w:ind w:left="720" w:hanging="720"/>
        <w:rPr>
          <w:lang w:val="en-GB"/>
        </w:rPr>
      </w:pPr>
    </w:p>
    <w:p w:rsidR="005E038D" w:rsidRDefault="005E038D" w:rsidP="005E038D">
      <w:pPr>
        <w:pStyle w:val="EndNoteBibliography"/>
        <w:ind w:left="720" w:hanging="720"/>
        <w:rPr>
          <w:lang w:val="en-GB"/>
        </w:rPr>
      </w:pPr>
    </w:p>
    <w:p w:rsidR="005E038D" w:rsidRDefault="005E038D" w:rsidP="005E038D">
      <w:pPr>
        <w:pStyle w:val="EndNoteBibliography"/>
        <w:ind w:left="720" w:hanging="720"/>
        <w:rPr>
          <w:lang w:val="en-GB"/>
        </w:rPr>
      </w:pPr>
    </w:p>
    <w:p w:rsidR="005E038D" w:rsidRDefault="005E038D" w:rsidP="005E038D">
      <w:pPr>
        <w:pStyle w:val="EndNoteBibliography"/>
        <w:ind w:left="720" w:hanging="720"/>
        <w:rPr>
          <w:lang w:val="en-GB"/>
        </w:rPr>
      </w:pPr>
      <w:r>
        <w:rPr>
          <w:noProof/>
        </w:rPr>
        <w:lastRenderedPageBreak/>
        <w:drawing>
          <wp:inline distT="0" distB="0" distL="0" distR="0" wp14:anchorId="3C528018" wp14:editId="4408FAF3">
            <wp:extent cx="5756910" cy="3605305"/>
            <wp:effectExtent l="0" t="0" r="0" b="0"/>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5756910" cy="3605305"/>
                    </a:xfrm>
                    <a:prstGeom prst="rect">
                      <a:avLst/>
                    </a:prstGeom>
                    <a:noFill/>
                    <a:ln w="9525">
                      <a:noFill/>
                      <a:miter lim="800000"/>
                      <a:headEnd/>
                      <a:tailEnd/>
                    </a:ln>
                  </pic:spPr>
                </pic:pic>
              </a:graphicData>
            </a:graphic>
          </wp:inline>
        </w:drawing>
      </w:r>
    </w:p>
    <w:p w:rsidR="005E038D" w:rsidRDefault="005E038D" w:rsidP="005E038D">
      <w:pPr>
        <w:pStyle w:val="EndNoteBibliography"/>
        <w:ind w:left="720" w:hanging="720"/>
        <w:rPr>
          <w:lang w:val="en-GB"/>
        </w:rPr>
      </w:pPr>
    </w:p>
    <w:p w:rsidR="005E038D" w:rsidRPr="00C71096" w:rsidRDefault="005E038D" w:rsidP="005E038D">
      <w:pPr>
        <w:pStyle w:val="EndNoteBibliography"/>
        <w:rPr>
          <w:rFonts w:ascii="Helvetica" w:hAnsi="Helvetica"/>
          <w:b/>
          <w:sz w:val="22"/>
          <w:lang w:val="en-GB"/>
        </w:rPr>
      </w:pPr>
      <w:r>
        <w:rPr>
          <w:rFonts w:ascii="Helvetica" w:hAnsi="Helvetica"/>
          <w:b/>
          <w:sz w:val="22"/>
          <w:lang w:val="en-GB"/>
        </w:rPr>
        <w:t>Figure S5</w:t>
      </w:r>
      <w:r w:rsidRPr="00C71096">
        <w:rPr>
          <w:rFonts w:ascii="Helvetica" w:hAnsi="Helvetica"/>
          <w:b/>
          <w:sz w:val="22"/>
          <w:lang w:val="en-GB"/>
        </w:rPr>
        <w:t xml:space="preserve"> transient and long-term effects of FBP1 on mitochondrial variables in MDA-MB231 cells. </w:t>
      </w:r>
    </w:p>
    <w:p w:rsidR="005E038D" w:rsidRPr="00C71096" w:rsidRDefault="005E038D" w:rsidP="005E038D">
      <w:pPr>
        <w:pStyle w:val="EndNoteBibliography"/>
        <w:jc w:val="both"/>
        <w:rPr>
          <w:rFonts w:ascii="Helvetica" w:hAnsi="Helvetica"/>
          <w:sz w:val="22"/>
          <w:lang w:val="en-GB"/>
        </w:rPr>
      </w:pPr>
      <w:proofErr w:type="spellStart"/>
      <w:proofErr w:type="gramStart"/>
      <w:r w:rsidRPr="009D6DFD">
        <w:rPr>
          <w:rFonts w:ascii="Helvetica" w:hAnsi="Helvetica"/>
          <w:b/>
          <w:sz w:val="22"/>
          <w:lang w:val="en-GB"/>
        </w:rPr>
        <w:t>a,b</w:t>
      </w:r>
      <w:proofErr w:type="spellEnd"/>
      <w:proofErr w:type="gramEnd"/>
      <w:r>
        <w:rPr>
          <w:rFonts w:ascii="Helvetica" w:hAnsi="Helvetica"/>
          <w:b/>
          <w:sz w:val="22"/>
          <w:lang w:val="en-GB"/>
        </w:rPr>
        <w:t>)</w:t>
      </w:r>
      <w:r w:rsidRPr="009D6DFD">
        <w:rPr>
          <w:rFonts w:ascii="Helvetica" w:hAnsi="Helvetica"/>
          <w:b/>
          <w:sz w:val="22"/>
          <w:lang w:val="en-GB"/>
        </w:rPr>
        <w:t xml:space="preserve"> </w:t>
      </w:r>
      <w:r w:rsidRPr="009D6DFD">
        <w:rPr>
          <w:rFonts w:ascii="Helvetica" w:hAnsi="Helvetica"/>
          <w:sz w:val="22"/>
          <w:lang w:val="en-GB"/>
        </w:rPr>
        <w:t>and</w:t>
      </w:r>
      <w:r w:rsidRPr="009D6DFD">
        <w:rPr>
          <w:rFonts w:ascii="Helvetica" w:hAnsi="Helvetica"/>
          <w:b/>
          <w:sz w:val="22"/>
          <w:lang w:val="en-GB"/>
        </w:rPr>
        <w:t xml:space="preserve"> c)</w:t>
      </w:r>
      <w:r w:rsidRPr="00C71096">
        <w:rPr>
          <w:rFonts w:ascii="Helvetica" w:hAnsi="Helvetica"/>
          <w:sz w:val="22"/>
          <w:lang w:val="en-GB"/>
        </w:rPr>
        <w:t xml:space="preserve"> ROS accumulation (DHE), mitochondrial inner-membrane potential MIMP (JC-1) and mitochondrial </w:t>
      </w:r>
      <w:proofErr w:type="spellStart"/>
      <w:r w:rsidRPr="00C71096">
        <w:rPr>
          <w:rFonts w:ascii="Helvetica" w:hAnsi="Helvetica"/>
          <w:sz w:val="22"/>
          <w:lang w:val="en-GB"/>
        </w:rPr>
        <w:t>biomas</w:t>
      </w:r>
      <w:proofErr w:type="spellEnd"/>
      <w:r w:rsidRPr="00C71096">
        <w:rPr>
          <w:rFonts w:ascii="Helvetica" w:hAnsi="Helvetica"/>
          <w:sz w:val="22"/>
          <w:lang w:val="en-GB"/>
        </w:rPr>
        <w:t xml:space="preserve"> (</w:t>
      </w:r>
      <w:proofErr w:type="spellStart"/>
      <w:r w:rsidRPr="00C71096">
        <w:rPr>
          <w:rFonts w:ascii="Helvetica" w:hAnsi="Helvetica"/>
          <w:sz w:val="22"/>
          <w:lang w:val="en-GB"/>
        </w:rPr>
        <w:t>MItoTracker</w:t>
      </w:r>
      <w:proofErr w:type="spellEnd"/>
      <w:r w:rsidRPr="00C71096">
        <w:rPr>
          <w:rFonts w:ascii="Helvetica" w:hAnsi="Helvetica"/>
          <w:sz w:val="22"/>
          <w:lang w:val="en-GB"/>
        </w:rPr>
        <w:t xml:space="preserve"> Green), respectively. Measured in stably transfected MDA-MB231 oeFBP1 cells vs </w:t>
      </w:r>
      <w:proofErr w:type="spellStart"/>
      <w:r w:rsidRPr="00C71096">
        <w:rPr>
          <w:rFonts w:ascii="Helvetica" w:hAnsi="Helvetica"/>
          <w:sz w:val="22"/>
          <w:lang w:val="en-GB"/>
        </w:rPr>
        <w:t>vec</w:t>
      </w:r>
      <w:proofErr w:type="spellEnd"/>
      <w:r w:rsidRPr="00C71096">
        <w:rPr>
          <w:rFonts w:ascii="Helvetica" w:hAnsi="Helvetica"/>
          <w:sz w:val="22"/>
          <w:lang w:val="en-GB"/>
        </w:rPr>
        <w:t xml:space="preserve">. 5000 stained cells were </w:t>
      </w:r>
      <w:proofErr w:type="spellStart"/>
      <w:r w:rsidRPr="00C71096">
        <w:rPr>
          <w:rFonts w:ascii="Helvetica" w:hAnsi="Helvetica"/>
          <w:sz w:val="22"/>
          <w:lang w:val="en-GB"/>
        </w:rPr>
        <w:t>analyzed</w:t>
      </w:r>
      <w:proofErr w:type="spellEnd"/>
      <w:r w:rsidRPr="00C71096">
        <w:rPr>
          <w:rFonts w:ascii="Helvetica" w:hAnsi="Helvetica"/>
          <w:sz w:val="22"/>
          <w:lang w:val="en-GB"/>
        </w:rPr>
        <w:t xml:space="preserve"> using FACS, values indicate the </w:t>
      </w:r>
      <w:proofErr w:type="spellStart"/>
      <w:r w:rsidRPr="00C71096">
        <w:rPr>
          <w:rFonts w:ascii="Helvetica" w:hAnsi="Helvetica"/>
          <w:sz w:val="22"/>
          <w:lang w:val="en-GB"/>
        </w:rPr>
        <w:t>mean±SD</w:t>
      </w:r>
      <w:proofErr w:type="spellEnd"/>
      <w:r w:rsidRPr="00C71096">
        <w:rPr>
          <w:rFonts w:ascii="Helvetica" w:hAnsi="Helvetica"/>
          <w:sz w:val="22"/>
          <w:lang w:val="en-GB"/>
        </w:rPr>
        <w:t xml:space="preserve">, n≥3. </w:t>
      </w:r>
      <w:proofErr w:type="spellStart"/>
      <w:proofErr w:type="gramStart"/>
      <w:r>
        <w:rPr>
          <w:rFonts w:ascii="Helvetica" w:hAnsi="Helvetica"/>
          <w:b/>
          <w:sz w:val="22"/>
          <w:lang w:val="en-GB"/>
        </w:rPr>
        <w:t>d,e</w:t>
      </w:r>
      <w:proofErr w:type="gramEnd"/>
      <w:r>
        <w:rPr>
          <w:rFonts w:ascii="Helvetica" w:hAnsi="Helvetica"/>
          <w:b/>
          <w:sz w:val="22"/>
          <w:lang w:val="en-GB"/>
        </w:rPr>
        <w:t>&amp;</w:t>
      </w:r>
      <w:r w:rsidRPr="009D6DFD">
        <w:rPr>
          <w:rFonts w:ascii="Helvetica" w:hAnsi="Helvetica"/>
          <w:b/>
          <w:sz w:val="22"/>
          <w:lang w:val="en-GB"/>
        </w:rPr>
        <w:t>f</w:t>
      </w:r>
      <w:proofErr w:type="spellEnd"/>
      <w:r w:rsidRPr="009D6DFD">
        <w:rPr>
          <w:rFonts w:ascii="Helvetica" w:hAnsi="Helvetica"/>
          <w:b/>
          <w:sz w:val="22"/>
          <w:lang w:val="en-GB"/>
        </w:rPr>
        <w:t>)</w:t>
      </w:r>
      <w:r w:rsidRPr="00C71096">
        <w:rPr>
          <w:rFonts w:ascii="Helvetica" w:hAnsi="Helvetica"/>
          <w:sz w:val="22"/>
          <w:lang w:val="en-GB"/>
        </w:rPr>
        <w:t xml:space="preserve"> ROS accumulation (DHE), mitochondrial inner-membrane potential MIMP (JC-1) and mitochondrial </w:t>
      </w:r>
      <w:proofErr w:type="spellStart"/>
      <w:r w:rsidRPr="00C71096">
        <w:rPr>
          <w:rFonts w:ascii="Helvetica" w:hAnsi="Helvetica"/>
          <w:sz w:val="22"/>
          <w:lang w:val="en-GB"/>
        </w:rPr>
        <w:t>biomas</w:t>
      </w:r>
      <w:proofErr w:type="spellEnd"/>
      <w:r w:rsidRPr="00C71096">
        <w:rPr>
          <w:rFonts w:ascii="Helvetica" w:hAnsi="Helvetica"/>
          <w:sz w:val="22"/>
          <w:lang w:val="en-GB"/>
        </w:rPr>
        <w:t xml:space="preserve"> (</w:t>
      </w:r>
      <w:proofErr w:type="spellStart"/>
      <w:r w:rsidRPr="00C71096">
        <w:rPr>
          <w:rFonts w:ascii="Helvetica" w:hAnsi="Helvetica"/>
          <w:sz w:val="22"/>
          <w:lang w:val="en-GB"/>
        </w:rPr>
        <w:t>MItoTracker</w:t>
      </w:r>
      <w:proofErr w:type="spellEnd"/>
      <w:r w:rsidRPr="00C71096">
        <w:rPr>
          <w:rFonts w:ascii="Helvetica" w:hAnsi="Helvetica"/>
          <w:sz w:val="22"/>
          <w:lang w:val="en-GB"/>
        </w:rPr>
        <w:t xml:space="preserve"> Green), respectively. Measured in transiently transfected MDA-MB231 oeFBP1 cells vs </w:t>
      </w:r>
      <w:proofErr w:type="spellStart"/>
      <w:r w:rsidRPr="00C71096">
        <w:rPr>
          <w:rFonts w:ascii="Helvetica" w:hAnsi="Helvetica"/>
          <w:sz w:val="22"/>
          <w:lang w:val="en-GB"/>
        </w:rPr>
        <w:t>vec</w:t>
      </w:r>
      <w:proofErr w:type="spellEnd"/>
      <w:r w:rsidRPr="00C71096">
        <w:rPr>
          <w:rFonts w:ascii="Helvetica" w:hAnsi="Helvetica"/>
          <w:sz w:val="22"/>
          <w:lang w:val="en-GB"/>
        </w:rPr>
        <w:t xml:space="preserve">. 5000 stained cells were </w:t>
      </w:r>
      <w:proofErr w:type="spellStart"/>
      <w:r w:rsidRPr="00C71096">
        <w:rPr>
          <w:rFonts w:ascii="Helvetica" w:hAnsi="Helvetica"/>
          <w:sz w:val="22"/>
          <w:lang w:val="en-GB"/>
        </w:rPr>
        <w:t>analyzed</w:t>
      </w:r>
      <w:proofErr w:type="spellEnd"/>
      <w:r w:rsidRPr="00C71096">
        <w:rPr>
          <w:rFonts w:ascii="Helvetica" w:hAnsi="Helvetica"/>
          <w:sz w:val="22"/>
          <w:lang w:val="en-GB"/>
        </w:rPr>
        <w:t xml:space="preserve"> using FACS, values indicate the </w:t>
      </w:r>
      <w:proofErr w:type="spellStart"/>
      <w:r w:rsidRPr="00C71096">
        <w:rPr>
          <w:rFonts w:ascii="Helvetica" w:hAnsi="Helvetica"/>
          <w:sz w:val="22"/>
          <w:lang w:val="en-GB"/>
        </w:rPr>
        <w:t>mean±SD</w:t>
      </w:r>
      <w:proofErr w:type="spellEnd"/>
      <w:r w:rsidRPr="00C71096">
        <w:rPr>
          <w:rFonts w:ascii="Helvetica" w:hAnsi="Helvetica"/>
          <w:sz w:val="22"/>
          <w:lang w:val="en-GB"/>
        </w:rPr>
        <w:t>, n=3.</w:t>
      </w:r>
    </w:p>
    <w:p w:rsidR="005E038D" w:rsidRDefault="005E038D" w:rsidP="005E038D">
      <w:pPr>
        <w:pStyle w:val="EndNoteBibliography"/>
        <w:ind w:left="720" w:hanging="720"/>
        <w:rPr>
          <w:lang w:val="en-GB"/>
        </w:rPr>
      </w:pPr>
    </w:p>
    <w:p w:rsidR="005E038D" w:rsidRDefault="005E038D" w:rsidP="005E038D">
      <w:pPr>
        <w:rPr>
          <w:lang w:val="en-GB"/>
        </w:rPr>
      </w:pPr>
      <w:r>
        <w:rPr>
          <w:lang w:val="en-GB"/>
        </w:rPr>
        <w:br w:type="page"/>
      </w:r>
    </w:p>
    <w:p w:rsidR="005E038D" w:rsidRPr="00E44B68" w:rsidRDefault="005E038D" w:rsidP="005E038D">
      <w:pPr>
        <w:jc w:val="both"/>
        <w:rPr>
          <w:lang w:val="en-GB"/>
        </w:rPr>
      </w:pPr>
    </w:p>
    <w:p w:rsidR="005E038D" w:rsidRDefault="005E038D" w:rsidP="005E038D">
      <w:pPr>
        <w:spacing w:line="360" w:lineRule="auto"/>
        <w:jc w:val="both"/>
        <w:rPr>
          <w:lang w:val="en-GB"/>
        </w:rPr>
      </w:pPr>
      <w:r>
        <w:rPr>
          <w:noProof/>
          <w:lang w:val="en-US"/>
        </w:rPr>
        <w:drawing>
          <wp:inline distT="0" distB="0" distL="0" distR="0" wp14:anchorId="27901B23" wp14:editId="5E6DE5E7">
            <wp:extent cx="5756910" cy="8615094"/>
            <wp:effectExtent l="0" t="0" r="0" b="0"/>
            <wp:docPr id="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756910" cy="8615094"/>
                    </a:xfrm>
                    <a:prstGeom prst="rect">
                      <a:avLst/>
                    </a:prstGeom>
                    <a:noFill/>
                    <a:ln w="9525">
                      <a:noFill/>
                      <a:miter lim="800000"/>
                      <a:headEnd/>
                      <a:tailEnd/>
                    </a:ln>
                  </pic:spPr>
                </pic:pic>
              </a:graphicData>
            </a:graphic>
          </wp:inline>
        </w:drawing>
      </w:r>
    </w:p>
    <w:p w:rsidR="005E038D" w:rsidRDefault="005E038D" w:rsidP="005E038D">
      <w:pPr>
        <w:spacing w:line="360" w:lineRule="auto"/>
        <w:jc w:val="both"/>
        <w:rPr>
          <w:lang w:val="en-GB"/>
        </w:rPr>
      </w:pPr>
      <w:r>
        <w:rPr>
          <w:b/>
          <w:lang w:val="en-GB"/>
        </w:rPr>
        <w:lastRenderedPageBreak/>
        <w:t>Figure S6</w:t>
      </w:r>
      <w:r>
        <w:rPr>
          <w:lang w:val="en-GB"/>
        </w:rPr>
        <w:t xml:space="preserve"> </w:t>
      </w:r>
      <w:r w:rsidRPr="00327519">
        <w:rPr>
          <w:b/>
          <w:lang w:val="en-GB"/>
        </w:rPr>
        <w:t xml:space="preserve">a) </w:t>
      </w:r>
      <w:r w:rsidRPr="00327519">
        <w:rPr>
          <w:lang w:val="en-GB"/>
        </w:rPr>
        <w:t>An interaction network of the d</w:t>
      </w:r>
      <w:r>
        <w:rPr>
          <w:lang w:val="en-GB"/>
        </w:rPr>
        <w:t>own-regulated genes in the MDA-MB-</w:t>
      </w:r>
      <w:r w:rsidRPr="00327519">
        <w:rPr>
          <w:lang w:val="en-GB"/>
        </w:rPr>
        <w:t>231 cells with oeFBP1 stable over-expression. Network generated using the STRING (Functional protein association network). The depicted interactions include only those with an interaction score of 0.7 or higher (high confidence)</w:t>
      </w:r>
      <w:r>
        <w:rPr>
          <w:lang w:val="en-GB"/>
        </w:rPr>
        <w:t xml:space="preserve">. </w:t>
      </w:r>
      <w:r w:rsidRPr="00327519">
        <w:rPr>
          <w:b/>
          <w:lang w:val="en-GB"/>
        </w:rPr>
        <w:t xml:space="preserve">b) </w:t>
      </w:r>
      <w:r>
        <w:rPr>
          <w:lang w:val="en-GB"/>
        </w:rPr>
        <w:t>H</w:t>
      </w:r>
      <w:r w:rsidRPr="00327519">
        <w:rPr>
          <w:lang w:val="en-GB"/>
        </w:rPr>
        <w:t>eat</w:t>
      </w:r>
      <w:r>
        <w:rPr>
          <w:lang w:val="en-GB"/>
        </w:rPr>
        <w:t>-</w:t>
      </w:r>
      <w:r w:rsidRPr="00327519">
        <w:rPr>
          <w:lang w:val="en-GB"/>
        </w:rPr>
        <w:t>map depicting the down-regulated genes (oeFBP1/vector) based on the level of down-regulation</w:t>
      </w:r>
      <w:r>
        <w:rPr>
          <w:lang w:val="en-GB"/>
        </w:rPr>
        <w:t xml:space="preserve"> </w:t>
      </w:r>
      <w:r w:rsidRPr="00327519">
        <w:rPr>
          <w:lang w:val="en-GB"/>
        </w:rPr>
        <w:t>(ascending)</w:t>
      </w:r>
      <w:r>
        <w:rPr>
          <w:lang w:val="en-GB"/>
        </w:rPr>
        <w:t xml:space="preserve">. </w:t>
      </w:r>
    </w:p>
    <w:p w:rsidR="005E038D" w:rsidRDefault="005E038D" w:rsidP="005E038D">
      <w:pPr>
        <w:spacing w:line="360" w:lineRule="auto"/>
        <w:jc w:val="both"/>
        <w:rPr>
          <w:lang w:val="en-GB"/>
        </w:rPr>
      </w:pPr>
      <w:r w:rsidRPr="00CF1425">
        <w:rPr>
          <w:b/>
          <w:lang w:val="en-GB"/>
        </w:rPr>
        <w:t>c)</w:t>
      </w:r>
      <w:r w:rsidRPr="00CF1425">
        <w:rPr>
          <w:lang w:val="en-GB"/>
        </w:rPr>
        <w:t xml:space="preserve"> An interaction network of the </w:t>
      </w:r>
      <w:r>
        <w:rPr>
          <w:lang w:val="en-GB"/>
        </w:rPr>
        <w:t>up-regulated genes in the MDA-MB-</w:t>
      </w:r>
      <w:r w:rsidRPr="00CF1425">
        <w:rPr>
          <w:lang w:val="en-GB"/>
        </w:rPr>
        <w:t xml:space="preserve">231 cells with FBP1 stable over-expression. Network generated using the STRING (Functional protein association network). </w:t>
      </w:r>
      <w:r>
        <w:rPr>
          <w:lang w:val="en-GB"/>
        </w:rPr>
        <w:t>T</w:t>
      </w:r>
      <w:r w:rsidRPr="00CF1425">
        <w:rPr>
          <w:lang w:val="en-GB"/>
        </w:rPr>
        <w:t>he depicted interactions include only those with an interaction score of 0.4 or higher (medium confidence)</w:t>
      </w:r>
      <w:r>
        <w:rPr>
          <w:lang w:val="en-GB"/>
        </w:rPr>
        <w:t>.</w:t>
      </w:r>
      <w:r w:rsidRPr="00CF1425">
        <w:rPr>
          <w:b/>
          <w:lang w:val="en-GB"/>
        </w:rPr>
        <w:t xml:space="preserve"> d) </w:t>
      </w:r>
      <w:r>
        <w:rPr>
          <w:lang w:val="en-GB"/>
        </w:rPr>
        <w:t xml:space="preserve">Heat-map </w:t>
      </w:r>
      <w:r w:rsidRPr="00CF1425">
        <w:rPr>
          <w:lang w:val="en-GB"/>
        </w:rPr>
        <w:t xml:space="preserve">depicting the up-regulated genes (oeFBP1/vector) based </w:t>
      </w:r>
      <w:r>
        <w:rPr>
          <w:lang w:val="en-GB"/>
        </w:rPr>
        <w:t xml:space="preserve">on the level of down-regulation </w:t>
      </w:r>
      <w:r w:rsidRPr="00CF1425">
        <w:rPr>
          <w:lang w:val="en-GB"/>
        </w:rPr>
        <w:t>(descending)</w:t>
      </w:r>
    </w:p>
    <w:p w:rsidR="005E038D" w:rsidRPr="00040EB5" w:rsidRDefault="005E038D" w:rsidP="005E038D">
      <w:pPr>
        <w:rPr>
          <w:lang w:val="en-GB"/>
        </w:rPr>
      </w:pPr>
    </w:p>
    <w:p w:rsidR="005E038D" w:rsidRDefault="005E038D" w:rsidP="005E038D">
      <w:pPr>
        <w:rPr>
          <w:lang w:val="en-GB"/>
        </w:rPr>
      </w:pPr>
      <w:r>
        <w:rPr>
          <w:lang w:val="en-GB"/>
        </w:rPr>
        <w:br w:type="page"/>
      </w:r>
    </w:p>
    <w:p w:rsidR="005E038D" w:rsidRDefault="005E038D" w:rsidP="005E038D">
      <w:pPr>
        <w:spacing w:line="360" w:lineRule="auto"/>
        <w:jc w:val="both"/>
        <w:rPr>
          <w:rFonts w:ascii="Cambria" w:hAnsi="Cambria"/>
          <w:b/>
          <w:lang w:val="en-GB"/>
        </w:rPr>
      </w:pPr>
      <w:r w:rsidRPr="00BD5F5B">
        <w:rPr>
          <w:rFonts w:ascii="Cambria" w:hAnsi="Cambria"/>
          <w:b/>
          <w:lang w:val="en-GB"/>
        </w:rPr>
        <w:lastRenderedPageBreak/>
        <w:t xml:space="preserve">Supplementary Methods: </w:t>
      </w:r>
    </w:p>
    <w:p w:rsidR="005E038D" w:rsidRPr="008C4FC6" w:rsidRDefault="005E038D" w:rsidP="005E038D">
      <w:pPr>
        <w:spacing w:line="360" w:lineRule="auto"/>
        <w:rPr>
          <w:b/>
          <w:lang w:val="en-GB"/>
        </w:rPr>
      </w:pPr>
      <w:r w:rsidRPr="008C4FC6">
        <w:rPr>
          <w:b/>
          <w:lang w:val="en-GB"/>
        </w:rPr>
        <w:t xml:space="preserve">I) Cell culture: </w:t>
      </w:r>
    </w:p>
    <w:p w:rsidR="005E038D" w:rsidRPr="008C4FC6" w:rsidRDefault="005E038D" w:rsidP="005E038D">
      <w:pPr>
        <w:spacing w:line="360" w:lineRule="auto"/>
        <w:jc w:val="both"/>
        <w:rPr>
          <w:lang w:val="en-GB"/>
        </w:rPr>
      </w:pPr>
      <w:r w:rsidRPr="008C4FC6">
        <w:rPr>
          <w:lang w:val="en-GB"/>
        </w:rPr>
        <w:t>All cell cultivation and treatments were performed in full DMEM</w:t>
      </w:r>
      <w:r w:rsidRPr="008C4FC6">
        <w:rPr>
          <w:b/>
          <w:lang w:val="en-GB"/>
        </w:rPr>
        <w:t xml:space="preserve"> </w:t>
      </w:r>
      <w:r w:rsidRPr="008C4FC6">
        <w:rPr>
          <w:lang w:val="en-GB"/>
        </w:rPr>
        <w:t>containing 10</w:t>
      </w:r>
      <w:r w:rsidRPr="008C4FC6">
        <w:rPr>
          <w:i/>
          <w:lang w:val="en-GB"/>
        </w:rPr>
        <w:t>(v/v%)</w:t>
      </w:r>
      <w:r w:rsidRPr="008C4FC6">
        <w:rPr>
          <w:lang w:val="en-GB"/>
        </w:rPr>
        <w:t xml:space="preserve"> FCS (</w:t>
      </w:r>
      <w:proofErr w:type="spellStart"/>
      <w:r w:rsidRPr="008C4FC6">
        <w:rPr>
          <w:lang w:val="en-GB"/>
        </w:rPr>
        <w:t>Gibco</w:t>
      </w:r>
      <w:proofErr w:type="spellEnd"/>
      <w:r w:rsidRPr="008C4FC6">
        <w:rPr>
          <w:lang w:val="en-GB"/>
        </w:rPr>
        <w:t>, Germany), and 1%(v/v) penicillin/streptomycin solution (10000 U/ml) (</w:t>
      </w:r>
      <w:proofErr w:type="spellStart"/>
      <w:r w:rsidRPr="008C4FC6">
        <w:rPr>
          <w:lang w:val="en-GB"/>
        </w:rPr>
        <w:t>Gibco</w:t>
      </w:r>
      <w:proofErr w:type="spellEnd"/>
      <w:r w:rsidRPr="008C4FC6">
        <w:rPr>
          <w:lang w:val="en-GB"/>
        </w:rPr>
        <w:t xml:space="preserve">, Germany). </w:t>
      </w:r>
    </w:p>
    <w:p w:rsidR="005E038D" w:rsidRPr="008C4FC6" w:rsidRDefault="005E038D" w:rsidP="005E038D">
      <w:pPr>
        <w:spacing w:line="360" w:lineRule="auto"/>
        <w:jc w:val="both"/>
        <w:rPr>
          <w:lang w:val="en-GB"/>
        </w:rPr>
      </w:pPr>
      <w:r w:rsidRPr="008C4FC6">
        <w:rPr>
          <w:lang w:val="en-GB"/>
        </w:rPr>
        <w:t xml:space="preserve">For treatments with varying glucose concentrations, customised DMEM media were prepared starting from DMEM powder (Pan-Biotech GMBH, Germany). </w:t>
      </w:r>
    </w:p>
    <w:p w:rsidR="005E038D" w:rsidRPr="008C4FC6" w:rsidRDefault="005E038D" w:rsidP="005E038D">
      <w:pPr>
        <w:spacing w:line="360" w:lineRule="auto"/>
        <w:jc w:val="both"/>
        <w:rPr>
          <w:b/>
          <w:lang w:val="en-GB"/>
        </w:rPr>
      </w:pPr>
      <w:r w:rsidRPr="008C4FC6">
        <w:rPr>
          <w:lang w:val="en-GB"/>
        </w:rPr>
        <w:t xml:space="preserve">In the various reported </w:t>
      </w:r>
      <w:proofErr w:type="gramStart"/>
      <w:r w:rsidRPr="008C4FC6">
        <w:rPr>
          <w:lang w:val="en-GB"/>
        </w:rPr>
        <w:t>experiments</w:t>
      </w:r>
      <w:proofErr w:type="gramEnd"/>
      <w:r w:rsidRPr="008C4FC6">
        <w:rPr>
          <w:lang w:val="en-GB"/>
        </w:rPr>
        <w:t xml:space="preserve"> the following agents were also used to treat the cells: ascorbic acid L-dehydroascorbic acid, </w:t>
      </w:r>
      <w:proofErr w:type="spellStart"/>
      <w:r w:rsidRPr="008C4FC6">
        <w:rPr>
          <w:lang w:val="en-GB"/>
        </w:rPr>
        <w:t>Menadione</w:t>
      </w:r>
      <w:proofErr w:type="spellEnd"/>
      <w:r w:rsidRPr="008C4FC6">
        <w:rPr>
          <w:lang w:val="en-GB"/>
        </w:rPr>
        <w:t xml:space="preserve"> sodium-bisulfide, n-acetyl cysteine, L-Glutathione (reduced) (Sigma-Aldrich, Germany), catalase, and superoxide dismutase (Sigma-Aldrich, Germany). Hydrogen peroxide (AppliChem, Darmstadt, Germany).</w:t>
      </w:r>
    </w:p>
    <w:p w:rsidR="005E038D" w:rsidRPr="00BD5F5B" w:rsidRDefault="005E038D" w:rsidP="005E038D">
      <w:pPr>
        <w:spacing w:line="360" w:lineRule="auto"/>
        <w:jc w:val="both"/>
        <w:rPr>
          <w:rFonts w:ascii="Cambria" w:hAnsi="Cambria"/>
          <w:b/>
          <w:lang w:val="en-GB"/>
        </w:rPr>
      </w:pPr>
    </w:p>
    <w:p w:rsidR="005E038D" w:rsidRPr="006957DB" w:rsidRDefault="005E038D" w:rsidP="005E038D">
      <w:pPr>
        <w:spacing w:line="360" w:lineRule="auto"/>
        <w:jc w:val="both"/>
        <w:rPr>
          <w:rFonts w:ascii="Cambria" w:hAnsi="Cambria"/>
          <w:b/>
          <w:lang w:val="en-GB"/>
        </w:rPr>
      </w:pPr>
      <w:r>
        <w:rPr>
          <w:rFonts w:ascii="Cambria" w:hAnsi="Cambria"/>
          <w:b/>
          <w:lang w:val="en-GB"/>
        </w:rPr>
        <w:t xml:space="preserve">II) </w:t>
      </w:r>
      <w:r w:rsidRPr="00F2490A">
        <w:rPr>
          <w:rFonts w:ascii="Cambria" w:hAnsi="Cambria"/>
          <w:b/>
          <w:lang w:val="en-GB"/>
        </w:rPr>
        <w:t xml:space="preserve">Molecular cloning and construction of plasmids </w:t>
      </w:r>
    </w:p>
    <w:p w:rsidR="005E038D" w:rsidRPr="00F2490A" w:rsidRDefault="005E038D" w:rsidP="005E038D">
      <w:pPr>
        <w:spacing w:line="360" w:lineRule="auto"/>
        <w:jc w:val="both"/>
        <w:rPr>
          <w:rFonts w:ascii="Cambria" w:hAnsi="Cambria"/>
          <w:lang w:val="en-GB"/>
        </w:rPr>
      </w:pPr>
      <w:r w:rsidRPr="00F2490A">
        <w:rPr>
          <w:rFonts w:ascii="Cambria" w:hAnsi="Cambria"/>
          <w:lang w:val="en-GB"/>
        </w:rPr>
        <w:t xml:space="preserve">A restriction cloning strategy was followed with restriction sites introduced on 5`end of each primer so that to flank the resulting Fbp1 PCR product. The restriction sites were chosen as to avoid cutting the insert and to have matching sites in the multiple cloning region of the pcDNA3.1 vector. </w:t>
      </w:r>
    </w:p>
    <w:p w:rsidR="005E038D" w:rsidRPr="00F2490A" w:rsidRDefault="005E038D" w:rsidP="005E038D">
      <w:pPr>
        <w:spacing w:line="360" w:lineRule="auto"/>
        <w:jc w:val="both"/>
        <w:rPr>
          <w:rFonts w:ascii="Cambria" w:hAnsi="Cambria"/>
          <w:lang w:val="en-GB"/>
        </w:rPr>
      </w:pPr>
      <w:r w:rsidRPr="00F2490A">
        <w:rPr>
          <w:rFonts w:ascii="Cambria" w:hAnsi="Cambria"/>
          <w:lang w:val="en-GB"/>
        </w:rPr>
        <w:t xml:space="preserve">The following steps were implemented to construct the plasmids: </w:t>
      </w:r>
    </w:p>
    <w:p w:rsidR="005E038D"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PCR amplification of the </w:t>
      </w:r>
      <w:r w:rsidRPr="00C97F51">
        <w:rPr>
          <w:rFonts w:ascii="Cambria" w:hAnsi="Cambria"/>
          <w:i/>
          <w:lang w:val="en-GB"/>
        </w:rPr>
        <w:t>FBP1</w:t>
      </w:r>
      <w:r>
        <w:rPr>
          <w:rFonts w:ascii="Cambria" w:hAnsi="Cambria"/>
          <w:lang w:val="en-GB"/>
        </w:rPr>
        <w:t xml:space="preserve"> </w:t>
      </w:r>
      <w:proofErr w:type="spellStart"/>
      <w:r>
        <w:rPr>
          <w:rFonts w:ascii="Cambria" w:hAnsi="Cambria"/>
          <w:lang w:val="en-GB"/>
        </w:rPr>
        <w:t>cNDA</w:t>
      </w:r>
      <w:proofErr w:type="spellEnd"/>
      <w:r w:rsidRPr="00F2490A">
        <w:rPr>
          <w:rFonts w:ascii="Cambria" w:hAnsi="Cambria"/>
          <w:lang w:val="en-GB"/>
        </w:rPr>
        <w:t xml:space="preserve"> (Using </w:t>
      </w:r>
      <w:proofErr w:type="spellStart"/>
      <w:r w:rsidRPr="00F2490A">
        <w:rPr>
          <w:rFonts w:ascii="Cambria" w:hAnsi="Cambria"/>
          <w:lang w:val="en-GB"/>
        </w:rPr>
        <w:t>Phusion</w:t>
      </w:r>
      <w:proofErr w:type="spellEnd"/>
      <w:r w:rsidRPr="00F2490A">
        <w:rPr>
          <w:rFonts w:ascii="Cambria" w:hAnsi="Cambria"/>
          <w:lang w:val="en-GB"/>
        </w:rPr>
        <w:t xml:space="preserve"> polymerase, NEB</w:t>
      </w:r>
      <w:r w:rsidRPr="00F2490A">
        <w:rPr>
          <w:rFonts w:ascii="Cambria" w:hAnsi="Cambria"/>
          <w:vertAlign w:val="superscript"/>
          <w:lang w:val="en-GB"/>
        </w:rPr>
        <w:t>®</w:t>
      </w:r>
      <w:r w:rsidRPr="00F2490A">
        <w:rPr>
          <w:rFonts w:ascii="Cambria" w:hAnsi="Cambria"/>
          <w:lang w:val="en-GB"/>
        </w:rPr>
        <w:t xml:space="preserve">). </w:t>
      </w:r>
    </w:p>
    <w:p w:rsidR="005E038D" w:rsidRDefault="005E038D" w:rsidP="005E038D">
      <w:pPr>
        <w:pStyle w:val="ListParagraph"/>
        <w:spacing w:line="360" w:lineRule="auto"/>
        <w:ind w:left="1440"/>
        <w:jc w:val="both"/>
        <w:rPr>
          <w:rFonts w:ascii="Cambria" w:hAnsi="Cambria"/>
          <w:lang w:val="en-GB"/>
        </w:rPr>
      </w:pPr>
      <w:r>
        <w:rPr>
          <w:rFonts w:ascii="Cambria" w:hAnsi="Cambria"/>
          <w:lang w:val="en-GB"/>
        </w:rPr>
        <w:t>The following primers were used</w:t>
      </w:r>
    </w:p>
    <w:p w:rsidR="005E038D" w:rsidRPr="005C46B9" w:rsidRDefault="005E038D" w:rsidP="005E038D">
      <w:pPr>
        <w:pStyle w:val="ListParagraph"/>
        <w:ind w:left="2160"/>
        <w:rPr>
          <w:szCs w:val="20"/>
          <w:lang w:val="en-US" w:eastAsia="de-DE"/>
        </w:rPr>
      </w:pPr>
      <w:r w:rsidRPr="005C46B9">
        <w:rPr>
          <w:szCs w:val="20"/>
          <w:lang w:val="en-US" w:eastAsia="de-DE"/>
        </w:rPr>
        <w:t xml:space="preserve">Forward: </w:t>
      </w:r>
      <w:proofErr w:type="spellStart"/>
      <w:r w:rsidRPr="005C46B9">
        <w:rPr>
          <w:szCs w:val="20"/>
          <w:lang w:val="en-US" w:eastAsia="de-DE"/>
        </w:rPr>
        <w:t>tttttgaattcATGGCTGACCAGGCGCC</w:t>
      </w:r>
      <w:proofErr w:type="spellEnd"/>
      <w:r w:rsidRPr="005C46B9">
        <w:rPr>
          <w:szCs w:val="20"/>
          <w:lang w:val="en-US" w:eastAsia="de-DE"/>
        </w:rPr>
        <w:t xml:space="preserve"> </w:t>
      </w:r>
    </w:p>
    <w:p w:rsidR="005E038D" w:rsidRPr="005C46B9" w:rsidRDefault="005E038D" w:rsidP="005E038D">
      <w:pPr>
        <w:pStyle w:val="ListParagraph"/>
        <w:ind w:left="2160"/>
        <w:rPr>
          <w:szCs w:val="20"/>
          <w:lang w:val="en-US" w:eastAsia="de-DE"/>
        </w:rPr>
      </w:pPr>
      <w:r w:rsidRPr="005C46B9">
        <w:rPr>
          <w:szCs w:val="20"/>
          <w:lang w:val="en-US" w:eastAsia="de-DE"/>
        </w:rPr>
        <w:t xml:space="preserve">Reverse: </w:t>
      </w:r>
      <w:proofErr w:type="spellStart"/>
      <w:r w:rsidRPr="005C46B9">
        <w:rPr>
          <w:szCs w:val="20"/>
          <w:lang w:val="en-US" w:eastAsia="de-DE"/>
        </w:rPr>
        <w:t>tttttaagctttcactgggcagagtgcttctc</w:t>
      </w:r>
      <w:proofErr w:type="spellEnd"/>
    </w:p>
    <w:p w:rsidR="005E038D" w:rsidRDefault="005E038D" w:rsidP="005E038D">
      <w:pPr>
        <w:rPr>
          <w:rFonts w:ascii="Cambria" w:hAnsi="Cambria"/>
          <w:lang w:val="en-GB"/>
        </w:rPr>
      </w:pPr>
    </w:p>
    <w:p w:rsidR="005E038D" w:rsidRPr="005C46B9" w:rsidRDefault="005E038D" w:rsidP="005E038D">
      <w:pPr>
        <w:spacing w:line="360" w:lineRule="auto"/>
        <w:ind w:firstLine="360"/>
        <w:rPr>
          <w:szCs w:val="20"/>
          <w:lang w:val="en-US" w:eastAsia="de-DE"/>
        </w:rPr>
      </w:pPr>
      <w:r>
        <w:rPr>
          <w:rFonts w:ascii="Cambria" w:hAnsi="Cambria"/>
          <w:lang w:val="en-GB"/>
        </w:rPr>
        <w:t>-</w:t>
      </w:r>
      <w:r>
        <w:rPr>
          <w:rFonts w:ascii="Cambria" w:hAnsi="Cambria"/>
          <w:lang w:val="en-GB"/>
        </w:rPr>
        <w:tab/>
      </w:r>
      <w:r w:rsidRPr="00C97F51">
        <w:rPr>
          <w:rFonts w:ascii="Cambria" w:hAnsi="Cambria"/>
          <w:lang w:val="en-GB"/>
        </w:rPr>
        <w:t xml:space="preserve">Column purification of the PCR product.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Overnight restriction digest of the purified PCR product and the plasmid using </w:t>
      </w:r>
      <w:proofErr w:type="spellStart"/>
      <w:r>
        <w:rPr>
          <w:rFonts w:ascii="Cambria" w:hAnsi="Cambria"/>
          <w:lang w:val="en-GB"/>
        </w:rPr>
        <w:t>EcoRI</w:t>
      </w:r>
      <w:proofErr w:type="spellEnd"/>
      <w:r>
        <w:rPr>
          <w:rFonts w:ascii="Cambria" w:hAnsi="Cambria"/>
          <w:lang w:val="en-GB"/>
        </w:rPr>
        <w:t xml:space="preserve">-HF and </w:t>
      </w:r>
      <w:proofErr w:type="spellStart"/>
      <w:r>
        <w:rPr>
          <w:rFonts w:ascii="Cambria" w:hAnsi="Cambria"/>
          <w:lang w:val="en-GB"/>
        </w:rPr>
        <w:t>HindIII</w:t>
      </w:r>
      <w:proofErr w:type="spellEnd"/>
      <w:r>
        <w:rPr>
          <w:rFonts w:ascii="Cambria" w:hAnsi="Cambria"/>
          <w:lang w:val="en-GB"/>
        </w:rPr>
        <w:t xml:space="preserve">-HF (Both form </w:t>
      </w:r>
      <w:r w:rsidRPr="00F2490A">
        <w:rPr>
          <w:rFonts w:ascii="Cambria" w:hAnsi="Cambria"/>
          <w:lang w:val="en-GB"/>
        </w:rPr>
        <w:t>NEB</w:t>
      </w:r>
      <w:r w:rsidRPr="00F2490A">
        <w:rPr>
          <w:rFonts w:ascii="Cambria" w:hAnsi="Cambria"/>
          <w:vertAlign w:val="superscript"/>
          <w:lang w:val="en-GB"/>
        </w:rPr>
        <w:t>®</w:t>
      </w:r>
      <w:r>
        <w:rPr>
          <w:rFonts w:ascii="Cambria" w:hAnsi="Cambria"/>
          <w:lang w:val="en-GB"/>
        </w:rPr>
        <w:t>) a</w:t>
      </w:r>
      <w:r w:rsidRPr="00F2490A">
        <w:rPr>
          <w:rFonts w:ascii="Cambria" w:hAnsi="Cambria"/>
          <w:lang w:val="en-GB"/>
        </w:rPr>
        <w:t xml:space="preserve">t 37° followed by a 20 min inactivation step at 80°.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Gel purification of the digested ve</w:t>
      </w:r>
      <w:r>
        <w:rPr>
          <w:rFonts w:ascii="Cambria" w:hAnsi="Cambria"/>
          <w:lang w:val="en-GB"/>
        </w:rPr>
        <w:t>ctor and PCR product (insert)</w:t>
      </w:r>
      <w:r w:rsidRPr="00F2490A">
        <w:rPr>
          <w:rFonts w:ascii="Cambria" w:hAnsi="Cambria"/>
          <w:lang w:val="en-GB"/>
        </w:rPr>
        <w:t xml:space="preserve">.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Overnight ligation of the vector and insert at molar ration of 1:3 (</w:t>
      </w:r>
      <w:proofErr w:type="gramStart"/>
      <w:r w:rsidRPr="00F2490A">
        <w:rPr>
          <w:rFonts w:ascii="Cambria" w:hAnsi="Cambria"/>
          <w:lang w:val="en-GB"/>
        </w:rPr>
        <w:t>vector::</w:t>
      </w:r>
      <w:proofErr w:type="gramEnd"/>
      <w:r w:rsidRPr="00F2490A">
        <w:rPr>
          <w:rFonts w:ascii="Cambria" w:hAnsi="Cambria"/>
          <w:lang w:val="en-GB"/>
        </w:rPr>
        <w:t>insert) (T4 DNA ligase, NEB</w:t>
      </w:r>
      <w:r w:rsidRPr="00F2490A">
        <w:rPr>
          <w:rFonts w:ascii="Cambria" w:hAnsi="Cambria"/>
          <w:vertAlign w:val="superscript"/>
          <w:lang w:val="en-GB"/>
        </w:rPr>
        <w:t>®</w:t>
      </w:r>
      <w:r w:rsidRPr="00F2490A">
        <w:rPr>
          <w:rFonts w:ascii="Cambria" w:hAnsi="Cambria"/>
          <w:lang w:val="en-GB"/>
        </w:rPr>
        <w:t>).</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Transformation of the resulting ligation product into </w:t>
      </w:r>
      <w:proofErr w:type="gramStart"/>
      <w:r w:rsidRPr="00F2490A">
        <w:rPr>
          <w:rFonts w:ascii="Cambria" w:hAnsi="Cambria"/>
          <w:i/>
          <w:lang w:val="en-GB"/>
        </w:rPr>
        <w:t>E.coli</w:t>
      </w:r>
      <w:proofErr w:type="gramEnd"/>
      <w:r w:rsidRPr="00F2490A">
        <w:rPr>
          <w:rFonts w:ascii="Cambria" w:hAnsi="Cambria"/>
          <w:lang w:val="en-GB"/>
        </w:rPr>
        <w:t xml:space="preserve">.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Following transformation and selection, Mini-preps were made of picked colonies and these were sent for sequencing (Eurofins Genomics, </w:t>
      </w:r>
      <w:proofErr w:type="spellStart"/>
      <w:r w:rsidRPr="00F2490A">
        <w:rPr>
          <w:rFonts w:ascii="Cambria" w:hAnsi="Cambria"/>
          <w:lang w:val="en-GB"/>
        </w:rPr>
        <w:t>Ebersberg</w:t>
      </w:r>
      <w:proofErr w:type="spellEnd"/>
      <w:r w:rsidRPr="00F2490A">
        <w:rPr>
          <w:rFonts w:ascii="Cambria" w:hAnsi="Cambria"/>
          <w:lang w:val="en-GB"/>
        </w:rPr>
        <w:t xml:space="preserve">). </w:t>
      </w:r>
    </w:p>
    <w:p w:rsidR="005E038D" w:rsidRPr="005C46B9" w:rsidRDefault="005E038D" w:rsidP="005E038D">
      <w:pPr>
        <w:rPr>
          <w:lang w:val="en-US"/>
        </w:rPr>
      </w:pPr>
    </w:p>
    <w:p w:rsidR="005E038D" w:rsidRPr="005C46B9" w:rsidRDefault="005E038D" w:rsidP="005E038D">
      <w:pPr>
        <w:rPr>
          <w:lang w:val="en-US"/>
        </w:rPr>
      </w:pPr>
    </w:p>
    <w:p w:rsidR="005E038D" w:rsidRPr="00C97F51" w:rsidRDefault="005E038D" w:rsidP="005E038D">
      <w:pPr>
        <w:spacing w:line="360" w:lineRule="auto"/>
        <w:jc w:val="both"/>
        <w:rPr>
          <w:rFonts w:ascii="Cambria" w:hAnsi="Cambria"/>
          <w:b/>
          <w:lang w:val="en-GB"/>
        </w:rPr>
      </w:pPr>
      <w:r>
        <w:rPr>
          <w:rFonts w:ascii="Cambria" w:hAnsi="Cambria"/>
          <w:b/>
          <w:lang w:val="en-GB"/>
        </w:rPr>
        <w:t>III)</w:t>
      </w:r>
      <w:r w:rsidRPr="00C97F51">
        <w:rPr>
          <w:rFonts w:ascii="Cambria" w:hAnsi="Cambria"/>
          <w:b/>
          <w:lang w:val="en-GB"/>
        </w:rPr>
        <w:t xml:space="preserve"> The following protocol was used to transfect and establish the stable over-expression and deletion of FB1</w:t>
      </w:r>
    </w:p>
    <w:p w:rsidR="005E038D" w:rsidRPr="00F2490A" w:rsidRDefault="005E038D" w:rsidP="005E038D">
      <w:pPr>
        <w:spacing w:line="360" w:lineRule="auto"/>
        <w:jc w:val="both"/>
        <w:rPr>
          <w:rFonts w:ascii="Cambria" w:hAnsi="Cambria"/>
          <w:b/>
          <w:lang w:val="en-GB"/>
        </w:rPr>
      </w:pPr>
      <w:r>
        <w:rPr>
          <w:rFonts w:ascii="Cambria" w:hAnsi="Cambria"/>
          <w:b/>
          <w:lang w:val="en-GB"/>
        </w:rPr>
        <w:lastRenderedPageBreak/>
        <w:t xml:space="preserve">- </w:t>
      </w:r>
      <w:r w:rsidRPr="00F2490A">
        <w:rPr>
          <w:rFonts w:ascii="Cambria" w:hAnsi="Cambria"/>
          <w:b/>
          <w:lang w:val="en-GB"/>
        </w:rPr>
        <w:t>Transfection of cell lines and establishing stable over-expressions and deletions</w:t>
      </w:r>
    </w:p>
    <w:p w:rsidR="005E038D" w:rsidRDefault="005E038D" w:rsidP="005E038D">
      <w:pPr>
        <w:spacing w:line="360" w:lineRule="auto"/>
        <w:jc w:val="both"/>
        <w:rPr>
          <w:rFonts w:ascii="Cambria" w:hAnsi="Cambria"/>
          <w:lang w:val="en-GB"/>
        </w:rPr>
      </w:pPr>
      <w:r>
        <w:rPr>
          <w:rFonts w:ascii="Cambria" w:hAnsi="Cambria"/>
          <w:lang w:val="en-GB"/>
        </w:rPr>
        <w:t>L</w:t>
      </w:r>
      <w:r w:rsidRPr="00F2490A">
        <w:rPr>
          <w:rFonts w:ascii="Cambria" w:hAnsi="Cambria"/>
          <w:lang w:val="en-GB"/>
        </w:rPr>
        <w:t xml:space="preserve">ipid-based transfection </w:t>
      </w:r>
      <w:r>
        <w:rPr>
          <w:rFonts w:ascii="Cambria" w:hAnsi="Cambria"/>
          <w:lang w:val="en-GB"/>
        </w:rPr>
        <w:t>was used,</w:t>
      </w:r>
      <w:r w:rsidRPr="00F2490A">
        <w:rPr>
          <w:rFonts w:ascii="Cambria" w:hAnsi="Cambria"/>
          <w:lang w:val="en-GB"/>
        </w:rPr>
        <w:t xml:space="preserve"> Lipofectamin</w:t>
      </w:r>
      <w:r w:rsidRPr="00F2490A">
        <w:rPr>
          <w:rFonts w:ascii="Cambria" w:hAnsi="Cambria"/>
          <w:vertAlign w:val="superscript"/>
          <w:lang w:val="en-GB"/>
        </w:rPr>
        <w:t>TM</w:t>
      </w:r>
      <w:r w:rsidRPr="00F2490A">
        <w:rPr>
          <w:rFonts w:ascii="Cambria" w:hAnsi="Cambria"/>
          <w:lang w:val="en-GB"/>
        </w:rPr>
        <w:t>3000 (</w:t>
      </w:r>
      <w:proofErr w:type="spellStart"/>
      <w:r w:rsidRPr="00F2490A">
        <w:rPr>
          <w:rFonts w:ascii="Cambria" w:hAnsi="Cambria"/>
          <w:lang w:val="en-GB"/>
        </w:rPr>
        <w:t>Thermo</w:t>
      </w:r>
      <w:proofErr w:type="spellEnd"/>
      <w:r w:rsidRPr="00F2490A">
        <w:rPr>
          <w:rFonts w:ascii="Cambria" w:hAnsi="Cambria"/>
          <w:lang w:val="en-GB"/>
        </w:rPr>
        <w:t xml:space="preserve"> Fisher</w:t>
      </w:r>
      <w:r w:rsidRPr="00F2490A">
        <w:rPr>
          <w:rFonts w:ascii="Cambria" w:hAnsi="Cambria"/>
          <w:vertAlign w:val="superscript"/>
          <w:lang w:val="en-GB"/>
        </w:rPr>
        <w:t>®</w:t>
      </w:r>
      <w:r w:rsidRPr="00F2490A">
        <w:rPr>
          <w:rFonts w:ascii="Cambria" w:hAnsi="Cambria"/>
          <w:lang w:val="en-GB"/>
        </w:rPr>
        <w:t>, Waltham MA)</w:t>
      </w:r>
      <w:r>
        <w:rPr>
          <w:rFonts w:ascii="Cambria" w:hAnsi="Cambria"/>
          <w:lang w:val="en-GB"/>
        </w:rPr>
        <w:t>,</w:t>
      </w:r>
      <w:r w:rsidRPr="00F2490A">
        <w:rPr>
          <w:rFonts w:ascii="Cambria" w:hAnsi="Cambria"/>
          <w:lang w:val="en-GB"/>
        </w:rPr>
        <w:t xml:space="preserve"> for introducing the </w:t>
      </w:r>
      <w:r>
        <w:rPr>
          <w:rFonts w:ascii="Cambria" w:hAnsi="Cambria"/>
          <w:lang w:val="en-GB"/>
        </w:rPr>
        <w:t xml:space="preserve">constructed FBP1 over-expression vector into the </w:t>
      </w:r>
      <w:r w:rsidRPr="00F2490A">
        <w:rPr>
          <w:rFonts w:ascii="Cambria" w:hAnsi="Cambria"/>
          <w:lang w:val="en-GB"/>
        </w:rPr>
        <w:t xml:space="preserve">cell lines. The transfections were performed using the protocols provided with the transfection reagents. </w:t>
      </w:r>
    </w:p>
    <w:p w:rsidR="005E038D" w:rsidRDefault="005E038D" w:rsidP="005E038D">
      <w:pPr>
        <w:spacing w:line="360" w:lineRule="auto"/>
        <w:jc w:val="both"/>
        <w:rPr>
          <w:rFonts w:ascii="Cambria" w:hAnsi="Cambria"/>
          <w:lang w:val="en-GB"/>
        </w:rPr>
      </w:pPr>
      <w:r>
        <w:rPr>
          <w:rFonts w:ascii="Cambria" w:hAnsi="Cambria"/>
          <w:lang w:val="en-GB"/>
        </w:rPr>
        <w:t>(Detailed method in the supplementary methods S2.)</w:t>
      </w:r>
    </w:p>
    <w:p w:rsidR="005E038D" w:rsidRPr="00F2490A" w:rsidRDefault="005E038D" w:rsidP="005E038D">
      <w:pPr>
        <w:spacing w:line="360" w:lineRule="auto"/>
        <w:jc w:val="both"/>
        <w:rPr>
          <w:rFonts w:ascii="Cambria" w:hAnsi="Cambria"/>
          <w:lang w:val="en-GB"/>
        </w:rPr>
      </w:pPr>
      <w:r w:rsidRPr="00F2490A">
        <w:rPr>
          <w:rFonts w:ascii="Cambria" w:hAnsi="Cambria"/>
          <w:lang w:val="en-GB"/>
        </w:rPr>
        <w:t xml:space="preserve">The following steps were adhered to: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After </w:t>
      </w:r>
      <w:proofErr w:type="spellStart"/>
      <w:r w:rsidRPr="00F2490A">
        <w:rPr>
          <w:rFonts w:ascii="Cambria" w:hAnsi="Cambria"/>
          <w:lang w:val="en-GB"/>
        </w:rPr>
        <w:t>trypsinisation</w:t>
      </w:r>
      <w:proofErr w:type="spellEnd"/>
      <w:r w:rsidRPr="00F2490A">
        <w:rPr>
          <w:rFonts w:ascii="Cambria" w:hAnsi="Cambria"/>
          <w:lang w:val="en-GB"/>
        </w:rPr>
        <w:t xml:space="preserve"> cells were counted and seeded in a 6 well-plate at a density of 300.000-500.000 cells per well.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Following 24 to 48 </w:t>
      </w:r>
      <w:proofErr w:type="gramStart"/>
      <w:r w:rsidRPr="00F2490A">
        <w:rPr>
          <w:rFonts w:ascii="Cambria" w:hAnsi="Cambria"/>
          <w:lang w:val="en-GB"/>
        </w:rPr>
        <w:t>hours</w:t>
      </w:r>
      <w:proofErr w:type="gramEnd"/>
      <w:r w:rsidRPr="00F2490A">
        <w:rPr>
          <w:rFonts w:ascii="Cambria" w:hAnsi="Cambria"/>
          <w:lang w:val="en-GB"/>
        </w:rPr>
        <w:t xml:space="preserve"> incubation and after reaching a </w:t>
      </w:r>
      <w:proofErr w:type="spellStart"/>
      <w:r w:rsidRPr="00F2490A">
        <w:rPr>
          <w:rFonts w:ascii="Cambria" w:hAnsi="Cambria"/>
          <w:lang w:val="en-GB"/>
        </w:rPr>
        <w:t>confluency</w:t>
      </w:r>
      <w:proofErr w:type="spellEnd"/>
      <w:r w:rsidRPr="00F2490A">
        <w:rPr>
          <w:rFonts w:ascii="Cambria" w:hAnsi="Cambria"/>
          <w:lang w:val="en-GB"/>
        </w:rPr>
        <w:t xml:space="preserve"> of 70% to 90%, cells were transfected.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The transfection mixture was prepared by adding pre-mixed 2.5 µg plasmid DNA with 5 µl p3000 reagent in 125 µl </w:t>
      </w:r>
      <w:proofErr w:type="spellStart"/>
      <w:r w:rsidRPr="00F2490A">
        <w:rPr>
          <w:rFonts w:ascii="Cambria" w:hAnsi="Cambria"/>
          <w:lang w:val="en-GB"/>
        </w:rPr>
        <w:t>Opti</w:t>
      </w:r>
      <w:proofErr w:type="spellEnd"/>
      <w:r w:rsidRPr="00F2490A">
        <w:rPr>
          <w:rFonts w:ascii="Cambria" w:hAnsi="Cambria"/>
          <w:lang w:val="en-GB"/>
        </w:rPr>
        <w:t xml:space="preserve">-MEM to pre-mixed 7.5 µl in 125 µl </w:t>
      </w:r>
      <w:proofErr w:type="spellStart"/>
      <w:r w:rsidRPr="00F2490A">
        <w:rPr>
          <w:rFonts w:ascii="Cambria" w:hAnsi="Cambria"/>
          <w:lang w:val="en-GB"/>
        </w:rPr>
        <w:t>Opti</w:t>
      </w:r>
      <w:proofErr w:type="spellEnd"/>
      <w:r w:rsidRPr="00F2490A">
        <w:rPr>
          <w:rFonts w:ascii="Cambria" w:hAnsi="Cambria"/>
          <w:lang w:val="en-GB"/>
        </w:rPr>
        <w:t>-MEM, for each transformation</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The </w:t>
      </w:r>
      <w:proofErr w:type="spellStart"/>
      <w:r w:rsidRPr="00F2490A">
        <w:rPr>
          <w:rFonts w:ascii="Cambria" w:hAnsi="Cambria"/>
          <w:lang w:val="en-GB"/>
        </w:rPr>
        <w:t>trnasfection</w:t>
      </w:r>
      <w:proofErr w:type="spellEnd"/>
      <w:r w:rsidRPr="00F2490A">
        <w:rPr>
          <w:rFonts w:ascii="Cambria" w:hAnsi="Cambria"/>
          <w:lang w:val="en-GB"/>
        </w:rPr>
        <w:t xml:space="preserve"> mixtures were mixed by inverting the containing tubes and then incubated for 15 minutes at room temperature.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250 µl transfection mixture were pipetted onto each well, slowly and drop-wise.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The 6 well-plates containing the newly transfected cells were subsequently shaken gently.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Following 24 hours of incubation, medium was replaced and cells were further incubated for 24 more hours. </w:t>
      </w:r>
    </w:p>
    <w:p w:rsidR="005E038D" w:rsidRPr="00F2490A" w:rsidRDefault="005E038D" w:rsidP="005E038D">
      <w:pPr>
        <w:spacing w:line="360" w:lineRule="auto"/>
        <w:jc w:val="both"/>
        <w:rPr>
          <w:rFonts w:ascii="Cambria" w:hAnsi="Cambria"/>
          <w:lang w:val="en-GB"/>
        </w:rPr>
      </w:pPr>
    </w:p>
    <w:p w:rsidR="005E038D" w:rsidRPr="00F2490A" w:rsidRDefault="005E038D" w:rsidP="005E038D">
      <w:pPr>
        <w:spacing w:line="360" w:lineRule="auto"/>
        <w:ind w:firstLine="360"/>
        <w:jc w:val="both"/>
        <w:rPr>
          <w:rFonts w:ascii="Cambria" w:hAnsi="Cambria"/>
          <w:b/>
          <w:lang w:val="en-GB"/>
        </w:rPr>
      </w:pPr>
      <w:proofErr w:type="spellStart"/>
      <w:r>
        <w:rPr>
          <w:rFonts w:ascii="Cambria" w:hAnsi="Cambria"/>
          <w:b/>
          <w:lang w:val="en-GB"/>
        </w:rPr>
        <w:t>i</w:t>
      </w:r>
      <w:proofErr w:type="spellEnd"/>
      <w:r w:rsidRPr="00F2490A">
        <w:rPr>
          <w:rFonts w:ascii="Cambria" w:hAnsi="Cambria"/>
          <w:b/>
          <w:lang w:val="en-GB"/>
        </w:rPr>
        <w:t>) Establishing cell lineages with stable over-expression</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After giving cells 24 hours of recovery from the transfection, cells were treated with medium containing G418 sulphate (900 µg/ml for MCF-7, 1200 µg/ml for MDA-MB231).</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Medium with antibiotic was replaced once every 3 to 4 days.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Following 3 to 4 weeks of selection in 6 well plate format (control non-transfected cells completely wiped out), transfected cells were </w:t>
      </w:r>
      <w:proofErr w:type="spellStart"/>
      <w:r w:rsidRPr="00F2490A">
        <w:rPr>
          <w:rFonts w:ascii="Cambria" w:hAnsi="Cambria"/>
          <w:lang w:val="en-GB"/>
        </w:rPr>
        <w:t>trypsinised</w:t>
      </w:r>
      <w:proofErr w:type="spellEnd"/>
      <w:r w:rsidRPr="00F2490A">
        <w:rPr>
          <w:rFonts w:ascii="Cambria" w:hAnsi="Cambria"/>
          <w:lang w:val="en-GB"/>
        </w:rPr>
        <w:t xml:space="preserve"> and transferred into a T25 cell culture flask.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The G418 selection pressure was maintained as part of the cell culture medium in which the transfected cells were cultivated.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Over-expression of Fbp1 was then verified on the mRNA and protein levels, using qPCR and immunoblotting, respectively. </w:t>
      </w:r>
    </w:p>
    <w:p w:rsidR="005E038D" w:rsidRPr="00F2490A" w:rsidRDefault="005E038D" w:rsidP="005E038D">
      <w:pPr>
        <w:pStyle w:val="ListParagraph"/>
        <w:numPr>
          <w:ilvl w:val="0"/>
          <w:numId w:val="1"/>
        </w:numPr>
        <w:spacing w:line="360" w:lineRule="auto"/>
        <w:jc w:val="both"/>
        <w:rPr>
          <w:rFonts w:ascii="Cambria" w:hAnsi="Cambria"/>
          <w:lang w:val="en-GB"/>
        </w:rPr>
      </w:pPr>
    </w:p>
    <w:p w:rsidR="005E038D" w:rsidRPr="00F2490A" w:rsidRDefault="005E038D" w:rsidP="005E038D">
      <w:pPr>
        <w:spacing w:line="360" w:lineRule="auto"/>
        <w:ind w:firstLine="360"/>
        <w:jc w:val="both"/>
        <w:rPr>
          <w:rFonts w:ascii="Cambria" w:hAnsi="Cambria"/>
          <w:b/>
          <w:lang w:val="en-GB"/>
        </w:rPr>
      </w:pPr>
      <w:r>
        <w:rPr>
          <w:rFonts w:ascii="Cambria" w:hAnsi="Cambria"/>
          <w:b/>
          <w:lang w:val="en-GB"/>
        </w:rPr>
        <w:t>ii</w:t>
      </w:r>
      <w:r w:rsidRPr="00F2490A">
        <w:rPr>
          <w:rFonts w:ascii="Cambria" w:hAnsi="Cambria"/>
          <w:b/>
          <w:lang w:val="en-GB"/>
        </w:rPr>
        <w:t xml:space="preserve">) Establishing the stable CRISPR-Cas9 deletion of Fbp1 in MCF-7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lastRenderedPageBreak/>
        <w:t xml:space="preserve">To achieve the knock-out of fbp1 in MCF-7, cells were double transfected with a CRISPR-Cas9 Double </w:t>
      </w:r>
      <w:proofErr w:type="spellStart"/>
      <w:r w:rsidRPr="00F2490A">
        <w:rPr>
          <w:rFonts w:ascii="Cambria" w:hAnsi="Cambria"/>
          <w:lang w:val="en-GB"/>
        </w:rPr>
        <w:t>Nickase</w:t>
      </w:r>
      <w:proofErr w:type="spellEnd"/>
      <w:r w:rsidRPr="00F2490A">
        <w:rPr>
          <w:rFonts w:ascii="Cambria" w:hAnsi="Cambria"/>
          <w:lang w:val="en-GB"/>
        </w:rPr>
        <w:t xml:space="preserve"> (Cas9 D10A mutant) plasmid containing two gRNAs directed to the opposite strands of the fbp1 gene</w:t>
      </w:r>
      <w:r>
        <w:rPr>
          <w:rFonts w:ascii="Cambria" w:hAnsi="Cambria"/>
          <w:lang w:val="en-GB"/>
        </w:rPr>
        <w:t xml:space="preserve"> (Santa Cruz Biotech </w:t>
      </w:r>
      <w:r w:rsidRPr="005C46B9">
        <w:rPr>
          <w:rFonts w:ascii="Arial" w:hAnsi="Arial"/>
          <w:color w:val="000000"/>
          <w:sz w:val="21"/>
          <w:szCs w:val="21"/>
          <w:lang w:val="en-US" w:eastAsia="de-DE"/>
        </w:rPr>
        <w:t>sc-404693-NIC)</w:t>
      </w:r>
    </w:p>
    <w:p w:rsidR="005E038D" w:rsidRPr="008C4FC6" w:rsidRDefault="005E038D" w:rsidP="005E038D">
      <w:pPr>
        <w:spacing w:line="360" w:lineRule="auto"/>
        <w:ind w:left="709"/>
        <w:jc w:val="both"/>
        <w:rPr>
          <w:rFonts w:ascii="Cambria" w:hAnsi="Cambria"/>
          <w:lang w:val="en-GB"/>
        </w:rPr>
      </w:pPr>
      <w:r w:rsidRPr="008C4FC6">
        <w:rPr>
          <w:rFonts w:ascii="Cambria" w:hAnsi="Cambria"/>
          <w:lang w:val="en-GB"/>
        </w:rPr>
        <w:t xml:space="preserve">and </w:t>
      </w:r>
      <w:r>
        <w:rPr>
          <w:rFonts w:ascii="Cambria" w:hAnsi="Cambria"/>
          <w:lang w:val="en-GB"/>
        </w:rPr>
        <w:t>an HDR</w:t>
      </w:r>
      <w:r w:rsidRPr="008C4FC6">
        <w:rPr>
          <w:rFonts w:ascii="Cambria" w:hAnsi="Cambria"/>
          <w:lang w:val="en-GB"/>
        </w:rPr>
        <w:t xml:space="preserve"> plasmid</w:t>
      </w:r>
      <w:r>
        <w:rPr>
          <w:rFonts w:ascii="Cambria" w:hAnsi="Cambria"/>
          <w:lang w:val="en-GB"/>
        </w:rPr>
        <w:t xml:space="preserve"> (Santa Cruz Biotech </w:t>
      </w:r>
      <w:r w:rsidRPr="00CF2DCA">
        <w:rPr>
          <w:rFonts w:ascii="Arial" w:hAnsi="Arial"/>
          <w:color w:val="000000"/>
          <w:sz w:val="21"/>
          <w:szCs w:val="21"/>
          <w:lang w:val="en-US" w:eastAsia="de-DE"/>
        </w:rPr>
        <w:t>sc-404693-HDR)</w:t>
      </w:r>
      <w:r>
        <w:rPr>
          <w:rFonts w:ascii="Cambria" w:hAnsi="Cambria"/>
          <w:lang w:val="en-GB"/>
        </w:rPr>
        <w:t xml:space="preserve"> </w:t>
      </w:r>
      <w:r w:rsidRPr="008C4FC6">
        <w:rPr>
          <w:rFonts w:ascii="Cambria" w:hAnsi="Cambria"/>
          <w:lang w:val="en-GB"/>
        </w:rPr>
        <w:t xml:space="preserve">containing the selectable </w:t>
      </w:r>
      <w:proofErr w:type="spellStart"/>
      <w:r w:rsidRPr="008C4FC6">
        <w:rPr>
          <w:rFonts w:ascii="Cambria" w:hAnsi="Cambria"/>
          <w:lang w:val="en-GB"/>
        </w:rPr>
        <w:t>Puromycin</w:t>
      </w:r>
      <w:proofErr w:type="spellEnd"/>
      <w:r w:rsidRPr="008C4FC6">
        <w:rPr>
          <w:rFonts w:ascii="Cambria" w:hAnsi="Cambria"/>
          <w:lang w:val="en-GB"/>
        </w:rPr>
        <w:t xml:space="preserve"> resistance marker flanked with sequences matching the disruption site indicated by the gRNAs.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24 </w:t>
      </w:r>
      <w:proofErr w:type="gramStart"/>
      <w:r w:rsidRPr="00F2490A">
        <w:rPr>
          <w:rFonts w:ascii="Cambria" w:hAnsi="Cambria"/>
          <w:lang w:val="en-GB"/>
        </w:rPr>
        <w:t>hours</w:t>
      </w:r>
      <w:proofErr w:type="gramEnd"/>
      <w:r w:rsidRPr="00F2490A">
        <w:rPr>
          <w:rFonts w:ascii="Cambria" w:hAnsi="Cambria"/>
          <w:lang w:val="en-GB"/>
        </w:rPr>
        <w:t xml:space="preserve"> post-transfection, medium was replaced and cells were given 48 hours for recovery and developing </w:t>
      </w:r>
      <w:proofErr w:type="spellStart"/>
      <w:r w:rsidRPr="00F2490A">
        <w:rPr>
          <w:rFonts w:ascii="Cambria" w:hAnsi="Cambria"/>
          <w:lang w:val="en-GB"/>
        </w:rPr>
        <w:t>Puromycin</w:t>
      </w:r>
      <w:proofErr w:type="spellEnd"/>
      <w:r w:rsidRPr="00F2490A">
        <w:rPr>
          <w:rFonts w:ascii="Cambria" w:hAnsi="Cambria"/>
          <w:lang w:val="en-GB"/>
        </w:rPr>
        <w:t xml:space="preserve"> resistance.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Subsequently cells were selected using 200 ng/ml </w:t>
      </w:r>
      <w:proofErr w:type="spellStart"/>
      <w:r w:rsidRPr="00F2490A">
        <w:rPr>
          <w:rFonts w:ascii="Cambria" w:hAnsi="Cambria"/>
          <w:lang w:val="en-GB"/>
        </w:rPr>
        <w:t>Puromycin</w:t>
      </w:r>
      <w:proofErr w:type="spellEnd"/>
      <w:r w:rsidRPr="00F2490A">
        <w:rPr>
          <w:rFonts w:ascii="Cambria" w:hAnsi="Cambria"/>
          <w:lang w:val="en-GB"/>
        </w:rPr>
        <w:t xml:space="preserve"> with medium containing the same concentration of </w:t>
      </w:r>
      <w:proofErr w:type="spellStart"/>
      <w:r w:rsidRPr="00F2490A">
        <w:rPr>
          <w:rFonts w:ascii="Cambria" w:hAnsi="Cambria"/>
          <w:lang w:val="en-GB"/>
        </w:rPr>
        <w:t>Puromycin</w:t>
      </w:r>
      <w:proofErr w:type="spellEnd"/>
      <w:r w:rsidRPr="00F2490A">
        <w:rPr>
          <w:rFonts w:ascii="Cambria" w:hAnsi="Cambria"/>
          <w:lang w:val="en-GB"/>
        </w:rPr>
        <w:t xml:space="preserve"> changed every 3 to 4 days. </w:t>
      </w:r>
    </w:p>
    <w:p w:rsidR="005E038D" w:rsidRPr="00F2490A"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 xml:space="preserve">6 weeks following transfection, cells were </w:t>
      </w:r>
      <w:proofErr w:type="spellStart"/>
      <w:r w:rsidRPr="00F2490A">
        <w:rPr>
          <w:rFonts w:ascii="Cambria" w:hAnsi="Cambria"/>
          <w:lang w:val="en-GB"/>
        </w:rPr>
        <w:t>trypsinised</w:t>
      </w:r>
      <w:proofErr w:type="spellEnd"/>
      <w:r w:rsidRPr="00F2490A">
        <w:rPr>
          <w:rFonts w:ascii="Cambria" w:hAnsi="Cambria"/>
          <w:lang w:val="en-GB"/>
        </w:rPr>
        <w:t xml:space="preserve"> and transferred into a T25 cell culture flask, and </w:t>
      </w:r>
      <w:proofErr w:type="spellStart"/>
      <w:r w:rsidRPr="00F2490A">
        <w:rPr>
          <w:rFonts w:ascii="Cambria" w:hAnsi="Cambria"/>
          <w:lang w:val="en-GB"/>
        </w:rPr>
        <w:t>Puromycin</w:t>
      </w:r>
      <w:proofErr w:type="spellEnd"/>
      <w:r w:rsidRPr="00F2490A">
        <w:rPr>
          <w:rFonts w:ascii="Cambria" w:hAnsi="Cambria"/>
          <w:lang w:val="en-GB"/>
        </w:rPr>
        <w:t xml:space="preserve"> was withdrawn from the culture medium. </w:t>
      </w:r>
    </w:p>
    <w:p w:rsidR="005E038D" w:rsidRDefault="005E038D" w:rsidP="005E038D">
      <w:pPr>
        <w:pStyle w:val="ListParagraph"/>
        <w:numPr>
          <w:ilvl w:val="0"/>
          <w:numId w:val="1"/>
        </w:numPr>
        <w:spacing w:line="360" w:lineRule="auto"/>
        <w:jc w:val="both"/>
        <w:rPr>
          <w:rFonts w:ascii="Cambria" w:hAnsi="Cambria"/>
          <w:lang w:val="en-GB"/>
        </w:rPr>
      </w:pPr>
      <w:r w:rsidRPr="00F2490A">
        <w:rPr>
          <w:rFonts w:ascii="Cambria" w:hAnsi="Cambria"/>
          <w:lang w:val="en-GB"/>
        </w:rPr>
        <w:t>The successfu</w:t>
      </w:r>
      <w:r>
        <w:rPr>
          <w:rFonts w:ascii="Cambria" w:hAnsi="Cambria"/>
          <w:lang w:val="en-GB"/>
        </w:rPr>
        <w:t xml:space="preserve">l deletion was verified on </w:t>
      </w:r>
      <w:r w:rsidRPr="00F2490A">
        <w:rPr>
          <w:rFonts w:ascii="Cambria" w:hAnsi="Cambria"/>
          <w:lang w:val="en-GB"/>
        </w:rPr>
        <w:t>Protein</w:t>
      </w:r>
      <w:r>
        <w:rPr>
          <w:rFonts w:ascii="Cambria" w:hAnsi="Cambria"/>
          <w:lang w:val="en-GB"/>
        </w:rPr>
        <w:t xml:space="preserve"> expression and enzymatic function</w:t>
      </w:r>
      <w:r w:rsidRPr="00F2490A">
        <w:rPr>
          <w:rFonts w:ascii="Cambria" w:hAnsi="Cambria"/>
          <w:lang w:val="en-GB"/>
        </w:rPr>
        <w:t xml:space="preserve"> levels</w:t>
      </w:r>
      <w:r>
        <w:rPr>
          <w:rFonts w:ascii="Cambria" w:hAnsi="Cambria"/>
          <w:lang w:val="en-GB"/>
        </w:rPr>
        <w:t xml:space="preserve"> (Fig S)</w:t>
      </w:r>
      <w:r w:rsidRPr="00F2490A">
        <w:rPr>
          <w:rFonts w:ascii="Cambria" w:hAnsi="Cambria"/>
          <w:lang w:val="en-GB"/>
        </w:rPr>
        <w:t xml:space="preserve">, and the resulting deletion cell lineage was continuously monitored to ensure the stability and irreversibility of the Fbp1 deletion. </w:t>
      </w:r>
    </w:p>
    <w:p w:rsidR="005E038D" w:rsidRDefault="005E038D" w:rsidP="005E038D">
      <w:pPr>
        <w:pStyle w:val="ListParagraph"/>
        <w:spacing w:line="360" w:lineRule="auto"/>
        <w:jc w:val="both"/>
        <w:rPr>
          <w:rFonts w:ascii="Cambria" w:hAnsi="Cambria"/>
          <w:lang w:val="en-GB"/>
        </w:rPr>
      </w:pPr>
    </w:p>
    <w:p w:rsidR="005E038D" w:rsidRDefault="005E038D" w:rsidP="005E038D">
      <w:pPr>
        <w:spacing w:line="360" w:lineRule="auto"/>
        <w:jc w:val="both"/>
        <w:rPr>
          <w:b/>
          <w:lang w:val="en-GB"/>
        </w:rPr>
      </w:pPr>
      <w:r>
        <w:rPr>
          <w:b/>
          <w:lang w:val="en-GB"/>
        </w:rPr>
        <w:t xml:space="preserve">IV) </w:t>
      </w:r>
      <w:r w:rsidRPr="00C97F51">
        <w:rPr>
          <w:b/>
          <w:lang w:val="en-GB"/>
        </w:rPr>
        <w:t>Detailed SRB assay method</w:t>
      </w:r>
    </w:p>
    <w:p w:rsidR="005E038D" w:rsidRDefault="005E038D" w:rsidP="005E038D">
      <w:pPr>
        <w:spacing w:line="360" w:lineRule="auto"/>
        <w:jc w:val="both"/>
        <w:rPr>
          <w:lang w:val="en-GB"/>
        </w:rPr>
      </w:pPr>
      <w:r w:rsidRPr="00C97F51">
        <w:rPr>
          <w:lang w:val="en-GB"/>
        </w:rPr>
        <w:t xml:space="preserve">SRB </w:t>
      </w:r>
      <w:proofErr w:type="spellStart"/>
      <w:r w:rsidRPr="00C97F51">
        <w:rPr>
          <w:lang w:val="en-GB"/>
        </w:rPr>
        <w:t>sulforhodamin</w:t>
      </w:r>
      <w:proofErr w:type="spellEnd"/>
      <w:r w:rsidRPr="00C97F51">
        <w:rPr>
          <w:lang w:val="en-GB"/>
        </w:rPr>
        <w:t xml:space="preserve">-B, is a water-soluble dye that </w:t>
      </w:r>
      <w:proofErr w:type="spellStart"/>
      <w:r w:rsidRPr="00C97F51">
        <w:rPr>
          <w:lang w:val="en-GB"/>
        </w:rPr>
        <w:t>stoichiometrically</w:t>
      </w:r>
      <w:proofErr w:type="spellEnd"/>
      <w:r w:rsidRPr="00C97F51">
        <w:rPr>
          <w:lang w:val="en-GB"/>
        </w:rPr>
        <w:t xml:space="preserve"> binds to proteins in weak acidic conditions. In alkaline conditions, this SRB-protein bond is destabilized and the dye is released and dissolved into the solution allowing </w:t>
      </w:r>
      <w:proofErr w:type="spellStart"/>
      <w:r w:rsidRPr="00C97F51">
        <w:rPr>
          <w:lang w:val="en-GB"/>
        </w:rPr>
        <w:t>colourimetric</w:t>
      </w:r>
      <w:proofErr w:type="spellEnd"/>
      <w:r w:rsidRPr="00C97F51">
        <w:rPr>
          <w:lang w:val="en-GB"/>
        </w:rPr>
        <w:t xml:space="preserve"> determination of the amounts of bound SRB, and thus the correlating amount of total proteins reflecting cell density. These properties are exploited in the SRB growth/survival assay, in which viable adherent cells are first fixed onto the cell-culture modified surface and then measured using the following protocol derived from </w:t>
      </w:r>
      <w:proofErr w:type="spellStart"/>
      <w:r w:rsidRPr="00C97F51">
        <w:rPr>
          <w:lang w:val="en-GB"/>
        </w:rPr>
        <w:t>Vichai</w:t>
      </w:r>
      <w:proofErr w:type="spellEnd"/>
      <w:r w:rsidRPr="00C97F51">
        <w:rPr>
          <w:lang w:val="en-GB"/>
        </w:rPr>
        <w:t xml:space="preserve"> and </w:t>
      </w:r>
      <w:proofErr w:type="spellStart"/>
      <w:r w:rsidRPr="00C97F51">
        <w:rPr>
          <w:lang w:val="en-GB"/>
        </w:rPr>
        <w:t>Kirtikara</w:t>
      </w:r>
      <w:proofErr w:type="spellEnd"/>
      <w:r w:rsidRPr="00C97F51">
        <w:rPr>
          <w:lang w:val="en-GB"/>
        </w:rPr>
        <w:t xml:space="preserve"> 200</w:t>
      </w:r>
      <w:r>
        <w:rPr>
          <w:lang w:val="en-GB"/>
        </w:rPr>
        <w:t>6</w:t>
      </w:r>
      <w:r w:rsidRPr="00C97F51">
        <w:rPr>
          <w:lang w:val="en-GB"/>
        </w:rPr>
        <w:t>.</w:t>
      </w:r>
    </w:p>
    <w:p w:rsidR="005E038D" w:rsidRPr="00C97F51" w:rsidRDefault="005E038D" w:rsidP="005E038D">
      <w:pPr>
        <w:spacing w:line="360" w:lineRule="auto"/>
        <w:jc w:val="both"/>
        <w:rPr>
          <w:b/>
          <w:lang w:val="en-GB"/>
        </w:rPr>
      </w:pPr>
      <w:r w:rsidRPr="00C97F51">
        <w:rPr>
          <w:lang w:val="en-GB"/>
        </w:rPr>
        <w:t xml:space="preserve">Cells were cultivated in 96 well plates at a density of 5000 cells/well with 200 µl medium per well. Cells were incubated for 24 or 48 hours following seeding and then washed with 200 µl PBS and treated with the indicated media conditions. Treatments were performed in n≥4. At the indicated time intervals, cells were fixed by adding half a volume (100µl) of pre-chilled 10% </w:t>
      </w:r>
      <w:proofErr w:type="spellStart"/>
      <w:r w:rsidRPr="00C97F51">
        <w:rPr>
          <w:lang w:val="en-GB"/>
        </w:rPr>
        <w:t>tricholroacetic</w:t>
      </w:r>
      <w:proofErr w:type="spellEnd"/>
      <w:r w:rsidRPr="00C97F51">
        <w:rPr>
          <w:lang w:val="en-GB"/>
        </w:rPr>
        <w:t xml:space="preserve"> acid TCA and incubating at +4° for 1 hour. Subsequently, the plates were washed with deionised water three times and then dried for 20 min at 60°c. Afterwards, 75 µl of SRB and 1% acetic acid solution was added into each well and incubated for 30 minutes in the dark. Subsequently, all wells were washed twice with 1% acetic acid solution and plates were then dried for 20 min at 60°c. Finally, 150µl of 10 </w:t>
      </w:r>
      <w:proofErr w:type="spellStart"/>
      <w:r w:rsidRPr="00C97F51">
        <w:rPr>
          <w:lang w:val="en-GB"/>
        </w:rPr>
        <w:t>mM</w:t>
      </w:r>
      <w:proofErr w:type="spellEnd"/>
      <w:r w:rsidRPr="00C97F51">
        <w:rPr>
          <w:lang w:val="en-GB"/>
        </w:rPr>
        <w:t xml:space="preserve"> </w:t>
      </w:r>
      <w:proofErr w:type="spellStart"/>
      <w:r w:rsidRPr="00C97F51">
        <w:rPr>
          <w:lang w:val="en-GB"/>
        </w:rPr>
        <w:t>Tris</w:t>
      </w:r>
      <w:proofErr w:type="spellEnd"/>
      <w:r w:rsidRPr="00C97F51">
        <w:rPr>
          <w:lang w:val="en-GB"/>
        </w:rPr>
        <w:t xml:space="preserve"> (pH=10.5) were added and plates were shaken at 450 rpm for 5 minutes to dissolve the SRB dye. The absorption of SRB </w:t>
      </w:r>
      <w:r w:rsidRPr="00C97F51">
        <w:rPr>
          <w:lang w:val="en-GB"/>
        </w:rPr>
        <w:lastRenderedPageBreak/>
        <w:t xml:space="preserve">was measured at 535 nm using the </w:t>
      </w:r>
      <w:proofErr w:type="spellStart"/>
      <w:r w:rsidRPr="00C97F51">
        <w:rPr>
          <w:lang w:val="en-GB"/>
        </w:rPr>
        <w:t>Tecan</w:t>
      </w:r>
      <w:proofErr w:type="spellEnd"/>
      <w:r w:rsidRPr="00C97F51">
        <w:rPr>
          <w:lang w:val="en-GB"/>
        </w:rPr>
        <w:t xml:space="preserve">-Ultra microplate reader. Optical-density reads were then normalized to the non-treated and the resulting survival curves were plotted using </w:t>
      </w:r>
      <w:proofErr w:type="spellStart"/>
      <w:r w:rsidRPr="00C97F51">
        <w:rPr>
          <w:lang w:val="en-GB"/>
        </w:rPr>
        <w:t>GraphPad</w:t>
      </w:r>
      <w:proofErr w:type="spellEnd"/>
      <w:r w:rsidRPr="00C97F51">
        <w:rPr>
          <w:lang w:val="en-GB"/>
        </w:rPr>
        <w:t xml:space="preserve"> Prism. </w:t>
      </w:r>
    </w:p>
    <w:p w:rsidR="005E038D" w:rsidRPr="00C97F51" w:rsidRDefault="005E038D" w:rsidP="005E038D">
      <w:pPr>
        <w:spacing w:line="360" w:lineRule="auto"/>
        <w:jc w:val="both"/>
        <w:rPr>
          <w:rFonts w:ascii="Cambria" w:hAnsi="Cambria"/>
          <w:lang w:val="en-GB"/>
        </w:rPr>
      </w:pPr>
    </w:p>
    <w:p w:rsidR="005E038D" w:rsidRDefault="005E038D" w:rsidP="005E038D">
      <w:pPr>
        <w:pStyle w:val="ListParagraph"/>
        <w:spacing w:line="360" w:lineRule="auto"/>
        <w:ind w:left="0"/>
        <w:jc w:val="both"/>
        <w:rPr>
          <w:rFonts w:ascii="Cambria" w:hAnsi="Cambria"/>
          <w:lang w:val="en-GB"/>
        </w:rPr>
      </w:pPr>
    </w:p>
    <w:p w:rsidR="005E038D" w:rsidRDefault="005E038D" w:rsidP="005E038D">
      <w:pPr>
        <w:pStyle w:val="ListParagraph"/>
        <w:spacing w:line="360" w:lineRule="auto"/>
        <w:jc w:val="both"/>
        <w:rPr>
          <w:rFonts w:ascii="Cambria" w:hAnsi="Cambria"/>
          <w:lang w:val="en-GB"/>
        </w:rPr>
      </w:pPr>
    </w:p>
    <w:p w:rsidR="005E038D" w:rsidRPr="005C46B9" w:rsidRDefault="005E038D" w:rsidP="005E038D">
      <w:pPr>
        <w:spacing w:line="360" w:lineRule="auto"/>
        <w:jc w:val="both"/>
        <w:rPr>
          <w:b/>
          <w:lang w:val="en-US"/>
        </w:rPr>
      </w:pPr>
      <w:r w:rsidRPr="005C46B9">
        <w:rPr>
          <w:b/>
          <w:lang w:val="en-US"/>
        </w:rPr>
        <w:t xml:space="preserve">V) Detailed FACS-analysis methods and mechanisms of the </w:t>
      </w:r>
      <w:proofErr w:type="spellStart"/>
      <w:r w:rsidRPr="005C46B9">
        <w:rPr>
          <w:b/>
          <w:lang w:val="en-US"/>
        </w:rPr>
        <w:t>utilised</w:t>
      </w:r>
      <w:proofErr w:type="spellEnd"/>
      <w:r w:rsidRPr="005C46B9">
        <w:rPr>
          <w:b/>
          <w:lang w:val="en-US"/>
        </w:rPr>
        <w:t xml:space="preserve"> fluorescent probes </w:t>
      </w:r>
    </w:p>
    <w:p w:rsidR="005E038D" w:rsidRPr="005C46B9" w:rsidRDefault="005E038D" w:rsidP="005E038D">
      <w:pPr>
        <w:spacing w:line="360" w:lineRule="auto"/>
        <w:jc w:val="both"/>
        <w:rPr>
          <w:lang w:val="en-US"/>
        </w:rPr>
      </w:pPr>
    </w:p>
    <w:p w:rsidR="005E038D" w:rsidRPr="00DA385B" w:rsidRDefault="005E038D" w:rsidP="005E038D">
      <w:pPr>
        <w:pStyle w:val="ListParagraph"/>
        <w:widowControl w:val="0"/>
        <w:numPr>
          <w:ilvl w:val="0"/>
          <w:numId w:val="2"/>
        </w:numPr>
        <w:autoSpaceDE w:val="0"/>
        <w:autoSpaceDN w:val="0"/>
        <w:adjustRightInd w:val="0"/>
        <w:spacing w:line="360" w:lineRule="auto"/>
        <w:rPr>
          <w:rFonts w:ascii="Cambria" w:hAnsi="Cambria"/>
          <w:b/>
          <w:lang w:val="en-GB"/>
        </w:rPr>
      </w:pPr>
      <w:r w:rsidRPr="00DA385B">
        <w:rPr>
          <w:rFonts w:ascii="Cambria" w:hAnsi="Cambria"/>
          <w:b/>
          <w:lang w:val="en-GB"/>
        </w:rPr>
        <w:t>Measuring glucose uptake using fluorescently labelled 2-Deoxy-Glucose 2-NBDG</w:t>
      </w:r>
    </w:p>
    <w:p w:rsidR="005E038D" w:rsidRPr="00DA385B" w:rsidRDefault="005E038D" w:rsidP="005E038D">
      <w:pPr>
        <w:pStyle w:val="ListParagraph"/>
        <w:widowControl w:val="0"/>
        <w:autoSpaceDE w:val="0"/>
        <w:autoSpaceDN w:val="0"/>
        <w:adjustRightInd w:val="0"/>
        <w:spacing w:line="360" w:lineRule="auto"/>
        <w:jc w:val="both"/>
        <w:rPr>
          <w:rFonts w:ascii="Cambria" w:hAnsi="Cambria"/>
          <w:lang w:val="en-GB"/>
        </w:rPr>
      </w:pPr>
      <w:r w:rsidRPr="00DA385B">
        <w:rPr>
          <w:rFonts w:ascii="Cambria" w:hAnsi="Cambria"/>
          <w:lang w:val="en-GB"/>
        </w:rPr>
        <w:t xml:space="preserve">Akin to 2-deoxyglucose, 2-NBDG is taken up by cells and phosphorylated. The resulting 6-Phopsho-2-NBDG is sequestered in the </w:t>
      </w:r>
      <w:proofErr w:type="spellStart"/>
      <w:r w:rsidRPr="00DA385B">
        <w:rPr>
          <w:rFonts w:ascii="Cambria" w:hAnsi="Cambria"/>
          <w:lang w:val="en-GB"/>
        </w:rPr>
        <w:t>cytosole</w:t>
      </w:r>
      <w:proofErr w:type="spellEnd"/>
      <w:r w:rsidRPr="00DA385B">
        <w:rPr>
          <w:rFonts w:ascii="Cambria" w:hAnsi="Cambria"/>
          <w:lang w:val="en-GB"/>
        </w:rPr>
        <w:t xml:space="preserve"> and cannot undergo further glycolytic steps. Therefore, it accumulates in the cells and is used in low concentrations as an indicator of intracellular glucose uptake</w:t>
      </w:r>
    </w:p>
    <w:p w:rsidR="005E038D" w:rsidRPr="00DA385B" w:rsidRDefault="005E038D" w:rsidP="005E038D">
      <w:pPr>
        <w:pStyle w:val="ListParagraph"/>
        <w:spacing w:line="360" w:lineRule="auto"/>
        <w:jc w:val="both"/>
        <w:rPr>
          <w:rFonts w:ascii="Cambria" w:hAnsi="Cambria"/>
          <w:lang w:val="en-GB"/>
        </w:rPr>
      </w:pPr>
      <w:r w:rsidRPr="00DA385B">
        <w:rPr>
          <w:rFonts w:ascii="Cambria" w:hAnsi="Cambria"/>
          <w:lang w:val="en-GB"/>
        </w:rPr>
        <w:t xml:space="preserve">Fluorescently labelled 2-deoxyglucose 2-NBDG was added to the cell culture medium at a concentration of 50 µM so that cells were treated with both indicated agents and the labelled 2-DG simultaneously. After 3 </w:t>
      </w:r>
      <w:proofErr w:type="gramStart"/>
      <w:r w:rsidRPr="00DA385B">
        <w:rPr>
          <w:rFonts w:ascii="Cambria" w:hAnsi="Cambria"/>
          <w:lang w:val="en-GB"/>
        </w:rPr>
        <w:t>hours</w:t>
      </w:r>
      <w:proofErr w:type="gramEnd"/>
      <w:r w:rsidRPr="00DA385B">
        <w:rPr>
          <w:rFonts w:ascii="Cambria" w:hAnsi="Cambria"/>
          <w:lang w:val="en-GB"/>
        </w:rPr>
        <w:t xml:space="preserve"> cells were washed once with PBS, </w:t>
      </w:r>
      <w:proofErr w:type="spellStart"/>
      <w:r w:rsidRPr="00DA385B">
        <w:rPr>
          <w:rFonts w:ascii="Cambria" w:hAnsi="Cambria"/>
          <w:lang w:val="en-GB"/>
        </w:rPr>
        <w:t>trypsinized</w:t>
      </w:r>
      <w:proofErr w:type="spellEnd"/>
      <w:r w:rsidRPr="00DA385B">
        <w:rPr>
          <w:rFonts w:ascii="Cambria" w:hAnsi="Cambria"/>
          <w:lang w:val="en-GB"/>
        </w:rPr>
        <w:t>, pelleted (200x g, 3 minutes) and re-suspended in DMEM without phenol red (colourless), round-bottom 96 well plate and analysed.  The 2-NBDG green fluorescence was then quantified (mean-value of the sample population) and plotted.</w:t>
      </w:r>
    </w:p>
    <w:p w:rsidR="005E038D" w:rsidRPr="00F2490A" w:rsidRDefault="005E038D" w:rsidP="005E038D">
      <w:pPr>
        <w:spacing w:line="360" w:lineRule="auto"/>
        <w:jc w:val="both"/>
        <w:rPr>
          <w:rFonts w:ascii="Cambria" w:hAnsi="Cambria"/>
          <w:b/>
          <w:lang w:val="en-GB"/>
        </w:rPr>
      </w:pPr>
    </w:p>
    <w:p w:rsidR="005E038D" w:rsidRPr="00DA385B" w:rsidRDefault="005E038D" w:rsidP="005E038D">
      <w:pPr>
        <w:pStyle w:val="ListParagraph"/>
        <w:widowControl w:val="0"/>
        <w:numPr>
          <w:ilvl w:val="0"/>
          <w:numId w:val="2"/>
        </w:numPr>
        <w:autoSpaceDE w:val="0"/>
        <w:autoSpaceDN w:val="0"/>
        <w:adjustRightInd w:val="0"/>
        <w:spacing w:line="360" w:lineRule="auto"/>
        <w:rPr>
          <w:rFonts w:ascii="Cambria" w:hAnsi="Cambria"/>
          <w:b/>
          <w:lang w:val="en-GB"/>
        </w:rPr>
      </w:pPr>
      <w:r w:rsidRPr="00DA385B">
        <w:rPr>
          <w:rFonts w:ascii="Cambria" w:hAnsi="Cambria"/>
          <w:b/>
          <w:lang w:val="en-GB"/>
        </w:rPr>
        <w:t xml:space="preserve">Assessing ROS levels using </w:t>
      </w:r>
      <w:proofErr w:type="spellStart"/>
      <w:r w:rsidRPr="00DA385B">
        <w:rPr>
          <w:rFonts w:ascii="Cambria" w:hAnsi="Cambria"/>
          <w:b/>
          <w:lang w:val="en-GB"/>
        </w:rPr>
        <w:t>dehydroethidium</w:t>
      </w:r>
      <w:proofErr w:type="spellEnd"/>
      <w:r w:rsidRPr="00DA385B">
        <w:rPr>
          <w:rFonts w:ascii="Cambria" w:hAnsi="Cambria"/>
          <w:b/>
          <w:lang w:val="en-GB"/>
        </w:rPr>
        <w:t xml:space="preserve"> DHE</w:t>
      </w:r>
    </w:p>
    <w:p w:rsidR="005E038D" w:rsidRPr="00DA385B" w:rsidRDefault="005E038D" w:rsidP="005E038D">
      <w:pPr>
        <w:pStyle w:val="ListParagraph"/>
        <w:widowControl w:val="0"/>
        <w:autoSpaceDE w:val="0"/>
        <w:autoSpaceDN w:val="0"/>
        <w:adjustRightInd w:val="0"/>
        <w:spacing w:line="360" w:lineRule="auto"/>
        <w:jc w:val="both"/>
        <w:rPr>
          <w:rFonts w:ascii="Cambria" w:hAnsi="Cambria"/>
          <w:lang w:val="en-GB"/>
        </w:rPr>
      </w:pPr>
      <w:proofErr w:type="spellStart"/>
      <w:r w:rsidRPr="00DA385B">
        <w:rPr>
          <w:rFonts w:ascii="Cambria" w:hAnsi="Cambria"/>
          <w:lang w:val="en-GB"/>
        </w:rPr>
        <w:t>Dehydroethedium</w:t>
      </w:r>
      <w:proofErr w:type="spellEnd"/>
      <w:r w:rsidRPr="00DA385B">
        <w:rPr>
          <w:rFonts w:ascii="Cambria" w:hAnsi="Cambria"/>
          <w:lang w:val="en-GB"/>
        </w:rPr>
        <w:t xml:space="preserve"> DHE, is a </w:t>
      </w:r>
      <w:proofErr w:type="spellStart"/>
      <w:r w:rsidRPr="00DA385B">
        <w:rPr>
          <w:rFonts w:ascii="Cambria" w:hAnsi="Cambria"/>
          <w:lang w:val="en-GB"/>
        </w:rPr>
        <w:t>RedOx</w:t>
      </w:r>
      <w:proofErr w:type="spellEnd"/>
      <w:r w:rsidRPr="00DA385B">
        <w:rPr>
          <w:rFonts w:ascii="Cambria" w:hAnsi="Cambria"/>
          <w:lang w:val="en-GB"/>
        </w:rPr>
        <w:t xml:space="preserve"> probe that interacts to reactive oxygen species, including superoxide, forming fluorescence </w:t>
      </w:r>
      <w:proofErr w:type="spellStart"/>
      <w:r w:rsidRPr="00DA385B">
        <w:rPr>
          <w:rFonts w:ascii="Cambria" w:hAnsi="Cambria"/>
          <w:lang w:val="en-GB"/>
        </w:rPr>
        <w:t>ethedium</w:t>
      </w:r>
      <w:proofErr w:type="spellEnd"/>
      <w:r w:rsidRPr="00DA385B">
        <w:rPr>
          <w:rFonts w:ascii="Cambria" w:hAnsi="Cambria"/>
          <w:lang w:val="en-GB"/>
        </w:rPr>
        <w:t xml:space="preserve"> and other derivatives thereof that chelate the DNA and hence generate a stable red fluorescence signal proportional to the amount of intracellular ROS.</w:t>
      </w:r>
    </w:p>
    <w:p w:rsidR="005E038D" w:rsidRPr="00DA385B" w:rsidRDefault="005E038D" w:rsidP="005E038D">
      <w:pPr>
        <w:pStyle w:val="ListParagraph"/>
        <w:widowControl w:val="0"/>
        <w:autoSpaceDE w:val="0"/>
        <w:autoSpaceDN w:val="0"/>
        <w:adjustRightInd w:val="0"/>
        <w:spacing w:line="360" w:lineRule="auto"/>
        <w:jc w:val="both"/>
        <w:rPr>
          <w:rFonts w:ascii="Cambria" w:hAnsi="Cambria"/>
          <w:lang w:val="en-GB"/>
        </w:rPr>
      </w:pPr>
      <w:r w:rsidRPr="00DA385B">
        <w:rPr>
          <w:rFonts w:ascii="Cambria" w:hAnsi="Cambria"/>
          <w:lang w:val="en-GB"/>
        </w:rPr>
        <w:t xml:space="preserve">Following the intended duration of treatment, cells were washed once with PBS, </w:t>
      </w:r>
      <w:proofErr w:type="spellStart"/>
      <w:r w:rsidRPr="00DA385B">
        <w:rPr>
          <w:rFonts w:ascii="Cambria" w:hAnsi="Cambria"/>
          <w:lang w:val="en-GB"/>
        </w:rPr>
        <w:t>trypsinised</w:t>
      </w:r>
      <w:proofErr w:type="spellEnd"/>
      <w:r w:rsidRPr="00DA385B">
        <w:rPr>
          <w:rFonts w:ascii="Cambria" w:hAnsi="Cambria"/>
          <w:lang w:val="en-GB"/>
        </w:rPr>
        <w:t xml:space="preserve">, pelleted (200x g, 3 minutes) and re-suspended in full DMEM with 30 µg/ml </w:t>
      </w:r>
      <w:proofErr w:type="spellStart"/>
      <w:r w:rsidRPr="00DA385B">
        <w:rPr>
          <w:rFonts w:ascii="Cambria" w:hAnsi="Cambria"/>
          <w:lang w:val="en-GB"/>
        </w:rPr>
        <w:t>dehydroethidium</w:t>
      </w:r>
      <w:proofErr w:type="spellEnd"/>
      <w:r w:rsidRPr="00DA385B">
        <w:rPr>
          <w:rFonts w:ascii="Cambria" w:hAnsi="Cambria"/>
          <w:lang w:val="en-GB"/>
        </w:rPr>
        <w:t xml:space="preserve"> DHE (</w:t>
      </w:r>
      <w:proofErr w:type="spellStart"/>
      <w:r w:rsidRPr="00DA385B">
        <w:rPr>
          <w:rFonts w:ascii="Cambria" w:hAnsi="Cambria"/>
          <w:lang w:val="en-GB"/>
        </w:rPr>
        <w:t>Biomol</w:t>
      </w:r>
      <w:proofErr w:type="spellEnd"/>
      <w:r w:rsidRPr="00DA385B">
        <w:rPr>
          <w:rFonts w:ascii="Cambria" w:hAnsi="Cambria"/>
          <w:lang w:val="en-GB"/>
        </w:rPr>
        <w:t xml:space="preserve">, Germany) and incubated for 15 minutes. Subsequently cells were pelleted again, and </w:t>
      </w:r>
      <w:proofErr w:type="spellStart"/>
      <w:r w:rsidRPr="00DA385B">
        <w:rPr>
          <w:rFonts w:ascii="Cambria" w:hAnsi="Cambria"/>
          <w:lang w:val="en-GB"/>
        </w:rPr>
        <w:t>resuspended</w:t>
      </w:r>
      <w:proofErr w:type="spellEnd"/>
      <w:r w:rsidRPr="00DA385B">
        <w:rPr>
          <w:rFonts w:ascii="Cambria" w:hAnsi="Cambria"/>
          <w:lang w:val="en-GB"/>
        </w:rPr>
        <w:t xml:space="preserve"> in DMEM without phenol red (colourless), transferred into round-bottom 96 well plate and analysed. The DHE red fluorescence was then quantified (mean-value of the sample population) and plotted.</w:t>
      </w:r>
    </w:p>
    <w:p w:rsidR="005E038D" w:rsidRPr="00F2490A" w:rsidRDefault="005E038D" w:rsidP="005E038D">
      <w:pPr>
        <w:widowControl w:val="0"/>
        <w:autoSpaceDE w:val="0"/>
        <w:autoSpaceDN w:val="0"/>
        <w:adjustRightInd w:val="0"/>
        <w:spacing w:line="360" w:lineRule="auto"/>
        <w:jc w:val="both"/>
        <w:rPr>
          <w:rFonts w:ascii="Cambria" w:hAnsi="Cambria"/>
          <w:b/>
          <w:lang w:val="en-GB"/>
        </w:rPr>
      </w:pPr>
    </w:p>
    <w:p w:rsidR="005E038D" w:rsidRPr="00DA385B" w:rsidRDefault="005E038D" w:rsidP="005E038D">
      <w:pPr>
        <w:pStyle w:val="ListParagraph"/>
        <w:widowControl w:val="0"/>
        <w:numPr>
          <w:ilvl w:val="0"/>
          <w:numId w:val="2"/>
        </w:numPr>
        <w:autoSpaceDE w:val="0"/>
        <w:autoSpaceDN w:val="0"/>
        <w:adjustRightInd w:val="0"/>
        <w:spacing w:line="360" w:lineRule="auto"/>
        <w:rPr>
          <w:rFonts w:ascii="Cambria" w:hAnsi="Cambria"/>
          <w:b/>
          <w:lang w:val="en-GB"/>
        </w:rPr>
      </w:pPr>
      <w:r w:rsidRPr="00DA385B">
        <w:rPr>
          <w:rFonts w:ascii="Cambria" w:hAnsi="Cambria"/>
          <w:b/>
          <w:lang w:val="en-GB"/>
        </w:rPr>
        <w:t xml:space="preserve">Assessing mitochondrial mass using </w:t>
      </w:r>
      <w:proofErr w:type="spellStart"/>
      <w:r w:rsidRPr="00DA385B">
        <w:rPr>
          <w:rFonts w:ascii="Cambria" w:hAnsi="Cambria"/>
          <w:b/>
          <w:lang w:val="en-GB"/>
        </w:rPr>
        <w:t>MitoTracker</w:t>
      </w:r>
      <w:proofErr w:type="spellEnd"/>
      <w:r w:rsidRPr="00DA385B">
        <w:rPr>
          <w:rFonts w:ascii="Cambria" w:hAnsi="Cambria"/>
          <w:b/>
          <w:lang w:val="en-GB"/>
        </w:rPr>
        <w:t>® Green</w:t>
      </w:r>
    </w:p>
    <w:p w:rsidR="005E038D" w:rsidRPr="00DA385B" w:rsidRDefault="005E038D" w:rsidP="005E038D">
      <w:pPr>
        <w:pStyle w:val="ListParagraph"/>
        <w:widowControl w:val="0"/>
        <w:autoSpaceDE w:val="0"/>
        <w:autoSpaceDN w:val="0"/>
        <w:adjustRightInd w:val="0"/>
        <w:spacing w:line="360" w:lineRule="auto"/>
        <w:jc w:val="both"/>
        <w:rPr>
          <w:rFonts w:ascii="Cambria" w:hAnsi="Cambria"/>
          <w:lang w:val="en-GB"/>
        </w:rPr>
      </w:pPr>
      <w:proofErr w:type="spellStart"/>
      <w:r w:rsidRPr="00DA385B">
        <w:rPr>
          <w:rFonts w:ascii="Cambria" w:hAnsi="Cambria"/>
          <w:lang w:val="en-GB"/>
        </w:rPr>
        <w:t>MitoTracker</w:t>
      </w:r>
      <w:proofErr w:type="spellEnd"/>
      <w:r w:rsidRPr="00DA385B">
        <w:rPr>
          <w:rFonts w:ascii="Cambria" w:hAnsi="Cambria"/>
          <w:lang w:val="en-GB"/>
        </w:rPr>
        <w:t xml:space="preserve">® Green </w:t>
      </w:r>
      <w:proofErr w:type="gramStart"/>
      <w:r w:rsidRPr="00DA385B">
        <w:rPr>
          <w:rFonts w:ascii="Cambria" w:hAnsi="Cambria"/>
          <w:lang w:val="en-GB"/>
        </w:rPr>
        <w:t>To</w:t>
      </w:r>
      <w:proofErr w:type="gramEnd"/>
      <w:r w:rsidRPr="00DA385B">
        <w:rPr>
          <w:rFonts w:ascii="Cambria" w:hAnsi="Cambria"/>
          <w:lang w:val="en-GB"/>
        </w:rPr>
        <w:t xml:space="preserve"> compare assess the variations in mitochondrial mass between cells </w:t>
      </w:r>
      <w:r w:rsidRPr="00DA385B">
        <w:rPr>
          <w:rFonts w:ascii="Cambria" w:hAnsi="Cambria"/>
          <w:lang w:val="en-GB"/>
        </w:rPr>
        <w:lastRenderedPageBreak/>
        <w:t xml:space="preserve">with different Fbp1-expression status. </w:t>
      </w:r>
      <w:proofErr w:type="spellStart"/>
      <w:r w:rsidRPr="00DA385B">
        <w:rPr>
          <w:rFonts w:ascii="Cambria" w:hAnsi="Cambria"/>
          <w:lang w:val="en-GB"/>
        </w:rPr>
        <w:t>MitoTracker</w:t>
      </w:r>
      <w:proofErr w:type="spellEnd"/>
      <w:r w:rsidRPr="00DA385B">
        <w:rPr>
          <w:rFonts w:ascii="Cambria" w:hAnsi="Cambria"/>
          <w:lang w:val="en-GB"/>
        </w:rPr>
        <w:t xml:space="preserve"> Green is a fluorescent dye that localises to the mitochondria independent of mitochondrial inner-membrane potential, making it suitable for assessing mitochondrial mass independent of mitochondrial function. For measuring mitochondrial mass, treated cells were washed once with PBS, </w:t>
      </w:r>
      <w:proofErr w:type="spellStart"/>
      <w:r w:rsidRPr="00DA385B">
        <w:rPr>
          <w:rFonts w:ascii="Cambria" w:hAnsi="Cambria"/>
          <w:lang w:val="en-GB"/>
        </w:rPr>
        <w:t>trypsinized</w:t>
      </w:r>
      <w:proofErr w:type="spellEnd"/>
      <w:r w:rsidRPr="00DA385B">
        <w:rPr>
          <w:rFonts w:ascii="Cambria" w:hAnsi="Cambria"/>
          <w:lang w:val="en-GB"/>
        </w:rPr>
        <w:t xml:space="preserve">, pelleted (200x g, 3 minutes) and re-suspended in DMEM without FCS with </w:t>
      </w:r>
      <w:proofErr w:type="spellStart"/>
      <w:r w:rsidRPr="00DA385B">
        <w:rPr>
          <w:rFonts w:ascii="Cambria" w:hAnsi="Cambria"/>
          <w:lang w:val="en-GB"/>
        </w:rPr>
        <w:t>MitoTracker</w:t>
      </w:r>
      <w:proofErr w:type="spellEnd"/>
      <w:r w:rsidRPr="00DA385B">
        <w:rPr>
          <w:rFonts w:ascii="Cambria" w:hAnsi="Cambria"/>
          <w:lang w:val="en-GB"/>
        </w:rPr>
        <w:t xml:space="preserve"> Green (2nM) (Thermo-Fischer Scientific, </w:t>
      </w:r>
      <w:proofErr w:type="spellStart"/>
      <w:r w:rsidRPr="00DA385B">
        <w:rPr>
          <w:rFonts w:ascii="Cambria" w:hAnsi="Cambria"/>
          <w:lang w:val="en-GB"/>
        </w:rPr>
        <w:t>Weltham</w:t>
      </w:r>
      <w:proofErr w:type="spellEnd"/>
      <w:r w:rsidRPr="00DA385B">
        <w:rPr>
          <w:rFonts w:ascii="Cambria" w:hAnsi="Cambria"/>
          <w:lang w:val="en-GB"/>
        </w:rPr>
        <w:t xml:space="preserve">, MA) and incubated for 30 minutes. Subsequently cells were pelleted again, and </w:t>
      </w:r>
      <w:proofErr w:type="spellStart"/>
      <w:r w:rsidRPr="00DA385B">
        <w:rPr>
          <w:rFonts w:ascii="Cambria" w:hAnsi="Cambria"/>
          <w:lang w:val="en-GB"/>
        </w:rPr>
        <w:t>resuspended</w:t>
      </w:r>
      <w:proofErr w:type="spellEnd"/>
      <w:r w:rsidRPr="00DA385B">
        <w:rPr>
          <w:rFonts w:ascii="Cambria" w:hAnsi="Cambria"/>
          <w:lang w:val="en-GB"/>
        </w:rPr>
        <w:t xml:space="preserve"> in DMEM without phenol red (colourless), transferred into round-bottom 96 a well plate and analysed. The mean values of green fluorescence of each population were calculated as an indicator of the mitochondrial mass was.</w:t>
      </w:r>
    </w:p>
    <w:p w:rsidR="005E038D" w:rsidRPr="00DA385B" w:rsidRDefault="005E038D" w:rsidP="005E038D">
      <w:pPr>
        <w:pStyle w:val="ListParagraph"/>
        <w:widowControl w:val="0"/>
        <w:numPr>
          <w:ilvl w:val="0"/>
          <w:numId w:val="2"/>
        </w:numPr>
        <w:autoSpaceDE w:val="0"/>
        <w:autoSpaceDN w:val="0"/>
        <w:adjustRightInd w:val="0"/>
        <w:spacing w:line="360" w:lineRule="auto"/>
        <w:rPr>
          <w:rFonts w:ascii="Cambria" w:hAnsi="Cambria"/>
          <w:b/>
          <w:lang w:val="en-GB"/>
        </w:rPr>
      </w:pPr>
      <w:r w:rsidRPr="00DA385B">
        <w:rPr>
          <w:rFonts w:ascii="Cambria" w:hAnsi="Cambria"/>
          <w:b/>
          <w:lang w:val="en-GB"/>
        </w:rPr>
        <w:t>Determining mitochondrial inner-membrane potential using JC-1</w:t>
      </w:r>
    </w:p>
    <w:p w:rsidR="005E038D" w:rsidRPr="00DA385B" w:rsidRDefault="005E038D" w:rsidP="005E038D">
      <w:pPr>
        <w:pStyle w:val="ListParagraph"/>
        <w:widowControl w:val="0"/>
        <w:autoSpaceDE w:val="0"/>
        <w:autoSpaceDN w:val="0"/>
        <w:adjustRightInd w:val="0"/>
        <w:spacing w:line="360" w:lineRule="auto"/>
        <w:jc w:val="both"/>
        <w:rPr>
          <w:rFonts w:ascii="Cambria" w:hAnsi="Cambria"/>
          <w:lang w:val="en-GB"/>
        </w:rPr>
      </w:pPr>
      <w:r w:rsidRPr="00DA385B">
        <w:rPr>
          <w:rFonts w:ascii="Cambria" w:hAnsi="Cambria"/>
          <w:lang w:val="en-GB"/>
        </w:rPr>
        <w:t>JC-1 is a cyanine dye suitable for the fluorescent assessment of mitochondrial function by measuring the mitochondrial inner membrane potential. Healthy and active mitochondria maintain high levels of inner-membrane potential as a result of an active respiratory chain. The JC-1 dye concentrates on the inner-side of the polarised mitochondrial membranes undergoing a fluorescent shift from green (free monomeric dye) to red (aggregated JC-1). Therefore, the ration of red/green fluorescence signals of JC-1 dye enables the assessment of the mitochondrial membrane polarisation and function</w:t>
      </w:r>
      <w:r w:rsidRPr="00DA385B">
        <w:rPr>
          <w:rFonts w:ascii="Cambria" w:hAnsi="Cambria"/>
          <w:lang w:val="en-GB"/>
        </w:rPr>
        <w:fldChar w:fldCharType="begin"/>
      </w:r>
      <w:r>
        <w:rPr>
          <w:rFonts w:ascii="Cambria" w:hAnsi="Cambria"/>
          <w:lang w:val="en-GB"/>
        </w:rPr>
        <w:instrText xml:space="preserve"> ADDIN EN.CITE &lt;EndNote&gt;&lt;Cite&gt;&lt;Author&gt;Perelman&lt;/Author&gt;&lt;Year&gt;2012&lt;/Year&gt;&lt;RecNum&gt;1323&lt;/RecNum&gt;&lt;DisplayText&gt;[48]&lt;/DisplayText&gt;&lt;record&gt;&lt;rec-number&gt;1323&lt;/rec-number&gt;&lt;foreign-keys&gt;&lt;key app="EN" db-id="av2p20ssree2s9ewv5c5v5pja5we0xr9pzvx" timestamp="1521658512"&gt;1323&lt;/key&gt;&lt;/foreign-keys&gt;&lt;ref-type name="Journal Article"&gt;17&lt;/ref-type&gt;&lt;contributors&gt;&lt;authors&gt;&lt;author&gt;Perelman, A.&lt;/author&gt;&lt;author&gt;Wachtel, C.&lt;/author&gt;&lt;author&gt;Cohen, M.&lt;/author&gt;&lt;author&gt;Haupt, S.&lt;/author&gt;&lt;author&gt;Shapiro, H.&lt;/author&gt;&lt;author&gt;Tzur, A.&lt;/author&gt;&lt;/authors&gt;&lt;/contributors&gt;&lt;auth-address&gt;The Mina and Everard Goodman Faculty of Life Sciences, Bar-Ilan University, Ramat-Gan, Israel.&lt;/auth-address&gt;&lt;titles&gt;&lt;title&gt;JC-1: alternative excitation wavelengths facilitate mitochondrial membrane potential cytometry&lt;/title&gt;&lt;secondary-title&gt;Cell Death Dis&lt;/secondary-title&gt;&lt;/titles&gt;&lt;periodical&gt;&lt;full-title&gt;Cell Death Dis&lt;/full-title&gt;&lt;/periodical&gt;&lt;pages&gt;e430&lt;/pages&gt;&lt;volume&gt;3&lt;/volume&gt;&lt;keywords&gt;&lt;keyword&gt;Animals&lt;/keyword&gt;&lt;keyword&gt;Apoptosis&lt;/keyword&gt;&lt;keyword&gt;Carbocyanines/*chemistry&lt;/keyword&gt;&lt;keyword&gt;Cells/*chemistry/metabolism&lt;/keyword&gt;&lt;keyword&gt;Flow Cytometry/*instrumentation&lt;/keyword&gt;&lt;keyword&gt;Fluorescent Dyes/*chemistry&lt;/keyword&gt;&lt;keyword&gt;HeLa Cells&lt;/keyword&gt;&lt;keyword&gt;Humans&lt;/keyword&gt;&lt;keyword&gt;*Membrane Potential, Mitochondrial&lt;/keyword&gt;&lt;keyword&gt;Mice&lt;/keyword&gt;&lt;keyword&gt;Mitochondria/chemistry/metabolism&lt;/keyword&gt;&lt;/keywords&gt;&lt;dates&gt;&lt;year&gt;2012&lt;/year&gt;&lt;pub-dates&gt;&lt;date&gt;Nov 22&lt;/date&gt;&lt;/pub-dates&gt;&lt;/dates&gt;&lt;isbn&gt;2041-4889 (Electronic)&lt;/isbn&gt;&lt;accession-num&gt;23171850&lt;/accession-num&gt;&lt;urls&gt;&lt;related-urls&gt;&lt;url&gt;https://www.ncbi.nlm.nih.gov/pubmed/23171850&lt;/url&gt;&lt;/related-urls&gt;&lt;/urls&gt;&lt;custom2&gt;PMC3542606&lt;/custom2&gt;&lt;electronic-resource-num&gt;10.1038/cddis.2012.171&lt;/electronic-resource-num&gt;&lt;/record&gt;&lt;/Cite&gt;&lt;/EndNote&gt;</w:instrText>
      </w:r>
      <w:r w:rsidRPr="00DA385B">
        <w:rPr>
          <w:rFonts w:ascii="Cambria" w:hAnsi="Cambria"/>
          <w:lang w:val="en-GB"/>
        </w:rPr>
        <w:fldChar w:fldCharType="separate"/>
      </w:r>
      <w:r>
        <w:rPr>
          <w:rFonts w:ascii="Cambria" w:hAnsi="Cambria"/>
          <w:noProof/>
          <w:lang w:val="en-GB"/>
        </w:rPr>
        <w:t>[48]</w:t>
      </w:r>
      <w:r w:rsidRPr="00DA385B">
        <w:rPr>
          <w:rFonts w:ascii="Cambria" w:hAnsi="Cambria"/>
          <w:lang w:val="en-GB"/>
        </w:rPr>
        <w:fldChar w:fldCharType="end"/>
      </w:r>
      <w:r w:rsidRPr="00DA385B">
        <w:rPr>
          <w:rFonts w:ascii="Cambria" w:hAnsi="Cambria"/>
          <w:lang w:val="en-GB"/>
        </w:rPr>
        <w:t xml:space="preserve">.  </w:t>
      </w:r>
    </w:p>
    <w:p w:rsidR="005E038D" w:rsidRPr="00DA385B" w:rsidRDefault="005E038D" w:rsidP="005E038D">
      <w:pPr>
        <w:pStyle w:val="ListParagraph"/>
        <w:spacing w:line="360" w:lineRule="auto"/>
        <w:jc w:val="both"/>
        <w:rPr>
          <w:rFonts w:ascii="Cambria" w:hAnsi="Cambria"/>
          <w:lang w:val="en-GB"/>
        </w:rPr>
      </w:pPr>
      <w:r w:rsidRPr="00DA385B">
        <w:rPr>
          <w:rFonts w:ascii="Cambria" w:hAnsi="Cambria"/>
          <w:lang w:val="en-GB"/>
        </w:rPr>
        <w:t xml:space="preserve">For measuring mitochondrial membrane potential with JC-1, treated cells were washed once with PBS, </w:t>
      </w:r>
      <w:proofErr w:type="spellStart"/>
      <w:r w:rsidRPr="00DA385B">
        <w:rPr>
          <w:rFonts w:ascii="Cambria" w:hAnsi="Cambria"/>
          <w:lang w:val="en-GB"/>
        </w:rPr>
        <w:t>trypsinized</w:t>
      </w:r>
      <w:proofErr w:type="spellEnd"/>
      <w:r w:rsidRPr="00DA385B">
        <w:rPr>
          <w:rFonts w:ascii="Cambria" w:hAnsi="Cambria"/>
          <w:lang w:val="en-GB"/>
        </w:rPr>
        <w:t>, pelleted (200x g, 3 minutes) and re-suspended in full DMEM with 2µM JC-1 (</w:t>
      </w:r>
      <w:proofErr w:type="spellStart"/>
      <w:r w:rsidRPr="00DA385B">
        <w:rPr>
          <w:rFonts w:ascii="Cambria" w:hAnsi="Cambria"/>
          <w:lang w:val="en-GB"/>
        </w:rPr>
        <w:t>Biomol</w:t>
      </w:r>
      <w:proofErr w:type="spellEnd"/>
      <w:r w:rsidRPr="00DA385B">
        <w:rPr>
          <w:rFonts w:ascii="Cambria" w:hAnsi="Cambria"/>
          <w:lang w:val="en-GB"/>
        </w:rPr>
        <w:t xml:space="preserve">, Germany) and incubated for 15 minutes. Subsequently cells were pelleted again, and </w:t>
      </w:r>
      <w:proofErr w:type="spellStart"/>
      <w:r w:rsidRPr="00DA385B">
        <w:rPr>
          <w:rFonts w:ascii="Cambria" w:hAnsi="Cambria"/>
          <w:lang w:val="en-GB"/>
        </w:rPr>
        <w:t>resuspended</w:t>
      </w:r>
      <w:proofErr w:type="spellEnd"/>
      <w:r w:rsidRPr="00DA385B">
        <w:rPr>
          <w:rFonts w:ascii="Cambria" w:hAnsi="Cambria"/>
          <w:lang w:val="en-GB"/>
        </w:rPr>
        <w:t xml:space="preserve"> in DMEM without phenol red (colourless), transferred into round-bottom 96 a well plate and analysed. The mean values of red and green fluorescence of each population were calculated and the mitochondrial inner membrane potential was then quantified as a ratio of mitochondrial aggregated to free (cytosolic) JC-1 red/green fluorescence.  </w:t>
      </w:r>
    </w:p>
    <w:p w:rsidR="005E038D" w:rsidRDefault="005E038D" w:rsidP="005E038D">
      <w:pPr>
        <w:spacing w:line="360" w:lineRule="auto"/>
        <w:jc w:val="both"/>
        <w:rPr>
          <w:rFonts w:ascii="Cambria" w:hAnsi="Cambria"/>
          <w:lang w:val="en-GB"/>
        </w:rPr>
      </w:pPr>
    </w:p>
    <w:p w:rsidR="005E038D" w:rsidRDefault="005E038D" w:rsidP="005E038D">
      <w:pPr>
        <w:pStyle w:val="ListParagraph"/>
        <w:spacing w:line="360" w:lineRule="auto"/>
        <w:ind w:left="0"/>
        <w:jc w:val="both"/>
        <w:rPr>
          <w:rFonts w:ascii="Cambria" w:hAnsi="Cambria"/>
          <w:lang w:val="en-GB"/>
        </w:rPr>
      </w:pPr>
    </w:p>
    <w:p w:rsidR="005E038D" w:rsidRPr="00577578" w:rsidRDefault="005E038D" w:rsidP="005E038D">
      <w:pPr>
        <w:spacing w:line="360" w:lineRule="auto"/>
        <w:jc w:val="both"/>
        <w:rPr>
          <w:lang w:val="en-GB"/>
        </w:rPr>
      </w:pPr>
      <w:r w:rsidRPr="00577578">
        <w:rPr>
          <w:b/>
          <w:lang w:val="en-GB"/>
        </w:rPr>
        <w:t xml:space="preserve">VI) LC-MS Metabolic flux analysis: </w:t>
      </w:r>
    </w:p>
    <w:p w:rsidR="005E038D" w:rsidRPr="00577578" w:rsidRDefault="005E038D" w:rsidP="005E038D">
      <w:pPr>
        <w:spacing w:line="360" w:lineRule="auto"/>
        <w:jc w:val="both"/>
        <w:rPr>
          <w:rFonts w:cs="Arial"/>
          <w:szCs w:val="22"/>
          <w:lang w:val="en-GB"/>
        </w:rPr>
      </w:pPr>
      <w:r w:rsidRPr="00577578">
        <w:rPr>
          <w:rFonts w:cs="Arial"/>
          <w:szCs w:val="22"/>
          <w:lang w:val="en-GB"/>
        </w:rPr>
        <w:t xml:space="preserve">MCF-7, MDA-mb231 and HT29 cells were seeded at 300.000 cells/ well. After 24 hours, media were replaced and cells were incubated for 16 hours. Subsequently, media was replaced and cells were incubated with full medium for 24 hours. Afterwards, cells were washed with ice-cold PBS and </w:t>
      </w:r>
      <w:r w:rsidRPr="00577578">
        <w:rPr>
          <w:rFonts w:cs="Arial"/>
          <w:szCs w:val="22"/>
          <w:lang w:val="en-GB"/>
        </w:rPr>
        <w:lastRenderedPageBreak/>
        <w:t>metabolites were extracted in 1 mL of methanol/acetonitrile/H</w:t>
      </w:r>
      <w:r w:rsidRPr="00577578">
        <w:rPr>
          <w:rFonts w:cs="Arial"/>
          <w:szCs w:val="22"/>
          <w:vertAlign w:val="subscript"/>
          <w:lang w:val="en-GB"/>
        </w:rPr>
        <w:t>2</w:t>
      </w:r>
      <w:r w:rsidRPr="00577578">
        <w:rPr>
          <w:rFonts w:cs="Arial"/>
          <w:szCs w:val="22"/>
          <w:lang w:val="en-GB"/>
        </w:rPr>
        <w:t xml:space="preserve">O (2:2:1). Samples were shaken for 10 minutes, centrifuged for 15 minutes at </w:t>
      </w:r>
      <w:proofErr w:type="spellStart"/>
      <w:r w:rsidRPr="00577578">
        <w:rPr>
          <w:rFonts w:cs="Arial"/>
          <w:szCs w:val="22"/>
          <w:lang w:val="en-GB"/>
        </w:rPr>
        <w:t>at</w:t>
      </w:r>
      <w:proofErr w:type="spellEnd"/>
      <w:r w:rsidRPr="00577578">
        <w:rPr>
          <w:rFonts w:cs="Arial"/>
          <w:szCs w:val="22"/>
          <w:lang w:val="en-GB"/>
        </w:rPr>
        <w:t xml:space="preserve"> 4 °C and supernatants were collected for LC-MS analysis.</w:t>
      </w:r>
    </w:p>
    <w:p w:rsidR="005E038D" w:rsidRPr="00577578" w:rsidRDefault="005E038D" w:rsidP="005E038D">
      <w:pPr>
        <w:spacing w:line="360" w:lineRule="auto"/>
        <w:jc w:val="both"/>
        <w:rPr>
          <w:rFonts w:cs="Arial"/>
          <w:szCs w:val="22"/>
          <w:lang w:val="en-GB"/>
        </w:rPr>
      </w:pPr>
      <w:r w:rsidRPr="00577578">
        <w:rPr>
          <w:rFonts w:cs="Arial"/>
          <w:szCs w:val="22"/>
          <w:lang w:val="en-GB"/>
        </w:rPr>
        <w:t xml:space="preserve">LC-MS analysis was performed on an </w:t>
      </w:r>
      <w:proofErr w:type="spellStart"/>
      <w:r w:rsidRPr="00577578">
        <w:rPr>
          <w:rFonts w:cs="Arial"/>
          <w:szCs w:val="22"/>
          <w:lang w:val="en-GB"/>
        </w:rPr>
        <w:t>Exactive</w:t>
      </w:r>
      <w:proofErr w:type="spellEnd"/>
      <w:r w:rsidRPr="00577578">
        <w:rPr>
          <w:rFonts w:cs="Arial"/>
          <w:szCs w:val="22"/>
          <w:lang w:val="en-GB"/>
        </w:rPr>
        <w:t xml:space="preserve"> mass spectrometer (</w:t>
      </w:r>
      <w:proofErr w:type="spellStart"/>
      <w:r w:rsidRPr="00577578">
        <w:rPr>
          <w:rFonts w:cs="Arial"/>
          <w:szCs w:val="22"/>
          <w:lang w:val="en-GB"/>
        </w:rPr>
        <w:t>Thermo</w:t>
      </w:r>
      <w:proofErr w:type="spellEnd"/>
      <w:r w:rsidRPr="00577578">
        <w:rPr>
          <w:rFonts w:cs="Arial"/>
          <w:szCs w:val="22"/>
          <w:lang w:val="en-GB"/>
        </w:rPr>
        <w:t xml:space="preserve"> Scientific) coupled to a </w:t>
      </w:r>
      <w:proofErr w:type="spellStart"/>
      <w:r w:rsidRPr="00577578">
        <w:rPr>
          <w:rFonts w:cs="Arial"/>
          <w:szCs w:val="22"/>
          <w:lang w:val="en-GB"/>
        </w:rPr>
        <w:t>Dionex</w:t>
      </w:r>
      <w:proofErr w:type="spellEnd"/>
      <w:r w:rsidRPr="00577578">
        <w:rPr>
          <w:rFonts w:cs="Arial"/>
          <w:szCs w:val="22"/>
          <w:lang w:val="en-GB"/>
        </w:rPr>
        <w:t xml:space="preserve"> Ultimate 3000 auto-sampler and pump (</w:t>
      </w:r>
      <w:proofErr w:type="spellStart"/>
      <w:r w:rsidRPr="00577578">
        <w:rPr>
          <w:rFonts w:cs="Arial"/>
          <w:szCs w:val="22"/>
          <w:lang w:val="en-GB"/>
        </w:rPr>
        <w:t>Thermo</w:t>
      </w:r>
      <w:proofErr w:type="spellEnd"/>
      <w:r w:rsidRPr="00577578">
        <w:rPr>
          <w:rFonts w:cs="Arial"/>
          <w:szCs w:val="22"/>
          <w:lang w:val="en-GB"/>
        </w:rPr>
        <w:t xml:space="preserve"> Scientific). Metabolites were separated using a </w:t>
      </w:r>
      <w:proofErr w:type="spellStart"/>
      <w:r w:rsidRPr="00577578">
        <w:rPr>
          <w:rFonts w:cs="Arial"/>
          <w:szCs w:val="22"/>
          <w:lang w:val="en-GB"/>
        </w:rPr>
        <w:t>Sequant</w:t>
      </w:r>
      <w:proofErr w:type="spellEnd"/>
      <w:r w:rsidRPr="00577578">
        <w:rPr>
          <w:rFonts w:cs="Arial"/>
          <w:szCs w:val="22"/>
          <w:lang w:val="en-GB"/>
        </w:rPr>
        <w:t xml:space="preserve"> ZIC-</w:t>
      </w:r>
      <w:proofErr w:type="spellStart"/>
      <w:r w:rsidRPr="00577578">
        <w:rPr>
          <w:rFonts w:cs="Arial"/>
          <w:szCs w:val="22"/>
          <w:lang w:val="en-GB"/>
        </w:rPr>
        <w:t>pHILIC</w:t>
      </w:r>
      <w:proofErr w:type="spellEnd"/>
      <w:r w:rsidRPr="00577578">
        <w:rPr>
          <w:rFonts w:cs="Arial"/>
          <w:szCs w:val="22"/>
          <w:lang w:val="en-GB"/>
        </w:rPr>
        <w:t xml:space="preserve"> column (2.1 x 150 mm, 5 </w:t>
      </w:r>
      <w:r w:rsidRPr="00577578">
        <w:rPr>
          <w:rFonts w:cs="Arial"/>
          <w:szCs w:val="22"/>
          <w:lang w:val="en-GB"/>
        </w:rPr>
        <w:t xml:space="preserve">m, guard column 2.1 x 20 mm, 5 </w:t>
      </w:r>
      <w:r w:rsidRPr="00577578">
        <w:rPr>
          <w:rFonts w:cs="Arial"/>
          <w:szCs w:val="22"/>
          <w:lang w:val="en-GB"/>
        </w:rPr>
        <w:t xml:space="preserve">m; Merck) using a linear gradient of acetonitrile (A) and eluent B (20 </w:t>
      </w:r>
      <w:proofErr w:type="spellStart"/>
      <w:r w:rsidRPr="00577578">
        <w:rPr>
          <w:rFonts w:cs="Arial"/>
          <w:szCs w:val="22"/>
          <w:lang w:val="en-GB"/>
        </w:rPr>
        <w:t>mM</w:t>
      </w:r>
      <w:proofErr w:type="spellEnd"/>
      <w:r w:rsidRPr="00577578">
        <w:rPr>
          <w:rFonts w:cs="Arial"/>
          <w:szCs w:val="22"/>
          <w:lang w:val="en-GB"/>
        </w:rPr>
        <w:t xml:space="preserve"> (NH4)2CO3, 0.1% NH4OH in ULC/MS grade water (</w:t>
      </w:r>
      <w:proofErr w:type="spellStart"/>
      <w:r w:rsidRPr="00577578">
        <w:rPr>
          <w:rFonts w:cs="Arial"/>
          <w:szCs w:val="22"/>
          <w:lang w:val="en-GB"/>
        </w:rPr>
        <w:t>Biosolve</w:t>
      </w:r>
      <w:proofErr w:type="spellEnd"/>
      <w:r w:rsidRPr="00577578">
        <w:rPr>
          <w:rFonts w:cs="Arial"/>
          <w:szCs w:val="22"/>
          <w:lang w:val="en-GB"/>
        </w:rPr>
        <w:t xml:space="preserve">)). Flow rate was set at 150 </w:t>
      </w:r>
      <w:r w:rsidRPr="00577578">
        <w:rPr>
          <w:rFonts w:cs="Arial"/>
          <w:szCs w:val="22"/>
          <w:lang w:val="en-GB"/>
        </w:rPr>
        <w:t xml:space="preserve">l/min and the gradient ran from 20% B to 60% B, followed by a wash step and equilibration at 20% B. The MS operated in polarity-switching mode with spray voltages of 4.5 kV and -3.5 kV. Metabolites were identified on the basis of exact mass within 5 ppm and further validated by concordance with retention times of standards. Quantification was based on peak area using </w:t>
      </w:r>
      <w:proofErr w:type="spellStart"/>
      <w:r w:rsidRPr="00577578">
        <w:rPr>
          <w:rFonts w:cs="Arial"/>
          <w:szCs w:val="22"/>
          <w:lang w:val="en-GB"/>
        </w:rPr>
        <w:t>LCquan</w:t>
      </w:r>
      <w:proofErr w:type="spellEnd"/>
      <w:r w:rsidRPr="00577578">
        <w:rPr>
          <w:rFonts w:cs="Arial"/>
          <w:szCs w:val="22"/>
          <w:lang w:val="en-GB"/>
        </w:rPr>
        <w:t xml:space="preserve"> software (</w:t>
      </w:r>
      <w:proofErr w:type="spellStart"/>
      <w:r w:rsidRPr="00577578">
        <w:rPr>
          <w:rFonts w:cs="Arial"/>
          <w:szCs w:val="22"/>
          <w:lang w:val="en-GB"/>
        </w:rPr>
        <w:t>Thermo</w:t>
      </w:r>
      <w:proofErr w:type="spellEnd"/>
      <w:r w:rsidRPr="00577578">
        <w:rPr>
          <w:rFonts w:cs="Arial"/>
          <w:szCs w:val="22"/>
          <w:lang w:val="en-GB"/>
        </w:rPr>
        <w:t xml:space="preserve"> Scientific) Peak intensities were normalized based on median peak intensity. </w:t>
      </w:r>
    </w:p>
    <w:p w:rsidR="005E038D" w:rsidRPr="005C46B9" w:rsidRDefault="005E038D" w:rsidP="005E038D">
      <w:pPr>
        <w:spacing w:line="360" w:lineRule="auto"/>
        <w:ind w:left="360"/>
        <w:jc w:val="both"/>
        <w:rPr>
          <w:lang w:val="en-US"/>
        </w:rPr>
      </w:pPr>
    </w:p>
    <w:p w:rsidR="005E038D" w:rsidRPr="00D35DCF" w:rsidRDefault="005E038D" w:rsidP="005E038D">
      <w:pPr>
        <w:widowControl w:val="0"/>
        <w:autoSpaceDE w:val="0"/>
        <w:autoSpaceDN w:val="0"/>
        <w:adjustRightInd w:val="0"/>
        <w:spacing w:line="360" w:lineRule="auto"/>
        <w:rPr>
          <w:rFonts w:ascii="Helvetica" w:hAnsi="Helvetica"/>
          <w:lang w:val="en-GB"/>
        </w:rPr>
      </w:pPr>
    </w:p>
    <w:p w:rsidR="005E038D" w:rsidRDefault="005E038D" w:rsidP="005E038D">
      <w:pPr>
        <w:widowControl w:val="0"/>
        <w:autoSpaceDE w:val="0"/>
        <w:autoSpaceDN w:val="0"/>
        <w:adjustRightInd w:val="0"/>
        <w:spacing w:line="360" w:lineRule="auto"/>
        <w:rPr>
          <w:rFonts w:ascii="Cambria" w:hAnsi="Cambria"/>
          <w:b/>
          <w:lang w:val="en-GB"/>
        </w:rPr>
      </w:pPr>
    </w:p>
    <w:p w:rsidR="005E038D" w:rsidRDefault="005E038D" w:rsidP="005E038D">
      <w:pPr>
        <w:spacing w:line="360" w:lineRule="auto"/>
        <w:jc w:val="both"/>
        <w:rPr>
          <w:rFonts w:ascii="Cambria" w:hAnsi="Cambria"/>
          <w:b/>
          <w:lang w:val="en-GB"/>
        </w:rPr>
      </w:pPr>
    </w:p>
    <w:p w:rsidR="005E038D" w:rsidRDefault="005E038D" w:rsidP="005E038D">
      <w:pPr>
        <w:spacing w:line="360" w:lineRule="auto"/>
        <w:jc w:val="both"/>
        <w:rPr>
          <w:rFonts w:ascii="Cambria" w:hAnsi="Cambria"/>
          <w:b/>
          <w:lang w:val="en-GB"/>
        </w:rPr>
      </w:pPr>
    </w:p>
    <w:p w:rsidR="005E038D" w:rsidRPr="005C46B9" w:rsidRDefault="005E038D" w:rsidP="005E038D">
      <w:pPr>
        <w:spacing w:line="360" w:lineRule="auto"/>
        <w:jc w:val="both"/>
        <w:rPr>
          <w:b/>
          <w:lang w:val="en-US"/>
        </w:rPr>
      </w:pPr>
      <w:r w:rsidRPr="005C46B9">
        <w:rPr>
          <w:b/>
          <w:lang w:val="en-US"/>
        </w:rPr>
        <w:t xml:space="preserve">VII) Detailed method of the </w:t>
      </w:r>
      <w:proofErr w:type="spellStart"/>
      <w:r w:rsidRPr="005C46B9">
        <w:rPr>
          <w:b/>
          <w:lang w:val="en-US"/>
        </w:rPr>
        <w:t>triazole</w:t>
      </w:r>
      <w:proofErr w:type="spellEnd"/>
      <w:r w:rsidRPr="005C46B9">
        <w:rPr>
          <w:b/>
          <w:lang w:val="en-US"/>
        </w:rPr>
        <w:t>/chloroform RNA extraction</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Medium was aspirated and cells were washed with 2 ml PBS.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200 µl </w:t>
      </w:r>
      <w:proofErr w:type="spellStart"/>
      <w:r w:rsidRPr="00F2490A">
        <w:rPr>
          <w:rFonts w:ascii="Cambria" w:hAnsi="Cambria"/>
          <w:lang w:val="en-GB"/>
        </w:rPr>
        <w:t>Triazole</w:t>
      </w:r>
      <w:proofErr w:type="spellEnd"/>
      <w:r w:rsidRPr="00F2490A">
        <w:rPr>
          <w:rFonts w:ascii="Cambria" w:hAnsi="Cambria"/>
          <w:lang w:val="en-GB"/>
        </w:rPr>
        <w:t xml:space="preserve"> (Sigma-Aldrich) were added directly onto the cells, and cells were thoroughly scratched.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The </w:t>
      </w:r>
      <w:proofErr w:type="spellStart"/>
      <w:r w:rsidRPr="00F2490A">
        <w:rPr>
          <w:rFonts w:ascii="Cambria" w:hAnsi="Cambria"/>
          <w:lang w:val="en-GB"/>
        </w:rPr>
        <w:t>triazole</w:t>
      </w:r>
      <w:proofErr w:type="spellEnd"/>
      <w:r w:rsidRPr="00F2490A">
        <w:rPr>
          <w:rFonts w:ascii="Cambria" w:hAnsi="Cambria"/>
          <w:lang w:val="en-GB"/>
        </w:rPr>
        <w:t xml:space="preserve"> was incubated on top of the cells for 5 minutes at room temperature.</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The </w:t>
      </w:r>
      <w:proofErr w:type="spellStart"/>
      <w:r w:rsidRPr="00F2490A">
        <w:rPr>
          <w:rFonts w:ascii="Cambria" w:hAnsi="Cambria"/>
          <w:lang w:val="en-GB"/>
        </w:rPr>
        <w:t>Triazole</w:t>
      </w:r>
      <w:proofErr w:type="spellEnd"/>
      <w:r w:rsidRPr="00F2490A">
        <w:rPr>
          <w:rFonts w:ascii="Cambria" w:hAnsi="Cambria"/>
          <w:lang w:val="en-GB"/>
        </w:rPr>
        <w:t xml:space="preserve"> lysates were aspirated and transferred into fresh Eppendorf tubes.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40 µl of chloroform were added to each tube.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Tubes were vortexed for 15 seconds each, and then incubated for 15 minutes on ice.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Tubes were centrifuged at 12000 x </w:t>
      </w:r>
      <w:r w:rsidRPr="00F2490A">
        <w:rPr>
          <w:rFonts w:ascii="Cambria" w:hAnsi="Cambria"/>
          <w:i/>
          <w:lang w:val="en-GB"/>
        </w:rPr>
        <w:t xml:space="preserve">g </w:t>
      </w:r>
      <w:r w:rsidRPr="00F2490A">
        <w:rPr>
          <w:rFonts w:ascii="Cambria" w:hAnsi="Cambria"/>
          <w:lang w:val="en-GB"/>
        </w:rPr>
        <w:t xml:space="preserve">for 15 minutes at 4°C to fully separate the aqueous and chloroform phases, with the genomic DNA condensed on the interface.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The RNA-containing upper aqueous layer was transferred into fresh Eppendorf tubes.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100 µl of isopropanol were added to each tube to precipitate the RNA.</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Tubes were incubated for 10 minutes at room temperature.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Tubes were centrifuged at 12000 x </w:t>
      </w:r>
      <w:r w:rsidRPr="00F2490A">
        <w:rPr>
          <w:rFonts w:ascii="Cambria" w:hAnsi="Cambria"/>
          <w:i/>
          <w:lang w:val="en-GB"/>
        </w:rPr>
        <w:t xml:space="preserve">g </w:t>
      </w:r>
      <w:r w:rsidRPr="00F2490A">
        <w:rPr>
          <w:rFonts w:ascii="Cambria" w:hAnsi="Cambria"/>
          <w:lang w:val="en-GB"/>
        </w:rPr>
        <w:t xml:space="preserve">for 4 minutes at room temperature, washed twice with 500 µl 70% ethanol. </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t xml:space="preserve">RNA was pelleted by centrifugation at 7500 x </w:t>
      </w:r>
      <w:r w:rsidRPr="00F2490A">
        <w:rPr>
          <w:rFonts w:ascii="Cambria" w:hAnsi="Cambria"/>
          <w:i/>
          <w:lang w:val="en-GB"/>
        </w:rPr>
        <w:t xml:space="preserve">g </w:t>
      </w:r>
      <w:r w:rsidRPr="00F2490A">
        <w:rPr>
          <w:rFonts w:ascii="Cambria" w:hAnsi="Cambria"/>
          <w:lang w:val="en-GB"/>
        </w:rPr>
        <w:t>for 5 minutes at 4°C.</w:t>
      </w:r>
    </w:p>
    <w:p w:rsidR="005E038D" w:rsidRPr="00F2490A" w:rsidRDefault="005E038D" w:rsidP="005E038D">
      <w:pPr>
        <w:pStyle w:val="ListParagraph"/>
        <w:widowControl w:val="0"/>
        <w:numPr>
          <w:ilvl w:val="0"/>
          <w:numId w:val="1"/>
        </w:numPr>
        <w:autoSpaceDE w:val="0"/>
        <w:autoSpaceDN w:val="0"/>
        <w:adjustRightInd w:val="0"/>
        <w:spacing w:line="360" w:lineRule="auto"/>
        <w:jc w:val="both"/>
        <w:rPr>
          <w:rFonts w:ascii="Cambria" w:hAnsi="Cambria"/>
          <w:lang w:val="en-GB"/>
        </w:rPr>
      </w:pPr>
      <w:r w:rsidRPr="00F2490A">
        <w:rPr>
          <w:rFonts w:ascii="Cambria" w:hAnsi="Cambria"/>
          <w:lang w:val="en-GB"/>
        </w:rPr>
        <w:lastRenderedPageBreak/>
        <w:t xml:space="preserve">Pellets were air dried under laminar flow bench and the RNA was dissolved in 20 µl of </w:t>
      </w:r>
      <w:proofErr w:type="spellStart"/>
      <w:r w:rsidRPr="00F2490A">
        <w:rPr>
          <w:rFonts w:ascii="Cambria" w:hAnsi="Cambria"/>
          <w:lang w:val="en-GB"/>
        </w:rPr>
        <w:t>nulcease</w:t>
      </w:r>
      <w:proofErr w:type="spellEnd"/>
      <w:r w:rsidRPr="00F2490A">
        <w:rPr>
          <w:rFonts w:ascii="Cambria" w:hAnsi="Cambria"/>
          <w:lang w:val="en-GB"/>
        </w:rPr>
        <w:t xml:space="preserve">-free water. </w:t>
      </w:r>
    </w:p>
    <w:p w:rsidR="00390883" w:rsidRDefault="005E038D"/>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 Bayan">
    <w:altName w:val="Times New Roman"/>
    <w:charset w:val="B2"/>
    <w:family w:val="auto"/>
    <w:pitch w:val="variable"/>
    <w:sig w:usb0="00002000" w:usb1="00000000" w:usb2="00000008" w:usb3="00000000" w:csb0="00000040"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67672"/>
    <w:multiLevelType w:val="hybridMultilevel"/>
    <w:tmpl w:val="FA842D08"/>
    <w:lvl w:ilvl="0" w:tplc="91D64282">
      <w:start w:val="2"/>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AF3F7B"/>
    <w:multiLevelType w:val="hybridMultilevel"/>
    <w:tmpl w:val="405A3B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38D"/>
    <w:rsid w:val="001A6D85"/>
    <w:rsid w:val="005E038D"/>
    <w:rsid w:val="006E330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9D897E-E553-46C9-9081-463D034B3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38D"/>
    <w:pPr>
      <w:spacing w:after="0" w:line="240" w:lineRule="auto"/>
    </w:pPr>
    <w:rPr>
      <w:sz w:val="24"/>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rsid w:val="005E038D"/>
    <w:rPr>
      <w:rFonts w:ascii="Al Bayan" w:hAnsi="Al Bayan" w:cs="Al Bayan"/>
      <w:lang w:val="en-US"/>
    </w:rPr>
  </w:style>
  <w:style w:type="paragraph" w:styleId="ListParagraph">
    <w:name w:val="List Paragraph"/>
    <w:basedOn w:val="Normal"/>
    <w:qFormat/>
    <w:rsid w:val="005E03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2696</Words>
  <Characters>15372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2021-11-16T06:55:00Z</dcterms:created>
  <dcterms:modified xsi:type="dcterms:W3CDTF">2021-11-16T06:55:00Z</dcterms:modified>
</cp:coreProperties>
</file>