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i w:val="0"/>
          <w:sz w:val="32"/>
        </w:rPr>
        <w:t>Supplementary Figures</w:t>
      </w:r>
    </w:p>
    <w:p>
      <w:pPr>
        <w:jc w:val="center"/>
      </w:pPr>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FigS1_phototroph_light_coupling.png"/>
                    <pic:cNvPicPr/>
                  </pic:nvPicPr>
                  <pic:blipFill>
                    <a:blip r:embed="rId9"/>
                    <a:stretch>
                      <a:fillRect/>
                    </a:stretch>
                  </pic:blipFill>
                  <pic:spPr>
                    <a:xfrm>
                      <a:off x="0" y="0"/>
                      <a:ext cx="5943600" cy="4245429"/>
                    </a:xfrm>
                    <a:prstGeom prst="rect"/>
                  </pic:spPr>
                </pic:pic>
              </a:graphicData>
            </a:graphic>
          </wp:inline>
        </w:drawing>
      </w:r>
    </w:p>
    <w:p>
      <w:pPr>
        <w:pStyle w:val="Caption"/>
        <w:spacing w:line="480" w:lineRule="auto"/>
        <w:jc w:val="both"/>
      </w:pPr>
      <w:r>
        <w:rPr>
          <w:rFonts w:ascii="Times New Roman" w:hAnsi="Times New Roman"/>
          <w:b/>
          <w:i w:val="0"/>
          <w:sz w:val="24"/>
        </w:rPr>
        <w:t xml:space="preserve">Supplementary Figure S1. </w:t>
      </w:r>
      <w:r>
        <w:rPr>
          <w:rFonts w:ascii="Times New Roman" w:hAnsi="Times New Roman"/>
          <w:b w:val="0"/>
          <w:i w:val="0"/>
          <w:sz w:val="24"/>
        </w:rPr>
        <w:t>Photosynthesis-associated proxy abundance (Cyanobacteria plus chloroplast-assigned ASVs) stratified by hydraulic mode and illumination. Boxplots show summed relative abundance across 2024 microbiome samples.</w:t>
      </w:r>
    </w:p>
    <w:p>
      <w:r>
        <w:br w:type="page"/>
      </w:r>
    </w:p>
    <w:p>
      <w:pPr>
        <w:jc w:val="center"/>
      </w:pPr>
      <w:r>
        <w:drawing>
          <wp:inline xmlns:a="http://schemas.openxmlformats.org/drawingml/2006/main" xmlns:pic="http://schemas.openxmlformats.org/drawingml/2006/picture">
            <wp:extent cx="5943600" cy="4457700"/>
            <wp:docPr id="2" name="Picture 2"/>
            <wp:cNvGraphicFramePr>
              <a:graphicFrameLocks noChangeAspect="1"/>
            </wp:cNvGraphicFramePr>
            <a:graphic>
              <a:graphicData uri="http://schemas.openxmlformats.org/drawingml/2006/picture">
                <pic:pic>
                  <pic:nvPicPr>
                    <pic:cNvPr id="0" name="FigS2_environmental_pcoa_temp_do.png"/>
                    <pic:cNvPicPr/>
                  </pic:nvPicPr>
                  <pic:blipFill>
                    <a:blip r:embed="rId10"/>
                    <a:stretch>
                      <a:fillRect/>
                    </a:stretch>
                  </pic:blipFill>
                  <pic:spPr>
                    <a:xfrm>
                      <a:off x="0" y="0"/>
                      <a:ext cx="5943600" cy="4457700"/>
                    </a:xfrm>
                    <a:prstGeom prst="rect"/>
                  </pic:spPr>
                </pic:pic>
              </a:graphicData>
            </a:graphic>
          </wp:inline>
        </w:drawing>
      </w:r>
    </w:p>
    <w:p>
      <w:pPr>
        <w:pStyle w:val="Caption"/>
        <w:spacing w:line="480" w:lineRule="auto"/>
        <w:jc w:val="both"/>
      </w:pPr>
      <w:r>
        <w:rPr>
          <w:rFonts w:ascii="Times New Roman" w:hAnsi="Times New Roman"/>
          <w:b/>
          <w:i w:val="0"/>
          <w:sz w:val="24"/>
        </w:rPr>
        <w:t xml:space="preserve">Supplementary Figure S2. </w:t>
      </w:r>
      <w:r>
        <w:rPr>
          <w:rFonts w:ascii="Times New Roman" w:hAnsi="Times New Roman"/>
          <w:b w:val="0"/>
          <w:i w:val="0"/>
          <w:sz w:val="24"/>
        </w:rPr>
        <w:t>Sample-matched temperature and dissolved oxygen context for microbial community structure. Points show Bray-Curtis PCoA scores for samples with matched temperature and dissolved oxygen data (n = 42), coloured by compartment and shaped by illumination; arrows show envfit vectors for temperature and dissolved oxygen.</w:t>
      </w:r>
    </w:p>
    <w:p>
      <w:pPr/>
      <w:r>
        <w:pageBreak/>
      </w:r>
    </w:p>
    <w:p>
      <w:pPr>
        <w:jc w:val="center"/>
      </w:pPr>
      <w:r>
        <w:drawing>
          <wp:inline xmlns:a="http://schemas.openxmlformats.org/drawingml/2006/main" xmlns:pic="http://schemas.openxmlformats.org/drawingml/2006/picture">
            <wp:extent cx="5943600" cy="2855311"/>
            <wp:docPr id="9003" name="FigureS3"/>
            <wp:cNvGraphicFramePr>
              <a:graphicFrameLocks noChangeAspect="1"/>
            </wp:cNvGraphicFramePr>
            <a:graphic>
              <a:graphicData uri="http://schemas.openxmlformats.org/drawingml/2006/picture">
                <pic:pic>
                  <pic:nvPicPr>
                    <pic:cNvPr id="0" name="FigS1_phototroph_light_coupling.png"/>
                    <pic:cNvPicPr/>
                  </pic:nvPicPr>
                  <pic:blipFill>
                    <a:blip r:embed="rIdFigS3"/>
                    <a:stretch>
                      <a:fillRect/>
                    </a:stretch>
                  </pic:blipFill>
                  <pic:spPr>
                    <a:xfrm>
                      <a:off x="0" y="0"/>
                      <a:ext cx="5943600" cy="2855311"/>
                    </a:xfrm>
                    <a:prstGeom prst="rect"/>
                  </pic:spPr>
                </pic:pic>
              </a:graphicData>
            </a:graphic>
          </wp:inline>
        </w:drawing>
      </w:r>
    </w:p>
    <w:p>
      <w:pPr>
        <w:pStyle w:val="Caption"/>
        <w:spacing w:line="480" w:lineRule="auto"/>
        <w:jc w:val="both"/>
      </w:pPr>
      <w:r>
        <w:rPr>
          <w:rFonts w:ascii="Times New Roman" w:hAnsi="Times New Roman"/>
          <w:b/>
          <w:i w:val="0"/>
          <w:sz w:val="24"/>
        </w:rPr>
        <w:t xml:space="preserve">Supplementary Figure S3. </w:t>
      </w:r>
      <w:r>
        <w:rPr>
          <w:rFonts w:ascii="Times New Roman" w:hAnsi="Times New Roman"/>
          <w:b w:val="0"/>
          <w:i w:val="0"/>
          <w:sz w:val="24"/>
        </w:rPr>
        <w:t>Method-specific recovery of keystone candidates across the three analytical approaches: presence-impact PERMANOVA, co-occurrence network centrality, and LASSO temporal regression. (A) Number of candidate taxa identified by each method. (B) Cross-method overlap; no taxon was identified by all three methods simultaneously. See main Figure 6 for the consensus-score summary.</w:t>
      </w:r>
    </w:p>
    <w:p>
      <w:pPr>
        <w:jc w:val="center"/>
      </w:pPr>
      <w:r>
        <w:drawing>
          <wp:inline xmlns:a="http://schemas.openxmlformats.org/drawingml/2006/main" xmlns:pic="http://schemas.openxmlformats.org/drawingml/2006/picture">
            <wp:extent cx="5943600" cy="5556153"/>
            <wp:docPr id="9004" name="FigureS4"/>
            <wp:cNvGraphicFramePr>
              <a:graphicFrameLocks noChangeAspect="1"/>
            </wp:cNvGraphicFramePr>
            <a:graphic>
              <a:graphicData uri="http://schemas.openxmlformats.org/drawingml/2006/picture">
                <pic:pic>
                  <pic:nvPicPr>
                    <pic:cNvPr id="0" name="FigS1_phototroph_light_coupling.png"/>
                    <pic:cNvPicPr/>
                  </pic:nvPicPr>
                  <pic:blipFill>
                    <a:blip r:embed="rIdFigS4"/>
                    <a:stretch>
                      <a:fillRect/>
                    </a:stretch>
                  </pic:blipFill>
                  <pic:spPr>
                    <a:xfrm>
                      <a:off x="0" y="0"/>
                      <a:ext cx="5943600" cy="5556153"/>
                    </a:xfrm>
                    <a:prstGeom prst="rect"/>
                  </pic:spPr>
                </pic:pic>
              </a:graphicData>
            </a:graphic>
          </wp:inline>
        </w:drawing>
      </w:r>
    </w:p>
    <w:p>
      <w:pPr>
        <w:pStyle w:val="Caption"/>
        <w:spacing w:line="480" w:lineRule="auto"/>
        <w:jc w:val="both"/>
      </w:pPr>
      <w:r>
        <w:rPr>
          <w:rFonts w:ascii="Times New Roman" w:hAnsi="Times New Roman"/>
          <w:b/>
          <w:i w:val="0"/>
          <w:sz w:val="24"/>
        </w:rPr>
        <w:t xml:space="preserve">Supplementary Figure S4. </w:t>
      </w:r>
      <w:r>
        <w:rPr>
          <w:rFonts w:ascii="Times New Roman" w:hAnsi="Times New Roman"/>
          <w:b w:val="0"/>
          <w:i w:val="0"/>
          <w:sz w:val="24"/>
        </w:rPr>
        <w:t>Observed ASV richness (number of observed ASVs) by compartment, split by illumination (dark/light). Boxes show median and interquartile range; points represent individual samples. Richness follows the same compartment ordering as the Shannon index in Figure 2 (grow bed &gt; clarifier &gt; fish tank), indicating the compartment diversity gradient is driven by richness.</w:t>
      </w:r>
    </w:p>
    <w:p>
      <w:pPr>
        <w:jc w:val="center"/>
      </w:pPr>
      <w:r>
        <w:rPr>
          <w:rFonts w:ascii="Times New Roman" w:hAnsi="Times New Roman"/>
          <w:b/>
          <w:i w:val="0"/>
          <w:sz w:val="32"/>
        </w:rPr>
        <w:t>Supplementary Tables</w:t>
      </w:r>
    </w:p>
    <w:p>
      <w:pPr>
        <w:pStyle w:val="Caption"/>
        <w:spacing w:line="480" w:lineRule="auto"/>
        <w:jc w:val="both"/>
      </w:pPr>
      <w:r>
        <w:rPr>
          <w:rFonts w:ascii="Times New Roman" w:hAnsi="Times New Roman"/>
          <w:b/>
          <w:i w:val="0"/>
          <w:sz w:val="24"/>
        </w:rPr>
        <w:t xml:space="preserve">Supplementary Table S1. </w:t>
      </w:r>
      <w:r>
        <w:rPr>
          <w:rFonts w:ascii="Times New Roman" w:hAnsi="Times New Roman"/>
          <w:b w:val="0"/>
          <w:i w:val="0"/>
          <w:sz w:val="24"/>
        </w:rPr>
        <w:t>Full list of the 71 keystone candidate taxa identified by at least one method, with taxonomic assignment (phylum, family, genus), consensus score, number of supporting methods, presence-impact effect size (R²) and adjusted p-value, and co-occurrence network centrality metrics (degree, betweenness, closeness). Provided in Supplementary Tables.xlsx (sheet 'Table S1').</w:t>
      </w:r>
    </w:p>
    <w:p>
      <w:pPr>
        <w:pStyle w:val="Caption"/>
        <w:spacing w:line="480" w:lineRule="auto"/>
        <w:jc w:val="both"/>
      </w:pPr>
      <w:r>
        <w:rPr>
          <w:rFonts w:ascii="Times New Roman" w:hAnsi="Times New Roman"/>
          <w:b/>
          <w:i w:val="0"/>
          <w:sz w:val="24"/>
        </w:rPr>
        <w:t xml:space="preserve">Supplementary Table S2. </w:t>
      </w:r>
      <w:r>
        <w:rPr>
          <w:rFonts w:ascii="Times New Roman" w:hAnsi="Times New Roman"/>
          <w:b w:val="0"/>
          <w:i w:val="0"/>
          <w:sz w:val="24"/>
        </w:rPr>
        <w:t>Sample key for the abundance heatmap (Figure 8), mapping each of the 88 heatmap columns to its sample ID, system, stratum, compartment, and sampling date. Provided in Supplementary Tables.xlsx (sheet 'Table S2').</w:t>
      </w:r>
    </w:p>
    <w:p>
      <w:pPr>
        <w:pStyle w:val="Caption"/>
        <w:spacing w:line="480" w:lineRule="auto"/>
        <w:jc w:val="both"/>
      </w:pPr>
      <w:r>
        <w:rPr>
          <w:rFonts w:ascii="Times New Roman" w:hAnsi="Times New Roman"/>
          <w:b/>
          <w:i w:val="0"/>
          <w:sz w:val="24"/>
        </w:rPr>
        <w:t xml:space="preserve">Supplementary Table S3. </w:t>
      </w:r>
      <w:r>
        <w:rPr>
          <w:rFonts w:ascii="Times New Roman" w:hAnsi="Times New Roman"/>
          <w:b w:val="0"/>
          <w:i w:val="0"/>
          <w:sz w:val="24"/>
        </w:rPr>
        <w:t>PERMANOVA of Bray–Curtis community structure across design and environmental terms (compartment, coupling, illumination, season, and sample-matched temperature and dissolved oxygen), reporting R², pseudo-F, and adjusted p-values. Provided in Supplementary Tables.xlsx (sheet 'Table S3').</w:t>
      </w:r>
    </w:p>
    <w:p>
      <w:pPr>
        <w:pStyle w:val="Caption"/>
        <w:spacing w:line="480" w:lineRule="auto"/>
        <w:jc w:val="both"/>
      </w:pPr>
      <w:r>
        <w:rPr>
          <w:rFonts w:ascii="Times New Roman" w:hAnsi="Times New Roman"/>
          <w:b/>
          <w:i w:val="0"/>
          <w:sz w:val="24"/>
        </w:rPr>
        <w:t xml:space="preserve">Supplementary Table S4. </w:t>
      </w:r>
      <w:r>
        <w:rPr>
          <w:rFonts w:ascii="Times New Roman" w:hAnsi="Times New Roman"/>
          <w:b w:val="0"/>
          <w:i w:val="0"/>
          <w:sz w:val="24"/>
        </w:rPr>
        <w:t>Environmental vector fit (envfit) of temperature and dissolved oxygen onto the sample-matched Bray–Curtis PCoA ordination, reporting axis loadings, r², and p-values. Provided in Supplementary Tables.xlsx (sheet 'Table S4').</w:t>
      </w:r>
    </w:p>
    <w:p>
      <w:pPr>
        <w:pStyle w:val="Caption"/>
        <w:spacing w:line="480" w:lineRule="auto"/>
        <w:jc w:val="both"/>
      </w:pPr>
      <w:r>
        <w:rPr>
          <w:rFonts w:ascii="Times New Roman" w:hAnsi="Times New Roman"/>
          <w:b/>
          <w:i w:val="0"/>
          <w:sz w:val="24"/>
        </w:rPr>
        <w:t xml:space="preserve">Supplementary Table S5. </w:t>
      </w:r>
      <w:r>
        <w:rPr>
          <w:rFonts w:ascii="Times New Roman" w:hAnsi="Times New Roman"/>
          <w:b w:val="0"/>
          <w:i w:val="0"/>
          <w:sz w:val="24"/>
        </w:rPr>
        <w:t>Treatment-stratified presence-impact analysis results for coupled (n = 38) and decoupled (n = 50) subsets. Provided in Supplementary Tables.xlsx (sheet 'Table S5').</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auto"/>
      <w:jc w:val="both"/>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480" w:lineRule="auto"/>
      <w:jc w:val="both"/>
    </w:pPr>
    <w:rPr>
      <w:rFonts w:ascii="Times New Roman" w:hAnsi="Times New Roman"/>
      <w:b/>
      <w:bCs/>
      <w:color w:val="4F81BD" w:themeColor="accent1"/>
      <w:sz w:val="24"/>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FigS4" Type="http://schemas.openxmlformats.org/officeDocument/2006/relationships/image" Target="media/image3.png"/><Relationship Id="rIdFigS3"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