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FE26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color w:val="0E101A"/>
          <w:sz w:val="24"/>
          <w:szCs w:val="24"/>
        </w:rPr>
      </w:pPr>
      <w:r>
        <w:rPr>
          <w:rFonts w:hint="default" w:ascii="Times New Roman" w:hAnsi="Times New Roman" w:cs="Times New Roman" w:eastAsiaTheme="minorEastAsia"/>
          <w:color w:val="auto"/>
          <w:sz w:val="24"/>
          <w:szCs w:val="32"/>
          <w:lang w:val="en-US" w:eastAsia="zh-CN"/>
        </w:rPr>
        <w:drawing>
          <wp:inline distT="0" distB="0" distL="114300" distR="114300">
            <wp:extent cx="5259705" cy="2022475"/>
            <wp:effectExtent l="0" t="0" r="17145" b="15875"/>
            <wp:docPr id="10" name="图片 10" descr="去批次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去批次组图"/>
                    <pic:cNvPicPr>
                      <a:picLocks noChangeAspect="1"/>
                    </pic:cNvPicPr>
                  </pic:nvPicPr>
                  <pic:blipFill>
                    <a:blip r:embed="rId4"/>
                    <a:stretch>
                      <a:fillRect/>
                    </a:stretch>
                  </pic:blipFill>
                  <pic:spPr>
                    <a:xfrm>
                      <a:off x="0" y="0"/>
                      <a:ext cx="5259705" cy="2022475"/>
                    </a:xfrm>
                    <a:prstGeom prst="rect">
                      <a:avLst/>
                    </a:prstGeom>
                  </pic:spPr>
                </pic:pic>
              </a:graphicData>
            </a:graphic>
          </wp:inline>
        </w:drawing>
      </w:r>
    </w:p>
    <w:p w14:paraId="5227F3E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color w:val="0E101A"/>
          <w:sz w:val="21"/>
          <w:szCs w:val="21"/>
        </w:rPr>
      </w:pPr>
      <w:r>
        <w:rPr>
          <w:rStyle w:val="5"/>
          <w:rFonts w:hint="eastAsia" w:ascii="Times New Roman" w:hAnsi="Times New Roman" w:cs="Times New Roman"/>
          <w:b/>
          <w:bCs w:val="0"/>
          <w:color w:val="0E101A"/>
          <w:sz w:val="21"/>
          <w:szCs w:val="21"/>
          <w:lang w:val="en-US" w:eastAsia="zh-CN"/>
        </w:rPr>
        <w:t xml:space="preserve">Supplementary </w:t>
      </w:r>
      <w:r>
        <w:rPr>
          <w:rStyle w:val="5"/>
          <w:rFonts w:hint="default" w:ascii="Times New Roman" w:hAnsi="Times New Roman" w:cs="Times New Roman"/>
          <w:b/>
          <w:bCs w:val="0"/>
          <w:color w:val="0E101A"/>
          <w:sz w:val="21"/>
          <w:szCs w:val="21"/>
        </w:rPr>
        <w:t>Figure 1</w:t>
      </w:r>
      <w:r>
        <w:rPr>
          <w:rFonts w:hint="default" w:ascii="Times New Roman" w:hAnsi="Times New Roman" w:cs="Times New Roman"/>
          <w:b/>
          <w:bCs w:val="0"/>
          <w:color w:val="0E101A"/>
          <w:sz w:val="21"/>
          <w:szCs w:val="21"/>
        </w:rPr>
        <w:t xml:space="preserve"> Evaluation of Dataset Merging and Batch Effect Correction</w:t>
      </w:r>
      <w:r>
        <w:rPr>
          <w:rFonts w:hint="eastAsia" w:ascii="Times New Roman" w:hAnsi="Times New Roman" w:cs="Times New Roman"/>
          <w:b/>
          <w:bCs w:val="0"/>
          <w:color w:val="0E101A"/>
          <w:sz w:val="21"/>
          <w:szCs w:val="21"/>
          <w:lang w:val="en-US" w:eastAsia="zh-CN"/>
        </w:rPr>
        <w:t>.</w:t>
      </w:r>
      <w:r>
        <w:rPr>
          <w:rFonts w:hint="default" w:ascii="Times New Roman" w:hAnsi="Times New Roman" w:cs="Times New Roman"/>
          <w:color w:val="0E101A"/>
          <w:sz w:val="21"/>
          <w:szCs w:val="21"/>
        </w:rPr>
        <w:t xml:space="preserve"> (A) Boxplot before batch correction. (B) Density distribution plot before batch correction. (C) UMAP dimensionality reduction plot before batch correction. (D) Boxplot after batch correction. (E) Density distribution plot after batch correction. (F) UMAP dimensionality reduction plot after batch correction.</w:t>
      </w:r>
    </w:p>
    <w:p w14:paraId="152915EE"/>
    <w:p w14:paraId="1740DC7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color w:val="0E101A"/>
          <w:sz w:val="24"/>
          <w:szCs w:val="24"/>
        </w:rPr>
      </w:pPr>
      <w:r>
        <w:rPr>
          <w:rFonts w:hint="eastAsia" w:ascii="Times New Roman" w:hAnsi="Times New Roman" w:cs="Times New Roman" w:eastAsiaTheme="minorEastAsia"/>
          <w:color w:val="auto"/>
          <w:sz w:val="24"/>
          <w:szCs w:val="32"/>
          <w:lang w:val="en-US" w:eastAsia="zh-CN"/>
        </w:rPr>
        <w:drawing>
          <wp:inline distT="0" distB="0" distL="114300" distR="114300">
            <wp:extent cx="5207635" cy="3753485"/>
            <wp:effectExtent l="0" t="0" r="12065" b="18415"/>
            <wp:docPr id="2" name="图片 2" descr="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组图"/>
                    <pic:cNvPicPr>
                      <a:picLocks noChangeAspect="1"/>
                    </pic:cNvPicPr>
                  </pic:nvPicPr>
                  <pic:blipFill>
                    <a:blip r:embed="rId5"/>
                    <a:stretch>
                      <a:fillRect/>
                    </a:stretch>
                  </pic:blipFill>
                  <pic:spPr>
                    <a:xfrm>
                      <a:off x="0" y="0"/>
                      <a:ext cx="5207635" cy="3753485"/>
                    </a:xfrm>
                    <a:prstGeom prst="rect">
                      <a:avLst/>
                    </a:prstGeom>
                  </pic:spPr>
                </pic:pic>
              </a:graphicData>
            </a:graphic>
          </wp:inline>
        </w:drawing>
      </w:r>
    </w:p>
    <w:p w14:paraId="3108C75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color w:val="0E101A"/>
          <w:sz w:val="21"/>
          <w:szCs w:val="21"/>
        </w:rPr>
      </w:pPr>
      <w:r>
        <w:rPr>
          <w:rStyle w:val="5"/>
          <w:rFonts w:hint="eastAsia" w:ascii="Times New Roman" w:hAnsi="Times New Roman" w:cs="Times New Roman"/>
          <w:b/>
          <w:bCs w:val="0"/>
          <w:color w:val="0E101A"/>
          <w:sz w:val="21"/>
          <w:szCs w:val="21"/>
          <w:lang w:val="en-US" w:eastAsia="zh-CN"/>
        </w:rPr>
        <w:t xml:space="preserve">Supplementary </w:t>
      </w:r>
      <w:r>
        <w:rPr>
          <w:rStyle w:val="5"/>
          <w:rFonts w:hint="default" w:ascii="Times New Roman" w:hAnsi="Times New Roman" w:cs="Times New Roman"/>
          <w:b/>
          <w:bCs w:val="0"/>
          <w:color w:val="0E101A"/>
          <w:sz w:val="21"/>
          <w:szCs w:val="21"/>
        </w:rPr>
        <w:t xml:space="preserve">Figure </w:t>
      </w:r>
      <w:r>
        <w:rPr>
          <w:rStyle w:val="5"/>
          <w:rFonts w:hint="eastAsia" w:ascii="Times New Roman" w:hAnsi="Times New Roman" w:cs="Times New Roman"/>
          <w:b/>
          <w:bCs w:val="0"/>
          <w:color w:val="0E101A"/>
          <w:sz w:val="21"/>
          <w:szCs w:val="21"/>
          <w:lang w:val="en-US" w:eastAsia="zh-CN"/>
        </w:rPr>
        <w:t>2</w:t>
      </w:r>
      <w:r>
        <w:rPr>
          <w:rFonts w:hint="default" w:ascii="Times New Roman" w:hAnsi="Times New Roman" w:cs="Times New Roman"/>
          <w:b/>
          <w:bCs w:val="0"/>
          <w:color w:val="0E101A"/>
          <w:sz w:val="21"/>
          <w:szCs w:val="21"/>
        </w:rPr>
        <w:t xml:space="preserve"> Enrichment Analysis</w:t>
      </w:r>
      <w:r>
        <w:rPr>
          <w:rFonts w:hint="eastAsia" w:ascii="Times New Roman" w:hAnsi="Times New Roman" w:cs="Times New Roman"/>
          <w:b/>
          <w:bCs w:val="0"/>
          <w:color w:val="0E101A"/>
          <w:sz w:val="21"/>
          <w:szCs w:val="21"/>
          <w:lang w:val="en-US" w:eastAsia="zh-CN"/>
        </w:rPr>
        <w:t xml:space="preserve">. </w:t>
      </w:r>
      <w:r>
        <w:rPr>
          <w:rFonts w:hint="eastAsia" w:ascii="Times New Roman" w:hAnsi="Times New Roman" w:cs="Times New Roman"/>
          <w:b w:val="0"/>
          <w:bCs/>
          <w:color w:val="0E101A"/>
          <w:sz w:val="21"/>
          <w:szCs w:val="21"/>
          <w:lang w:val="en-US" w:eastAsia="zh-CN"/>
        </w:rPr>
        <w:t>(A-</w:t>
      </w:r>
      <w:r>
        <w:rPr>
          <w:rFonts w:hint="default" w:ascii="Times New Roman" w:hAnsi="Times New Roman" w:cs="Times New Roman"/>
          <w:b w:val="0"/>
          <w:bCs/>
          <w:color w:val="0E101A"/>
          <w:sz w:val="21"/>
          <w:szCs w:val="21"/>
        </w:rPr>
        <w:t>C</w:t>
      </w:r>
      <w:r>
        <w:rPr>
          <w:rFonts w:hint="default" w:ascii="Times New Roman" w:hAnsi="Times New Roman" w:cs="Times New Roman"/>
          <w:color w:val="0E101A"/>
          <w:sz w:val="21"/>
          <w:szCs w:val="21"/>
        </w:rPr>
        <w:t>) GO enrichment of BP (A), CC (B), and MF (C) as bubble plots of candidate genes</w:t>
      </w:r>
      <w:r>
        <w:rPr>
          <w:rFonts w:hint="eastAsia" w:ascii="Times New Roman" w:hAnsi="Times New Roman" w:cs="Times New Roman"/>
          <w:color w:val="0E101A"/>
          <w:sz w:val="21"/>
          <w:szCs w:val="21"/>
          <w:lang w:val="en-US" w:eastAsia="zh-CN"/>
        </w:rPr>
        <w:t>,</w:t>
      </w:r>
      <w:r>
        <w:rPr>
          <w:rFonts w:hint="default" w:ascii="Times New Roman" w:hAnsi="Times New Roman" w:cs="Times New Roman"/>
          <w:color w:val="0E101A"/>
          <w:sz w:val="21"/>
          <w:szCs w:val="21"/>
        </w:rPr>
        <w:t xml:space="preserve"> showing the top 15 most significant terms. (D) KEGG pathway enrichment analysis of candidate genes, showing the top 15 most significant pathways. (E) Chord diagram of the relationships between candidate genes and significantly enriched KEGG pathways. (F) Gene set enrichment analysis (GSEA) results.</w:t>
      </w:r>
    </w:p>
    <w:p w14:paraId="479FEEE7"/>
    <w:p w14:paraId="0757C2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Style w:val="5"/>
          <w:rFonts w:hint="eastAsia" w:ascii="Times New Roman" w:hAnsi="Times New Roman" w:cs="Times New Roman"/>
          <w:color w:val="0E101A"/>
          <w:sz w:val="21"/>
          <w:szCs w:val="21"/>
          <w:lang w:val="en-US" w:eastAsia="zh-CN"/>
        </w:rPr>
      </w:pPr>
      <w:r>
        <w:rPr>
          <w:rStyle w:val="5"/>
          <w:rFonts w:hint="eastAsia" w:ascii="Times New Roman" w:hAnsi="Times New Roman" w:cs="Times New Roman"/>
          <w:b/>
          <w:bCs w:val="0"/>
          <w:color w:val="0E101A"/>
          <w:sz w:val="21"/>
          <w:szCs w:val="21"/>
          <w:lang w:val="en-US" w:eastAsia="zh-CN"/>
        </w:rPr>
        <w:t xml:space="preserve">Supplementary </w:t>
      </w:r>
      <w:r>
        <w:rPr>
          <w:rStyle w:val="5"/>
          <w:rFonts w:hint="default" w:ascii="Times New Roman" w:hAnsi="Times New Roman" w:cs="Times New Roman"/>
          <w:color w:val="0E101A"/>
          <w:sz w:val="21"/>
          <w:szCs w:val="21"/>
        </w:rPr>
        <w:t>Table 1. Binding Free Energies between Key Genes and Small Molecule Drugs (kcal/mol)</w:t>
      </w:r>
      <w:r>
        <w:rPr>
          <w:rStyle w:val="5"/>
          <w:rFonts w:hint="eastAsia" w:ascii="Times New Roman" w:hAnsi="Times New Roman" w:cs="Times New Roman"/>
          <w:color w:val="0E101A"/>
          <w:sz w:val="21"/>
          <w:szCs w:val="21"/>
          <w:lang w:val="en-US" w:eastAsia="zh-CN"/>
        </w:rPr>
        <w:t>.</w:t>
      </w:r>
    </w:p>
    <w:tbl>
      <w:tblPr>
        <w:tblStyle w:val="3"/>
        <w:tblpPr w:leftFromText="180" w:rightFromText="180" w:vertAnchor="text" w:horzAnchor="page" w:tblpX="1805" w:tblpY="323"/>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80"/>
        <w:gridCol w:w="2171"/>
        <w:gridCol w:w="1768"/>
      </w:tblGrid>
      <w:tr w14:paraId="36E0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2688" w:type="pct"/>
            <w:tcBorders>
              <w:top w:val="single" w:color="000000" w:sz="12" w:space="0"/>
              <w:left w:val="nil"/>
              <w:bottom w:val="single" w:color="000000" w:sz="4" w:space="0"/>
              <w:right w:val="nil"/>
              <w:tl2br w:val="nil"/>
            </w:tcBorders>
            <w:shd w:val="clear" w:color="auto" w:fill="FFFFFF"/>
            <w:noWrap/>
            <w:vAlign w:val="center"/>
          </w:tcPr>
          <w:p w14:paraId="23F358FA">
            <w:pPr>
              <w:snapToGrid w:val="0"/>
              <w:jc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sz w:val="21"/>
                <w:szCs w:val="21"/>
                <w:u w:val="none"/>
              </w:rPr>
              <w:t>Ligand</w:t>
            </w:r>
          </w:p>
          <w:p w14:paraId="262BA5C5">
            <w:pPr>
              <w:jc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sz w:val="21"/>
                <w:szCs w:val="21"/>
                <w:u w:val="none"/>
              </w:rPr>
              <w:t>Receptor</w:t>
            </w:r>
          </w:p>
        </w:tc>
        <w:tc>
          <w:tcPr>
            <w:tcW w:w="1274" w:type="pct"/>
            <w:tcBorders>
              <w:top w:val="single" w:color="000000" w:sz="12" w:space="0"/>
              <w:left w:val="nil"/>
              <w:bottom w:val="single" w:color="000000" w:sz="4" w:space="0"/>
              <w:right w:val="nil"/>
            </w:tcBorders>
            <w:shd w:val="clear" w:color="auto" w:fill="FFFFFF"/>
            <w:noWrap/>
            <w:vAlign w:val="center"/>
          </w:tcPr>
          <w:p w14:paraId="5B6612AB">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i w:val="0"/>
                <w:iCs w:val="0"/>
                <w:color w:val="000000"/>
                <w:kern w:val="2"/>
                <w:sz w:val="21"/>
                <w:szCs w:val="21"/>
                <w:u w:val="none"/>
                <w:lang w:val="en-US" w:eastAsia="zh-CN" w:bidi="ar"/>
              </w:rPr>
              <w:t>SRPK1</w:t>
            </w:r>
          </w:p>
        </w:tc>
        <w:tc>
          <w:tcPr>
            <w:tcW w:w="1036" w:type="pct"/>
            <w:tcBorders>
              <w:top w:val="single" w:color="000000" w:sz="12" w:space="0"/>
              <w:left w:val="nil"/>
              <w:bottom w:val="single" w:color="000000" w:sz="4" w:space="0"/>
              <w:right w:val="nil"/>
            </w:tcBorders>
            <w:shd w:val="clear" w:color="auto" w:fill="FFFFFF"/>
            <w:noWrap/>
            <w:vAlign w:val="center"/>
          </w:tcPr>
          <w:p w14:paraId="49FF9ED3">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i w:val="0"/>
                <w:iCs w:val="0"/>
                <w:color w:val="000000"/>
                <w:kern w:val="2"/>
                <w:sz w:val="21"/>
                <w:szCs w:val="21"/>
                <w:u w:val="none"/>
                <w:lang w:val="en-US" w:eastAsia="zh-CN" w:bidi="ar"/>
              </w:rPr>
              <w:t>SEM1</w:t>
            </w:r>
          </w:p>
        </w:tc>
      </w:tr>
      <w:tr w14:paraId="21750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single" w:color="000000" w:sz="4" w:space="0"/>
              <w:left w:val="nil"/>
              <w:bottom w:val="nil"/>
              <w:right w:val="nil"/>
            </w:tcBorders>
            <w:shd w:val="clear" w:color="auto" w:fill="FFFFFF"/>
            <w:noWrap/>
            <w:vAlign w:val="center"/>
          </w:tcPr>
          <w:p w14:paraId="70706EF1">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bCs w:val="0"/>
                <w:i w:val="0"/>
                <w:iCs w:val="0"/>
                <w:color w:val="000000"/>
                <w:kern w:val="2"/>
                <w:sz w:val="21"/>
                <w:szCs w:val="21"/>
                <w:u w:val="none"/>
                <w:lang w:val="en-US" w:eastAsia="zh-CN" w:bidi="ar"/>
              </w:rPr>
              <w:t>chelidonine</w:t>
            </w:r>
          </w:p>
        </w:tc>
        <w:tc>
          <w:tcPr>
            <w:tcW w:w="2171" w:type="dxa"/>
            <w:tcBorders>
              <w:top w:val="single" w:color="000000" w:sz="4" w:space="0"/>
              <w:left w:val="nil"/>
              <w:bottom w:val="nil"/>
              <w:right w:val="nil"/>
            </w:tcBorders>
            <w:shd w:val="clear" w:color="auto" w:fill="FFFFFF"/>
            <w:noWrap/>
            <w:vAlign w:val="top"/>
          </w:tcPr>
          <w:p w14:paraId="637C3A13">
            <w:pPr>
              <w:keepNext w:val="0"/>
              <w:keepLines w:val="0"/>
              <w:widowControl/>
              <w:suppressLineNumbers w:val="0"/>
              <w:jc w:val="center"/>
              <w:textAlignment w:val="auto"/>
              <w:rPr>
                <w:rFonts w:hint="eastAsia"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7.23</w:t>
            </w:r>
            <w:r>
              <w:rPr>
                <w:rFonts w:hint="eastAsia" w:ascii="Times New Roman" w:hAnsi="Times New Roman" w:eastAsia="宋体" w:cs="Times New Roman"/>
                <w:b w:val="0"/>
                <w:color w:val="000000"/>
                <w:sz w:val="21"/>
                <w:szCs w:val="21"/>
                <w:u w:val="none"/>
                <w:lang w:val="en-US" w:eastAsia="zh-CN" w:bidi="ar"/>
              </w:rPr>
              <w:t>0</w:t>
            </w:r>
          </w:p>
        </w:tc>
        <w:tc>
          <w:tcPr>
            <w:tcW w:w="1767" w:type="dxa"/>
            <w:tcBorders>
              <w:top w:val="single" w:color="000000" w:sz="4" w:space="0"/>
              <w:left w:val="nil"/>
              <w:bottom w:val="nil"/>
              <w:right w:val="nil"/>
            </w:tcBorders>
            <w:shd w:val="clear" w:color="auto" w:fill="FFFFFF"/>
            <w:noWrap/>
            <w:vAlign w:val="top"/>
          </w:tcPr>
          <w:p w14:paraId="464FD622">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5.879</w:t>
            </w:r>
          </w:p>
        </w:tc>
      </w:tr>
      <w:tr w14:paraId="1268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766A20A5">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bCs w:val="0"/>
                <w:i w:val="0"/>
                <w:iCs w:val="0"/>
                <w:color w:val="000000"/>
                <w:kern w:val="2"/>
                <w:sz w:val="21"/>
                <w:szCs w:val="21"/>
                <w:u w:val="none"/>
                <w:lang w:val="en-US" w:eastAsia="zh-CN" w:bidi="ar"/>
              </w:rPr>
              <w:t>clobenpropit</w:t>
            </w:r>
          </w:p>
        </w:tc>
        <w:tc>
          <w:tcPr>
            <w:tcW w:w="2171" w:type="dxa"/>
            <w:tcBorders>
              <w:top w:val="nil"/>
              <w:left w:val="nil"/>
              <w:bottom w:val="nil"/>
              <w:right w:val="nil"/>
            </w:tcBorders>
            <w:shd w:val="clear" w:color="auto" w:fill="FFFFFF"/>
            <w:noWrap/>
            <w:vAlign w:val="top"/>
          </w:tcPr>
          <w:p w14:paraId="49B2A979">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5.549</w:t>
            </w:r>
          </w:p>
        </w:tc>
        <w:tc>
          <w:tcPr>
            <w:tcW w:w="1767" w:type="dxa"/>
            <w:tcBorders>
              <w:top w:val="nil"/>
              <w:left w:val="nil"/>
              <w:bottom w:val="nil"/>
              <w:right w:val="nil"/>
            </w:tcBorders>
            <w:shd w:val="clear" w:color="auto" w:fill="FFFFFF"/>
            <w:noWrap/>
            <w:vAlign w:val="top"/>
          </w:tcPr>
          <w:p w14:paraId="14147F49">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4.245</w:t>
            </w:r>
          </w:p>
        </w:tc>
      </w:tr>
      <w:tr w14:paraId="424A2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52855335">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bCs w:val="0"/>
                <w:i w:val="0"/>
                <w:iCs w:val="0"/>
                <w:color w:val="000000"/>
                <w:kern w:val="2"/>
                <w:sz w:val="21"/>
                <w:szCs w:val="21"/>
                <w:u w:val="none"/>
                <w:lang w:val="en-US" w:eastAsia="zh-CN" w:bidi="ar"/>
              </w:rPr>
              <w:t>chlorambucil</w:t>
            </w:r>
          </w:p>
        </w:tc>
        <w:tc>
          <w:tcPr>
            <w:tcW w:w="2171" w:type="dxa"/>
            <w:tcBorders>
              <w:top w:val="nil"/>
              <w:left w:val="nil"/>
              <w:bottom w:val="nil"/>
              <w:right w:val="nil"/>
            </w:tcBorders>
            <w:shd w:val="clear" w:color="auto" w:fill="FFFFFF"/>
            <w:noWrap/>
            <w:vAlign w:val="top"/>
          </w:tcPr>
          <w:p w14:paraId="0BA20531">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5.088</w:t>
            </w:r>
          </w:p>
        </w:tc>
        <w:tc>
          <w:tcPr>
            <w:tcW w:w="1767" w:type="dxa"/>
            <w:tcBorders>
              <w:top w:val="nil"/>
              <w:left w:val="nil"/>
              <w:bottom w:val="nil"/>
              <w:right w:val="nil"/>
            </w:tcBorders>
            <w:shd w:val="clear" w:color="auto" w:fill="FFFFFF"/>
            <w:noWrap/>
            <w:vAlign w:val="top"/>
          </w:tcPr>
          <w:p w14:paraId="421FF4F8">
            <w:pPr>
              <w:keepNext w:val="0"/>
              <w:keepLines w:val="0"/>
              <w:widowControl/>
              <w:suppressLineNumbers w:val="0"/>
              <w:jc w:val="center"/>
              <w:textAlignment w:val="auto"/>
              <w:rPr>
                <w:rFonts w:hint="eastAsia"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4.13</w:t>
            </w:r>
            <w:r>
              <w:rPr>
                <w:rFonts w:hint="eastAsia" w:ascii="Times New Roman" w:hAnsi="Times New Roman" w:eastAsia="宋体" w:cs="Times New Roman"/>
                <w:b w:val="0"/>
                <w:color w:val="000000"/>
                <w:sz w:val="21"/>
                <w:szCs w:val="21"/>
                <w:u w:val="none"/>
                <w:lang w:val="en-US" w:eastAsia="zh-CN" w:bidi="ar"/>
              </w:rPr>
              <w:t>0</w:t>
            </w:r>
          </w:p>
        </w:tc>
      </w:tr>
      <w:tr w14:paraId="36D6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42E3F59D">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bCs w:val="0"/>
                <w:i w:val="0"/>
                <w:iCs w:val="0"/>
                <w:color w:val="000000"/>
                <w:kern w:val="2"/>
                <w:sz w:val="21"/>
                <w:szCs w:val="21"/>
                <w:u w:val="none"/>
                <w:lang w:val="en-US" w:eastAsia="zh-CN" w:bidi="ar"/>
              </w:rPr>
              <w:t>balsalazide</w:t>
            </w:r>
          </w:p>
        </w:tc>
        <w:tc>
          <w:tcPr>
            <w:tcW w:w="2171" w:type="dxa"/>
            <w:tcBorders>
              <w:top w:val="nil"/>
              <w:left w:val="nil"/>
              <w:bottom w:val="nil"/>
              <w:right w:val="nil"/>
            </w:tcBorders>
            <w:shd w:val="clear" w:color="auto" w:fill="FFFFFF"/>
            <w:noWrap/>
            <w:vAlign w:val="top"/>
          </w:tcPr>
          <w:p w14:paraId="533CA4C6">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7.421</w:t>
            </w:r>
          </w:p>
        </w:tc>
        <w:tc>
          <w:tcPr>
            <w:tcW w:w="1767" w:type="dxa"/>
            <w:tcBorders>
              <w:top w:val="nil"/>
              <w:left w:val="nil"/>
              <w:bottom w:val="nil"/>
              <w:right w:val="nil"/>
            </w:tcBorders>
            <w:shd w:val="clear" w:color="auto" w:fill="FFFFFF"/>
            <w:noWrap/>
            <w:vAlign w:val="top"/>
          </w:tcPr>
          <w:p w14:paraId="69AB0527">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5.384</w:t>
            </w:r>
          </w:p>
        </w:tc>
      </w:tr>
      <w:tr w14:paraId="4A77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39E19755">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bidi="ar"/>
              </w:rPr>
            </w:pPr>
            <w:r>
              <w:rPr>
                <w:rFonts w:hint="default" w:ascii="Times New Roman" w:hAnsi="Times New Roman" w:eastAsia="宋体" w:cs="Times New Roman"/>
                <w:b w:val="0"/>
                <w:bCs w:val="0"/>
                <w:i w:val="0"/>
                <w:iCs w:val="0"/>
                <w:color w:val="000000"/>
                <w:kern w:val="2"/>
                <w:sz w:val="21"/>
                <w:szCs w:val="21"/>
                <w:u w:val="none"/>
                <w:lang w:val="en-US" w:eastAsia="zh-CN" w:bidi="ar"/>
              </w:rPr>
              <w:t>idebenone</w:t>
            </w:r>
          </w:p>
        </w:tc>
        <w:tc>
          <w:tcPr>
            <w:tcW w:w="2171" w:type="dxa"/>
            <w:tcBorders>
              <w:top w:val="nil"/>
              <w:left w:val="nil"/>
              <w:bottom w:val="nil"/>
              <w:right w:val="nil"/>
            </w:tcBorders>
            <w:shd w:val="clear" w:color="auto" w:fill="FFFFFF"/>
            <w:noWrap/>
            <w:vAlign w:val="top"/>
          </w:tcPr>
          <w:p w14:paraId="232EB199">
            <w:pPr>
              <w:keepNext w:val="0"/>
              <w:keepLines w:val="0"/>
              <w:widowControl/>
              <w:suppressLineNumbers w:val="0"/>
              <w:jc w:val="center"/>
              <w:textAlignment w:val="auto"/>
              <w:rPr>
                <w:rFonts w:hint="eastAsia"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4.76</w:t>
            </w:r>
            <w:r>
              <w:rPr>
                <w:rFonts w:hint="eastAsia" w:ascii="Times New Roman" w:hAnsi="Times New Roman" w:eastAsia="宋体" w:cs="Times New Roman"/>
                <w:b w:val="0"/>
                <w:color w:val="000000"/>
                <w:sz w:val="21"/>
                <w:szCs w:val="21"/>
                <w:u w:val="none"/>
                <w:lang w:val="en-US" w:eastAsia="zh-CN" w:bidi="ar"/>
              </w:rPr>
              <w:t>0</w:t>
            </w:r>
          </w:p>
        </w:tc>
        <w:tc>
          <w:tcPr>
            <w:tcW w:w="1767" w:type="dxa"/>
            <w:tcBorders>
              <w:top w:val="nil"/>
              <w:left w:val="nil"/>
              <w:bottom w:val="nil"/>
              <w:right w:val="nil"/>
            </w:tcBorders>
            <w:shd w:val="clear" w:color="auto" w:fill="FFFFFF"/>
            <w:noWrap/>
            <w:vAlign w:val="top"/>
          </w:tcPr>
          <w:p w14:paraId="053F49B8">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bidi="ar"/>
              </w:rPr>
            </w:pPr>
            <w:r>
              <w:rPr>
                <w:rStyle w:val="5"/>
                <w:rFonts w:hint="default" w:ascii="Times New Roman" w:hAnsi="Times New Roman" w:cs="Times New Roman"/>
                <w:color w:val="0E101A"/>
                <w:sz w:val="21"/>
                <w:szCs w:val="21"/>
              </w:rPr>
              <w:t>-</w:t>
            </w:r>
            <w:r>
              <w:rPr>
                <w:rFonts w:hint="eastAsia" w:ascii="Times New Roman" w:hAnsi="Times New Roman" w:eastAsia="宋体" w:cs="Times New Roman"/>
                <w:b w:val="0"/>
                <w:color w:val="000000"/>
                <w:sz w:val="21"/>
                <w:szCs w:val="21"/>
                <w:u w:val="none"/>
                <w:lang w:eastAsia="zh-CN" w:bidi="ar"/>
              </w:rPr>
              <w:t>4</w:t>
            </w:r>
            <w:r>
              <w:rPr>
                <w:rFonts w:hint="default" w:ascii="Times New Roman" w:hAnsi="Times New Roman" w:eastAsia="宋体" w:cs="Times New Roman"/>
                <w:b w:val="0"/>
                <w:color w:val="000000"/>
                <w:sz w:val="21"/>
                <w:szCs w:val="21"/>
                <w:u w:val="none"/>
                <w:lang w:bidi="ar"/>
              </w:rPr>
              <w:t>.772</w:t>
            </w:r>
          </w:p>
        </w:tc>
      </w:tr>
      <w:tr w14:paraId="2122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6BA78884">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
              </w:rPr>
            </w:pPr>
            <w:r>
              <w:rPr>
                <w:rFonts w:hint="default" w:ascii="Times New Roman" w:hAnsi="Times New Roman" w:eastAsia="宋体" w:cs="Times New Roman"/>
                <w:b w:val="0"/>
                <w:bCs w:val="0"/>
                <w:i w:val="0"/>
                <w:iCs w:val="0"/>
                <w:color w:val="000000"/>
                <w:kern w:val="2"/>
                <w:sz w:val="21"/>
                <w:szCs w:val="21"/>
                <w:u w:val="none"/>
                <w:lang w:val="en-US" w:eastAsia="zh-CN" w:bidi="ar"/>
              </w:rPr>
              <w:t>pentamidine</w:t>
            </w:r>
          </w:p>
        </w:tc>
        <w:tc>
          <w:tcPr>
            <w:tcW w:w="2171" w:type="dxa"/>
            <w:tcBorders>
              <w:top w:val="nil"/>
              <w:left w:val="nil"/>
              <w:bottom w:val="nil"/>
              <w:right w:val="nil"/>
            </w:tcBorders>
            <w:shd w:val="clear" w:color="auto" w:fill="FFFFFF"/>
            <w:noWrap/>
            <w:vAlign w:val="top"/>
          </w:tcPr>
          <w:p w14:paraId="3F0E2704">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4.726</w:t>
            </w:r>
          </w:p>
        </w:tc>
        <w:tc>
          <w:tcPr>
            <w:tcW w:w="1767" w:type="dxa"/>
            <w:tcBorders>
              <w:top w:val="nil"/>
              <w:left w:val="nil"/>
              <w:bottom w:val="nil"/>
              <w:right w:val="nil"/>
            </w:tcBorders>
            <w:shd w:val="clear" w:color="auto" w:fill="FFFFFF"/>
            <w:noWrap/>
            <w:vAlign w:val="top"/>
          </w:tcPr>
          <w:p w14:paraId="18A568DD">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4.739</w:t>
            </w:r>
          </w:p>
        </w:tc>
      </w:tr>
      <w:tr w14:paraId="7797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56776D8C">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
              </w:rPr>
            </w:pPr>
            <w:r>
              <w:rPr>
                <w:rFonts w:hint="default" w:ascii="Times New Roman" w:hAnsi="Times New Roman" w:eastAsia="宋体" w:cs="Times New Roman"/>
                <w:b w:val="0"/>
                <w:bCs w:val="0"/>
                <w:i w:val="0"/>
                <w:iCs w:val="0"/>
                <w:color w:val="000000"/>
                <w:kern w:val="2"/>
                <w:sz w:val="21"/>
                <w:szCs w:val="21"/>
                <w:u w:val="none"/>
                <w:lang w:val="en-US" w:eastAsia="zh-CN" w:bidi="ar"/>
              </w:rPr>
              <w:t>diosmin</w:t>
            </w:r>
          </w:p>
        </w:tc>
        <w:tc>
          <w:tcPr>
            <w:tcW w:w="2171" w:type="dxa"/>
            <w:tcBorders>
              <w:top w:val="nil"/>
              <w:left w:val="nil"/>
              <w:bottom w:val="nil"/>
              <w:right w:val="nil"/>
            </w:tcBorders>
            <w:shd w:val="clear" w:color="auto" w:fill="FFFFFF"/>
            <w:noWrap/>
            <w:vAlign w:val="top"/>
          </w:tcPr>
          <w:p w14:paraId="486B59DB">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9.418</w:t>
            </w:r>
          </w:p>
        </w:tc>
        <w:tc>
          <w:tcPr>
            <w:tcW w:w="1767" w:type="dxa"/>
            <w:tcBorders>
              <w:top w:val="nil"/>
              <w:left w:val="nil"/>
              <w:bottom w:val="nil"/>
              <w:right w:val="nil"/>
            </w:tcBorders>
            <w:shd w:val="clear" w:color="auto" w:fill="FFFFFF"/>
            <w:noWrap/>
            <w:vAlign w:val="top"/>
          </w:tcPr>
          <w:p w14:paraId="7C4F3720">
            <w:pPr>
              <w:keepNext w:val="0"/>
              <w:keepLines w:val="0"/>
              <w:widowControl/>
              <w:suppressLineNumbers w:val="0"/>
              <w:jc w:val="center"/>
              <w:textAlignment w:val="auto"/>
              <w:rPr>
                <w:rFonts w:hint="eastAsia"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6.36</w:t>
            </w:r>
            <w:r>
              <w:rPr>
                <w:rFonts w:hint="eastAsia" w:ascii="Times New Roman" w:hAnsi="Times New Roman" w:eastAsia="宋体" w:cs="Times New Roman"/>
                <w:b w:val="0"/>
                <w:color w:val="000000"/>
                <w:sz w:val="21"/>
                <w:szCs w:val="21"/>
                <w:u w:val="none"/>
                <w:lang w:val="en-US" w:eastAsia="zh-CN" w:bidi="ar"/>
              </w:rPr>
              <w:t>0</w:t>
            </w:r>
          </w:p>
        </w:tc>
      </w:tr>
      <w:tr w14:paraId="178EC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383FFCA9">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
              </w:rPr>
            </w:pPr>
            <w:r>
              <w:rPr>
                <w:rFonts w:hint="default" w:ascii="Times New Roman" w:hAnsi="Times New Roman" w:eastAsia="宋体" w:cs="Times New Roman"/>
                <w:b w:val="0"/>
                <w:bCs w:val="0"/>
                <w:i w:val="0"/>
                <w:iCs w:val="0"/>
                <w:color w:val="000000"/>
                <w:kern w:val="2"/>
                <w:sz w:val="21"/>
                <w:szCs w:val="21"/>
                <w:u w:val="none"/>
                <w:lang w:val="en-US" w:eastAsia="zh-CN" w:bidi="ar"/>
              </w:rPr>
              <w:t>rotenone</w:t>
            </w:r>
          </w:p>
        </w:tc>
        <w:tc>
          <w:tcPr>
            <w:tcW w:w="2171" w:type="dxa"/>
            <w:tcBorders>
              <w:top w:val="nil"/>
              <w:left w:val="nil"/>
              <w:bottom w:val="nil"/>
              <w:right w:val="nil"/>
            </w:tcBorders>
            <w:shd w:val="clear" w:color="auto" w:fill="FFFFFF"/>
            <w:noWrap/>
            <w:vAlign w:val="top"/>
          </w:tcPr>
          <w:p w14:paraId="0381C968">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8.107</w:t>
            </w:r>
          </w:p>
        </w:tc>
        <w:tc>
          <w:tcPr>
            <w:tcW w:w="1767" w:type="dxa"/>
            <w:tcBorders>
              <w:top w:val="nil"/>
              <w:left w:val="nil"/>
              <w:bottom w:val="nil"/>
              <w:right w:val="nil"/>
            </w:tcBorders>
            <w:shd w:val="clear" w:color="auto" w:fill="FFFFFF"/>
            <w:noWrap/>
            <w:vAlign w:val="top"/>
          </w:tcPr>
          <w:p w14:paraId="682B6E14">
            <w:pPr>
              <w:keepNext w:val="0"/>
              <w:keepLines w:val="0"/>
              <w:widowControl/>
              <w:suppressLineNumbers w:val="0"/>
              <w:jc w:val="center"/>
              <w:textAlignment w:val="auto"/>
              <w:rPr>
                <w:rFonts w:hint="eastAsia"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6.16</w:t>
            </w:r>
            <w:r>
              <w:rPr>
                <w:rFonts w:hint="eastAsia" w:ascii="Times New Roman" w:hAnsi="Times New Roman" w:eastAsia="宋体" w:cs="Times New Roman"/>
                <w:b w:val="0"/>
                <w:color w:val="000000"/>
                <w:sz w:val="21"/>
                <w:szCs w:val="21"/>
                <w:u w:val="none"/>
                <w:lang w:val="en-US" w:eastAsia="zh-CN" w:bidi="ar"/>
              </w:rPr>
              <w:t>0</w:t>
            </w:r>
          </w:p>
        </w:tc>
      </w:tr>
      <w:tr w14:paraId="5622F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nil"/>
              <w:right w:val="nil"/>
            </w:tcBorders>
            <w:shd w:val="clear" w:color="auto" w:fill="FFFFFF"/>
            <w:noWrap/>
            <w:vAlign w:val="center"/>
          </w:tcPr>
          <w:p w14:paraId="58690CE7">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
              </w:rPr>
            </w:pPr>
            <w:r>
              <w:rPr>
                <w:rFonts w:hint="default" w:ascii="Times New Roman" w:hAnsi="Times New Roman" w:eastAsia="宋体" w:cs="Times New Roman"/>
                <w:b w:val="0"/>
                <w:bCs w:val="0"/>
                <w:i w:val="0"/>
                <w:iCs w:val="0"/>
                <w:color w:val="000000"/>
                <w:kern w:val="2"/>
                <w:sz w:val="21"/>
                <w:szCs w:val="21"/>
                <w:u w:val="none"/>
                <w:lang w:val="en-US" w:eastAsia="zh-CN" w:bidi="ar"/>
              </w:rPr>
              <w:t>chelerythrine</w:t>
            </w:r>
          </w:p>
        </w:tc>
        <w:tc>
          <w:tcPr>
            <w:tcW w:w="2171" w:type="dxa"/>
            <w:tcBorders>
              <w:top w:val="nil"/>
              <w:left w:val="nil"/>
              <w:bottom w:val="nil"/>
              <w:right w:val="nil"/>
            </w:tcBorders>
            <w:shd w:val="clear" w:color="auto" w:fill="FFFFFF"/>
            <w:noWrap/>
            <w:vAlign w:val="top"/>
          </w:tcPr>
          <w:p w14:paraId="6B17CA13">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6.683</w:t>
            </w:r>
          </w:p>
        </w:tc>
        <w:tc>
          <w:tcPr>
            <w:tcW w:w="1767" w:type="dxa"/>
            <w:tcBorders>
              <w:top w:val="nil"/>
              <w:left w:val="nil"/>
              <w:bottom w:val="nil"/>
              <w:right w:val="nil"/>
            </w:tcBorders>
            <w:shd w:val="clear" w:color="auto" w:fill="FFFFFF"/>
            <w:noWrap/>
            <w:vAlign w:val="top"/>
          </w:tcPr>
          <w:p w14:paraId="6ADCEC71">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6.663</w:t>
            </w:r>
          </w:p>
        </w:tc>
      </w:tr>
      <w:tr w14:paraId="6C429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8" w:type="pct"/>
            <w:tcBorders>
              <w:top w:val="nil"/>
              <w:left w:val="nil"/>
              <w:bottom w:val="single" w:color="000000" w:sz="12" w:space="0"/>
              <w:right w:val="nil"/>
            </w:tcBorders>
            <w:shd w:val="clear" w:color="auto" w:fill="FFFFFF"/>
            <w:noWrap/>
            <w:vAlign w:val="center"/>
          </w:tcPr>
          <w:p w14:paraId="76664CD8">
            <w:pPr>
              <w:keepNext w:val="0"/>
              <w:keepLines w:val="0"/>
              <w:widowControl/>
              <w:suppressLineNumbers w:val="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
              </w:rPr>
            </w:pPr>
            <w:r>
              <w:rPr>
                <w:rFonts w:hint="default" w:ascii="Times New Roman" w:hAnsi="Times New Roman" w:eastAsia="宋体" w:cs="Times New Roman"/>
                <w:b w:val="0"/>
                <w:bCs w:val="0"/>
                <w:i w:val="0"/>
                <w:iCs w:val="0"/>
                <w:color w:val="000000"/>
                <w:kern w:val="2"/>
                <w:sz w:val="21"/>
                <w:szCs w:val="21"/>
                <w:u w:val="none"/>
                <w:lang w:val="en-US" w:eastAsia="zh-CN" w:bidi="ar"/>
              </w:rPr>
              <w:t>olaparib</w:t>
            </w:r>
          </w:p>
        </w:tc>
        <w:tc>
          <w:tcPr>
            <w:tcW w:w="2171" w:type="dxa"/>
            <w:tcBorders>
              <w:top w:val="nil"/>
              <w:left w:val="nil"/>
              <w:bottom w:val="single" w:color="000000" w:sz="12" w:space="0"/>
              <w:right w:val="nil"/>
            </w:tcBorders>
            <w:shd w:val="clear" w:color="auto" w:fill="FFFFFF"/>
            <w:noWrap/>
            <w:vAlign w:val="top"/>
          </w:tcPr>
          <w:p w14:paraId="3822F9C5">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7.102</w:t>
            </w:r>
          </w:p>
        </w:tc>
        <w:tc>
          <w:tcPr>
            <w:tcW w:w="1767" w:type="dxa"/>
            <w:tcBorders>
              <w:top w:val="nil"/>
              <w:left w:val="nil"/>
              <w:bottom w:val="single" w:color="000000" w:sz="12" w:space="0"/>
              <w:right w:val="nil"/>
            </w:tcBorders>
            <w:shd w:val="clear" w:color="auto" w:fill="FFFFFF"/>
            <w:noWrap/>
            <w:vAlign w:val="top"/>
          </w:tcPr>
          <w:p w14:paraId="287272B9">
            <w:pPr>
              <w:keepNext w:val="0"/>
              <w:keepLines w:val="0"/>
              <w:widowControl/>
              <w:suppressLineNumbers w:val="0"/>
              <w:jc w:val="center"/>
              <w:textAlignment w:val="auto"/>
              <w:rPr>
                <w:rFonts w:hint="default" w:ascii="Times New Roman" w:hAnsi="Times New Roman" w:eastAsia="宋体" w:cs="Times New Roman"/>
                <w:b w:val="0"/>
                <w:i w:val="0"/>
                <w:iCs w:val="0"/>
                <w:color w:val="000000"/>
                <w:kern w:val="2"/>
                <w:sz w:val="21"/>
                <w:szCs w:val="21"/>
                <w:u w:val="none"/>
                <w:lang w:val="en-US" w:eastAsia="zh-CN" w:bidi="ar"/>
              </w:rPr>
            </w:pPr>
            <w:r>
              <w:rPr>
                <w:rStyle w:val="5"/>
                <w:rFonts w:hint="default" w:ascii="Times New Roman" w:hAnsi="Times New Roman" w:cs="Times New Roman"/>
                <w:color w:val="0E101A"/>
                <w:sz w:val="21"/>
                <w:szCs w:val="21"/>
              </w:rPr>
              <w:t>-</w:t>
            </w:r>
            <w:r>
              <w:rPr>
                <w:rFonts w:hint="default" w:ascii="Times New Roman" w:hAnsi="Times New Roman" w:eastAsia="宋体" w:cs="Times New Roman"/>
                <w:b w:val="0"/>
                <w:color w:val="000000"/>
                <w:sz w:val="21"/>
                <w:szCs w:val="21"/>
                <w:u w:val="none"/>
                <w:lang w:bidi="ar"/>
              </w:rPr>
              <w:t>5.816</w:t>
            </w:r>
          </w:p>
        </w:tc>
      </w:tr>
    </w:tbl>
    <w:p w14:paraId="330AB2AB">
      <w:bookmarkStart w:id="0" w:name="_GoBack"/>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857E1C"/>
    <w:rsid w:val="7F857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2026-06-04T08:39:00Z</dcterms:created>
  <dc:creator>author</dc:creator>
  <cp:lastModifiedBy>author</cp:lastModifiedBy>
  <dcterms:modified xsi:type="dcterms:W3CDTF">2026-06-04T08:44:25Z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2DFD9BADDC10452BAA974B592C1A4FE8_11</vt:lpwstr>
  </property>
  <property fmtid="{D5CDD505-2E9C-101B-9397-08002B2CF9AE}" pid="4" name="KSOTemplateDocerSaveRecord">
    <vt:lpwstr>eyJoZGlkIjoiMjllODEzZjg2NzlmODBlNzk2MjRhODRjNzdjZDlhZjciLCJ1c2VySWQiOiIzMDkxNjg4NjYifQ==</vt:lpwstr>
  </property>
</Properties>
</file>