
<file path=[Content_Types].xml><?xml version="1.0" encoding="utf-8"?>
<Types xmlns="http://schemas.openxmlformats.org/package/2006/content-types">
  <Default Extension="xml" ContentType="application/xml"/>
  <Default Extension="emf" ContentType="image/x-e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AB122">
      <w:pPr>
        <w:spacing w:line="480" w:lineRule="auto"/>
        <w:jc w:val="center"/>
        <w:rPr>
          <w:rFonts w:hint="default" w:ascii="Times New Roman" w:hAnsi="Times New Roman" w:eastAsia="宋体" w:cs="Times New Roman"/>
          <w:b/>
          <w:color w:val="auto"/>
          <w:kern w:val="0"/>
          <w:sz w:val="24"/>
          <w:szCs w:val="24"/>
        </w:rPr>
      </w:pPr>
      <w:bookmarkStart w:id="0" w:name="OLE_LINK401"/>
      <w:bookmarkStart w:id="1" w:name="OLE_LINK400"/>
      <w:r>
        <w:rPr>
          <w:rFonts w:hint="default" w:ascii="Times New Roman" w:hAnsi="Times New Roman" w:eastAsia="宋体" w:cs="Times New Roman"/>
          <w:b/>
          <w:color w:val="auto"/>
          <w:kern w:val="0"/>
          <w:sz w:val="24"/>
          <w:szCs w:val="24"/>
        </w:rPr>
        <w:t>Supplement</w:t>
      </w:r>
      <w:r>
        <w:rPr>
          <w:rFonts w:hint="eastAsia" w:ascii="Times New Roman" w:hAnsi="Times New Roman" w:eastAsia="宋体" w:cs="Times New Roman"/>
          <w:b/>
          <w:color w:val="auto"/>
          <w:kern w:val="0"/>
          <w:sz w:val="24"/>
          <w:szCs w:val="24"/>
          <w:lang w:val="en-US" w:eastAsia="zh-CN"/>
        </w:rPr>
        <w:t>ary</w:t>
      </w:r>
      <w:bookmarkStart w:id="50" w:name="_GoBack"/>
      <w:bookmarkEnd w:id="50"/>
      <w:r>
        <w:rPr>
          <w:rFonts w:hint="default" w:ascii="Times New Roman" w:hAnsi="Times New Roman" w:eastAsia="宋体" w:cs="Times New Roman"/>
          <w:b/>
          <w:color w:val="auto"/>
          <w:kern w:val="0"/>
          <w:sz w:val="24"/>
          <w:szCs w:val="24"/>
        </w:rPr>
        <w:t xml:space="preserve"> material</w:t>
      </w:r>
    </w:p>
    <w:bookmarkEnd w:id="0"/>
    <w:bookmarkEnd w:id="1"/>
    <w:p w14:paraId="664BEE64">
      <w:pPr>
        <w:spacing w:line="480" w:lineRule="auto"/>
        <w:ind w:firstLine="0" w:firstLineChars="0"/>
        <w:jc w:val="center"/>
        <w:rPr>
          <w:rFonts w:ascii="Times New Roman" w:hAnsi="Times New Roman" w:eastAsia="宋体" w:cs="Times New Roman"/>
          <w:b/>
          <w:kern w:val="0"/>
          <w:sz w:val="24"/>
          <w:szCs w:val="24"/>
        </w:rPr>
      </w:pPr>
      <w:r>
        <w:rPr>
          <w:rFonts w:hint="default" w:ascii="Times New Roman" w:hAnsi="Times New Roman" w:eastAsia="宋体" w:cs="Times New Roman"/>
          <w:b/>
          <w:kern w:val="0"/>
          <w:sz w:val="24"/>
          <w:szCs w:val="24"/>
          <w:lang w:val="en-US" w:eastAsia="zh-CN"/>
        </w:rPr>
        <w:t xml:space="preserve">A </w:t>
      </w:r>
      <w:r>
        <w:rPr>
          <w:rFonts w:ascii="Times New Roman" w:hAnsi="Times New Roman" w:eastAsia="宋体" w:cs="Times New Roman"/>
          <w:b/>
          <w:kern w:val="0"/>
          <w:sz w:val="24"/>
          <w:szCs w:val="24"/>
          <w:shd w:val="clear" w:color="auto" w:fill="auto"/>
        </w:rPr>
        <w:t>sulfur</w:t>
      </w:r>
      <w:r>
        <w:rPr>
          <w:rFonts w:hint="default" w:ascii="Times New Roman" w:hAnsi="Times New Roman" w:eastAsia="宋体" w:cs="Times New Roman"/>
          <w:b/>
          <w:kern w:val="0"/>
          <w:sz w:val="24"/>
          <w:szCs w:val="24"/>
          <w:shd w:val="clear" w:color="auto" w:fill="auto"/>
          <w:lang w:val="en-US" w:eastAsia="zh-CN"/>
        </w:rPr>
        <w:t>-</w:t>
      </w:r>
      <w:r>
        <w:rPr>
          <w:rFonts w:ascii="Times New Roman" w:hAnsi="Times New Roman" w:eastAsia="宋体" w:cs="Times New Roman"/>
          <w:b/>
          <w:kern w:val="0"/>
          <w:sz w:val="24"/>
          <w:szCs w:val="24"/>
          <w:shd w:val="clear" w:color="auto" w:fill="auto"/>
        </w:rPr>
        <w:t>dop</w:t>
      </w:r>
      <w:r>
        <w:rPr>
          <w:rFonts w:hint="default" w:ascii="Times New Roman" w:hAnsi="Times New Roman" w:eastAsia="宋体" w:cs="Times New Roman"/>
          <w:b/>
          <w:kern w:val="0"/>
          <w:sz w:val="24"/>
          <w:szCs w:val="24"/>
          <w:shd w:val="clear" w:color="auto" w:fill="auto"/>
          <w:lang w:val="en-US" w:eastAsia="zh-CN"/>
        </w:rPr>
        <w:t xml:space="preserve">ed </w:t>
      </w:r>
      <w:r>
        <w:rPr>
          <w:rFonts w:hint="default" w:ascii="Times New Roman" w:hAnsi="Times New Roman" w:eastAsia="宋体" w:cs="Times New Roman"/>
          <w:b/>
          <w:kern w:val="0"/>
          <w:sz w:val="24"/>
          <w:szCs w:val="24"/>
          <w:lang w:val="en-US" w:eastAsia="zh-CN"/>
        </w:rPr>
        <w:t xml:space="preserve">bimetallic nanozyme for </w:t>
      </w:r>
      <w:r>
        <w:rPr>
          <w:rFonts w:hint="default" w:ascii="Times New Roman" w:hAnsi="Times New Roman" w:eastAsia="宋体" w:cs="Times New Roman"/>
          <w:b/>
          <w:kern w:val="0"/>
          <w:sz w:val="24"/>
          <w:szCs w:val="24"/>
        </w:rPr>
        <w:t>colorimetr</w:t>
      </w:r>
      <w:r>
        <w:rPr>
          <w:rFonts w:hint="default" w:ascii="Times New Roman" w:hAnsi="Times New Roman" w:eastAsia="宋体" w:cs="Times New Roman"/>
          <w:b/>
          <w:kern w:val="0"/>
          <w:sz w:val="24"/>
          <w:szCs w:val="24"/>
          <w:lang w:val="en-US" w:eastAsia="zh-CN"/>
        </w:rPr>
        <w:t xml:space="preserve">ic </w:t>
      </w:r>
      <w:r>
        <w:rPr>
          <w:rFonts w:hint="eastAsia" w:ascii="Times New Roman" w:hAnsi="Times New Roman" w:eastAsia="宋体" w:cs="Times New Roman"/>
          <w:b/>
          <w:kern w:val="0"/>
          <w:sz w:val="24"/>
          <w:szCs w:val="24"/>
          <w:lang w:val="en-US" w:eastAsia="zh-CN"/>
        </w:rPr>
        <w:t>detection</w:t>
      </w:r>
      <w:r>
        <w:rPr>
          <w:rFonts w:hint="default" w:ascii="Times New Roman" w:hAnsi="Times New Roman" w:eastAsia="宋体" w:cs="Times New Roman"/>
          <w:b/>
          <w:kern w:val="0"/>
          <w:sz w:val="24"/>
          <w:szCs w:val="24"/>
          <w:lang w:val="en-US" w:eastAsia="zh-CN"/>
        </w:rPr>
        <w:t xml:space="preserve"> of </w:t>
      </w:r>
      <w:r>
        <w:rPr>
          <w:rFonts w:hint="default" w:ascii="Times New Roman" w:hAnsi="Times New Roman" w:eastAsia="宋体" w:cs="Times New Roman"/>
          <w:b/>
          <w:kern w:val="0"/>
          <w:sz w:val="24"/>
          <w:szCs w:val="24"/>
        </w:rPr>
        <w:t>chlorogenic acid in</w:t>
      </w:r>
      <w:r>
        <w:rPr>
          <w:rFonts w:hint="eastAsia" w:ascii="Times New Roman" w:hAnsi="Times New Roman" w:eastAsia="宋体" w:cs="Times New Roman"/>
          <w:b/>
          <w:kern w:val="0"/>
          <w:sz w:val="24"/>
          <w:szCs w:val="24"/>
          <w:lang w:val="en-US" w:eastAsia="zh-CN"/>
        </w:rPr>
        <w:t xml:space="preserve"> </w:t>
      </w:r>
      <w:r>
        <w:rPr>
          <w:rFonts w:ascii="Times New Roman" w:hAnsi="Times New Roman" w:eastAsia="宋体" w:cs="Times New Roman"/>
          <w:b/>
          <w:kern w:val="0"/>
          <w:sz w:val="24"/>
          <w:szCs w:val="24"/>
        </w:rPr>
        <w:t>homologous medicinal and edible plants</w:t>
      </w:r>
    </w:p>
    <w:p w14:paraId="5011DB86">
      <w:pPr>
        <w:spacing w:line="480" w:lineRule="auto"/>
        <w:rPr>
          <w:rFonts w:ascii="Times New Roman" w:hAnsi="Times New Roman" w:cs="Times New Roman"/>
          <w:szCs w:val="21"/>
        </w:rPr>
      </w:pPr>
      <w:r>
        <w:rPr>
          <w:rFonts w:ascii="Times New Roman" w:hAnsi="Times New Roman" w:cs="Times New Roman"/>
          <w:szCs w:val="21"/>
        </w:rPr>
        <w:t>Jiayi Jiang</w:t>
      </w:r>
      <w:r>
        <w:rPr>
          <w:rFonts w:hint="eastAsia" w:ascii="Times New Roman" w:hAnsi="Times New Roman" w:cs="Times New Roman"/>
          <w:szCs w:val="21"/>
          <w:vertAlign w:val="superscript"/>
          <w:lang w:val="en-US" w:eastAsia="zh-CN"/>
        </w:rPr>
        <w:t>1</w:t>
      </w:r>
      <w:r>
        <w:rPr>
          <w:rFonts w:ascii="Times New Roman" w:hAnsi="Times New Roman" w:cs="Times New Roman"/>
          <w:szCs w:val="21"/>
        </w:rPr>
        <w:t>,</w:t>
      </w:r>
      <w:r>
        <w:rPr>
          <w:rFonts w:hint="default" w:ascii="Times New Roman" w:hAnsi="Times New Roman" w:cs="Times New Roman"/>
          <w:szCs w:val="21"/>
          <w:lang w:val="en-US" w:eastAsia="zh-CN"/>
        </w:rPr>
        <w:t xml:space="preserve"> </w:t>
      </w:r>
      <w:r>
        <w:rPr>
          <w:rFonts w:ascii="Times New Roman" w:hAnsi="Times New Roman" w:cs="Times New Roman"/>
          <w:szCs w:val="21"/>
        </w:rPr>
        <w:t>Yifeng Zhou</w:t>
      </w:r>
      <w:r>
        <w:rPr>
          <w:rFonts w:hint="eastAsia" w:ascii="Times New Roman" w:hAnsi="Times New Roman" w:cs="Times New Roman"/>
          <w:szCs w:val="21"/>
          <w:vertAlign w:val="superscript"/>
          <w:lang w:val="en-US" w:eastAsia="zh-CN"/>
        </w:rPr>
        <w:t>1</w:t>
      </w:r>
      <w:r>
        <w:rPr>
          <w:rFonts w:ascii="Times New Roman" w:hAnsi="Times New Roman" w:cs="Times New Roman"/>
          <w:szCs w:val="21"/>
          <w:vertAlign w:val="superscript"/>
        </w:rPr>
        <w:t>*</w:t>
      </w:r>
      <w:r>
        <w:rPr>
          <w:rFonts w:hint="default" w:ascii="Times New Roman" w:hAnsi="Times New Roman" w:cs="Times New Roman"/>
          <w:szCs w:val="21"/>
          <w:lang w:val="en-US" w:eastAsia="zh-CN"/>
        </w:rPr>
        <w:t xml:space="preserve">, </w:t>
      </w:r>
      <w:r>
        <w:rPr>
          <w:rFonts w:ascii="Times New Roman" w:hAnsi="Times New Roman" w:cs="Times New Roman"/>
          <w:szCs w:val="21"/>
        </w:rPr>
        <w:t>Liling Wang</w:t>
      </w:r>
      <w:r>
        <w:rPr>
          <w:rFonts w:hint="eastAsia" w:ascii="Times New Roman" w:hAnsi="Times New Roman" w:cs="Times New Roman"/>
          <w:szCs w:val="21"/>
          <w:vertAlign w:val="superscript"/>
          <w:lang w:val="en-US" w:eastAsia="zh-CN"/>
        </w:rPr>
        <w:t>2</w:t>
      </w:r>
      <w:r>
        <w:rPr>
          <w:rFonts w:ascii="Times New Roman" w:hAnsi="Times New Roman" w:cs="Times New Roman"/>
          <w:szCs w:val="21"/>
          <w:vertAlign w:val="superscript"/>
        </w:rPr>
        <w:t>*</w:t>
      </w:r>
    </w:p>
    <w:p w14:paraId="66CA3A6C">
      <w:pPr>
        <w:spacing w:line="480" w:lineRule="auto"/>
        <w:rPr>
          <w:rFonts w:ascii="Times New Roman" w:hAnsi="Times New Roman" w:cs="Times New Roman"/>
          <w:szCs w:val="21"/>
        </w:rPr>
      </w:pPr>
      <w:r>
        <w:rPr>
          <w:rFonts w:hint="eastAsia" w:ascii="Times New Roman" w:hAnsi="Times New Roman" w:cs="Times New Roman"/>
          <w:szCs w:val="21"/>
          <w:vertAlign w:val="superscript"/>
          <w:lang w:val="en-US" w:eastAsia="zh-CN"/>
        </w:rPr>
        <w:t>1</w:t>
      </w:r>
      <w:r>
        <w:rPr>
          <w:rFonts w:ascii="Times New Roman" w:hAnsi="Times New Roman" w:cs="Times New Roman"/>
          <w:szCs w:val="21"/>
        </w:rPr>
        <w:t xml:space="preserve"> School of Biological and Chemical Engineering, Zh</w:t>
      </w:r>
      <w:bookmarkStart w:id="2" w:name="OLE_LINK91"/>
      <w:bookmarkStart w:id="3" w:name="OLE_LINK90"/>
      <w:r>
        <w:rPr>
          <w:rFonts w:ascii="Times New Roman" w:hAnsi="Times New Roman" w:cs="Times New Roman"/>
          <w:szCs w:val="21"/>
        </w:rPr>
        <w:t>ejiang University of Science and Technolo</w:t>
      </w:r>
      <w:bookmarkEnd w:id="2"/>
      <w:bookmarkEnd w:id="3"/>
      <w:r>
        <w:rPr>
          <w:rFonts w:ascii="Times New Roman" w:hAnsi="Times New Roman" w:cs="Times New Roman"/>
          <w:szCs w:val="21"/>
        </w:rPr>
        <w:t>gy, Hangzhou 310023, China</w:t>
      </w:r>
    </w:p>
    <w:p w14:paraId="1F01126C">
      <w:pPr>
        <w:spacing w:line="480" w:lineRule="auto"/>
        <w:rPr>
          <w:rFonts w:hint="default" w:ascii="Times New Roman" w:hAnsi="Times New Roman" w:cs="Times New Roman"/>
          <w:szCs w:val="21"/>
        </w:rPr>
      </w:pPr>
      <w:r>
        <w:rPr>
          <w:rFonts w:hint="eastAsia" w:ascii="Times New Roman" w:hAnsi="Times New Roman" w:cs="Times New Roman"/>
          <w:szCs w:val="21"/>
          <w:vertAlign w:val="superscript"/>
          <w:lang w:val="en-US" w:eastAsia="zh-CN"/>
        </w:rPr>
        <w:t>2</w:t>
      </w:r>
      <w:r>
        <w:rPr>
          <w:rFonts w:ascii="Times New Roman" w:hAnsi="Times New Roman" w:cs="Times New Roman"/>
          <w:szCs w:val="21"/>
        </w:rPr>
        <w:t xml:space="preserve"> Zhejiang Academy of</w:t>
      </w:r>
      <w:bookmarkStart w:id="4" w:name="OLE_LINK93"/>
      <w:bookmarkStart w:id="5" w:name="OLE_LINK92"/>
      <w:r>
        <w:rPr>
          <w:rFonts w:ascii="Times New Roman" w:hAnsi="Times New Roman" w:cs="Times New Roman"/>
          <w:szCs w:val="21"/>
        </w:rPr>
        <w:t xml:space="preserve"> Forestry, Hangzhou 310023, </w:t>
      </w:r>
      <w:bookmarkEnd w:id="4"/>
      <w:bookmarkEnd w:id="5"/>
      <w:r>
        <w:rPr>
          <w:rFonts w:ascii="Times New Roman" w:hAnsi="Times New Roman" w:cs="Times New Roman"/>
          <w:szCs w:val="21"/>
        </w:rPr>
        <w:t>China</w:t>
      </w:r>
    </w:p>
    <w:p w14:paraId="27985EC4">
      <w:pPr>
        <w:pStyle w:val="5"/>
        <w:keepNext w:val="0"/>
        <w:keepLines w:val="0"/>
        <w:widowControl/>
        <w:suppressLineNumbers w:val="0"/>
        <w:spacing w:line="240" w:lineRule="auto"/>
        <w:ind w:left="0" w:firstLine="0"/>
        <w:jc w:val="left"/>
        <w:textAlignment w:val="center"/>
        <w:rPr>
          <w:rFonts w:ascii="Times New Roman" w:hAnsi="Times New Roman" w:cs="Times New Roman"/>
          <w:sz w:val="21"/>
          <w:szCs w:val="21"/>
        </w:rPr>
      </w:pPr>
      <w:r>
        <w:rPr>
          <w:rFonts w:hint="default" w:ascii="Times New Roman" w:hAnsi="Times New Roman" w:cs="Times New Roman"/>
          <w:color w:val="000000"/>
          <w:spacing w:val="0"/>
          <w:position w:val="0"/>
          <w:sz w:val="21"/>
          <w:szCs w:val="21"/>
        </w:rPr>
        <w:t>* Corresponding authors.</w:t>
      </w:r>
    </w:p>
    <w:p w14:paraId="063BD8C4">
      <w:pPr>
        <w:pStyle w:val="5"/>
        <w:widowControl/>
        <w:spacing w:line="240" w:lineRule="auto"/>
        <w:ind w:left="0" w:hanging="4935" w:hangingChars="2350"/>
        <w:jc w:val="left"/>
        <w:textAlignment w:val="center"/>
        <w:rPr>
          <w:rFonts w:ascii="Times New Roman" w:hAnsi="Times New Roman" w:cs="Times New Roman"/>
          <w:sz w:val="21"/>
          <w:szCs w:val="21"/>
        </w:rPr>
      </w:pPr>
      <w:r>
        <w:rPr>
          <w:rFonts w:hint="default" w:ascii="Times New Roman" w:hAnsi="Times New Roman" w:cs="Times New Roman"/>
          <w:i/>
          <w:iCs/>
          <w:color w:val="000000"/>
          <w:spacing w:val="0"/>
          <w:position w:val="0"/>
          <w:sz w:val="21"/>
          <w:szCs w:val="21"/>
        </w:rPr>
        <w:t xml:space="preserve">E-mail addresses: </w:t>
      </w:r>
      <w:r>
        <w:rPr>
          <w:rFonts w:ascii="Times New Roman" w:hAnsi="Times New Roman" w:cs="Times New Roman"/>
          <w:sz w:val="21"/>
          <w:szCs w:val="21"/>
        </w:rPr>
        <w:t xml:space="preserve"> zhouyf3000@163.com</w:t>
      </w:r>
      <w:r>
        <w:rPr>
          <w:rFonts w:hint="default" w:ascii="Times New Roman" w:hAnsi="Times New Roman" w:cs="Times New Roman"/>
          <w:sz w:val="21"/>
          <w:szCs w:val="21"/>
          <w:lang w:val="en-US" w:eastAsia="zh-CN"/>
        </w:rPr>
        <w:t xml:space="preserve"> </w:t>
      </w:r>
      <w:r>
        <w:rPr>
          <w:rFonts w:ascii="Times New Roman" w:hAnsi="Times New Roman" w:cs="Times New Roman"/>
          <w:sz w:val="21"/>
          <w:szCs w:val="21"/>
        </w:rPr>
        <w:t>(</w:t>
      </w:r>
      <w:r>
        <w:rPr>
          <w:rFonts w:hint="default" w:ascii="Times New Roman" w:hAnsi="Times New Roman" w:cs="Times New Roman"/>
          <w:sz w:val="21"/>
          <w:szCs w:val="21"/>
          <w:lang w:val="en-US" w:eastAsia="zh-CN"/>
        </w:rPr>
        <w:t>Zhou</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Y</w:t>
      </w:r>
      <w:r>
        <w:rPr>
          <w:rFonts w:ascii="Times New Roman" w:hAnsi="Times New Roman" w:cs="Times New Roman"/>
          <w:sz w:val="21"/>
          <w:szCs w:val="21"/>
        </w:rPr>
        <w:t>)</w:t>
      </w:r>
      <w:r>
        <w:rPr>
          <w:rFonts w:hint="default" w:ascii="Times New Roman" w:hAnsi="Times New Roman" w:cs="Times New Roman"/>
          <w:sz w:val="21"/>
          <w:szCs w:val="21"/>
          <w:lang w:val="en-US" w:eastAsia="zh-CN"/>
        </w:rPr>
        <w:t xml:space="preserve">; </w:t>
      </w:r>
      <w:r>
        <w:rPr>
          <w:rFonts w:ascii="Times New Roman" w:hAnsi="Times New Roman" w:cs="Times New Roman"/>
          <w:sz w:val="21"/>
          <w:szCs w:val="21"/>
        </w:rPr>
        <w:t xml:space="preserve"> echo22239@163.com</w:t>
      </w:r>
      <w:r>
        <w:rPr>
          <w:rFonts w:hint="default" w:ascii="Times New Roman" w:hAnsi="Times New Roman" w:cs="Times New Roman"/>
          <w:sz w:val="21"/>
          <w:szCs w:val="21"/>
          <w:lang w:val="en-US" w:eastAsia="zh-CN"/>
        </w:rPr>
        <w:t xml:space="preserve"> </w:t>
      </w:r>
      <w:r>
        <w:rPr>
          <w:rFonts w:ascii="Times New Roman" w:hAnsi="Times New Roman" w:cs="Times New Roman"/>
          <w:sz w:val="21"/>
          <w:szCs w:val="21"/>
        </w:rPr>
        <w:t>(Wang</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L)</w:t>
      </w:r>
    </w:p>
    <w:p w14:paraId="44ACB455">
      <w:pPr>
        <w:spacing w:line="360" w:lineRule="auto"/>
        <w:rPr>
          <w:rFonts w:hint="default" w:ascii="Times New Roman" w:hAnsi="Times New Roman" w:cs="Times New Roman"/>
          <w:color w:val="auto"/>
          <w:sz w:val="20"/>
          <w:szCs w:val="20"/>
        </w:rPr>
      </w:pPr>
    </w:p>
    <w:p w14:paraId="47BB816E">
      <w:pPr>
        <w:widowControl/>
        <w:jc w:val="left"/>
        <w:rPr>
          <w:rFonts w:hint="default" w:ascii="Times New Roman" w:hAnsi="Times New Roman" w:cs="Times New Roman"/>
          <w:color w:val="auto"/>
          <w:sz w:val="20"/>
          <w:szCs w:val="20"/>
        </w:rPr>
      </w:pPr>
      <w:r>
        <w:rPr>
          <w:rFonts w:hint="default" w:ascii="Times New Roman" w:hAnsi="Times New Roman" w:cs="Times New Roman"/>
          <w:color w:val="auto"/>
          <w:sz w:val="20"/>
          <w:szCs w:val="20"/>
        </w:rPr>
        <w:br w:type="page"/>
      </w:r>
    </w:p>
    <w:p w14:paraId="22301DFB">
      <w:pPr>
        <w:spacing w:line="324" w:lineRule="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Experimental section</w:t>
      </w:r>
    </w:p>
    <w:p w14:paraId="0CCD8243">
      <w:pPr>
        <w:spacing w:line="324" w:lineRule="auto"/>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Apparatus</w:t>
      </w:r>
    </w:p>
    <w:p w14:paraId="020846C3">
      <w:pPr>
        <w:spacing w:line="360" w:lineRule="auto"/>
        <w:ind w:firstLine="420" w:firstLineChars="200"/>
        <w:rPr>
          <w:rFonts w:hint="default" w:ascii="Times New Roman" w:hAnsi="Times New Roman" w:eastAsia="华文中宋" w:cs="Times New Roman"/>
          <w:color w:val="auto"/>
          <w:szCs w:val="21"/>
        </w:rPr>
      </w:pPr>
      <w:r>
        <w:rPr>
          <w:rFonts w:hint="default" w:ascii="Times New Roman" w:hAnsi="Times New Roman" w:eastAsia="华文中宋" w:cs="Times New Roman"/>
          <w:color w:val="auto"/>
          <w:szCs w:val="21"/>
        </w:rPr>
        <w:t>Ultravio</w:t>
      </w:r>
      <w:bookmarkStart w:id="6" w:name="OLE_LINK17"/>
      <w:bookmarkStart w:id="7" w:name="OLE_LINK15"/>
      <w:r>
        <w:rPr>
          <w:rFonts w:hint="default" w:ascii="Times New Roman" w:hAnsi="Times New Roman" w:eastAsia="华文中宋" w:cs="Times New Roman"/>
          <w:color w:val="auto"/>
          <w:szCs w:val="21"/>
        </w:rPr>
        <w:t>let–visible (UV–vis) spectroscopy measurement was performed with a Varioskan Flash reader (ThermoFisher, USA). The flu</w:t>
      </w:r>
      <w:bookmarkEnd w:id="6"/>
      <w:bookmarkEnd w:id="7"/>
      <w:r>
        <w:rPr>
          <w:rFonts w:hint="default" w:ascii="Times New Roman" w:hAnsi="Times New Roman" w:eastAsia="华文中宋" w:cs="Times New Roman"/>
          <w:color w:val="auto"/>
          <w:szCs w:val="21"/>
        </w:rPr>
        <w:t>orescence spectra were recorded on a F-7000 fluorescence s</w:t>
      </w:r>
      <w:bookmarkStart w:id="8" w:name="OLE_LINK14"/>
      <w:bookmarkStart w:id="9" w:name="OLE_LINK13"/>
      <w:r>
        <w:rPr>
          <w:rFonts w:hint="default" w:ascii="Times New Roman" w:hAnsi="Times New Roman" w:eastAsia="华文中宋" w:cs="Times New Roman"/>
          <w:color w:val="auto"/>
          <w:szCs w:val="21"/>
        </w:rPr>
        <w:t>pectrophotometer (Hitachi, J</w:t>
      </w:r>
      <w:bookmarkEnd w:id="8"/>
      <w:bookmarkEnd w:id="9"/>
      <w:r>
        <w:rPr>
          <w:rFonts w:hint="default" w:ascii="Times New Roman" w:hAnsi="Times New Roman" w:eastAsia="华文中宋" w:cs="Times New Roman"/>
          <w:color w:val="auto"/>
          <w:szCs w:val="21"/>
        </w:rPr>
        <w:t>apan). The scanning electron microscope (S</w:t>
      </w:r>
      <w:bookmarkStart w:id="10" w:name="OLE_LINK6"/>
      <w:bookmarkStart w:id="11" w:name="OLE_LINK7"/>
      <w:r>
        <w:rPr>
          <w:rFonts w:hint="default" w:ascii="Times New Roman" w:hAnsi="Times New Roman" w:eastAsia="华文中宋" w:cs="Times New Roman"/>
          <w:color w:val="auto"/>
          <w:szCs w:val="21"/>
        </w:rPr>
        <w:t xml:space="preserve">EM) images were taken on Hitachi </w:t>
      </w:r>
      <w:bookmarkEnd w:id="10"/>
      <w:bookmarkEnd w:id="11"/>
      <w:r>
        <w:rPr>
          <w:rFonts w:hint="default" w:ascii="Times New Roman" w:hAnsi="Times New Roman" w:eastAsia="华文中宋" w:cs="Times New Roman"/>
          <w:color w:val="auto"/>
          <w:szCs w:val="21"/>
        </w:rPr>
        <w:t xml:space="preserve">model S-4800 field emission electron microscope (Hitachi, Japan) with an accelerating voltage of 20 kV. The microstructure of the catalysts was characterized with transmission electron microscopy </w:t>
      </w:r>
      <w:bookmarkStart w:id="12" w:name="OLE_LINK76"/>
      <w:bookmarkStart w:id="13" w:name="OLE_LINK77"/>
      <w:r>
        <w:rPr>
          <w:rFonts w:hint="default" w:ascii="Times New Roman" w:hAnsi="Times New Roman" w:eastAsia="华文中宋" w:cs="Times New Roman"/>
          <w:color w:val="auto"/>
          <w:szCs w:val="21"/>
        </w:rPr>
        <w:t>(TEM; JEOL, JEM-2100F) with energy dispersive X-ray spectroscopy (EDS). The X-ray</w:t>
      </w:r>
      <w:bookmarkStart w:id="14" w:name="OLE_LINK21"/>
      <w:bookmarkStart w:id="15" w:name="OLE_LINK18"/>
      <w:r>
        <w:rPr>
          <w:rFonts w:hint="default" w:ascii="Times New Roman" w:hAnsi="Times New Roman" w:eastAsia="华文中宋" w:cs="Times New Roman"/>
          <w:color w:val="auto"/>
          <w:szCs w:val="21"/>
        </w:rPr>
        <w:t xml:space="preserve"> diffraction (XRD) patterns were record</w:t>
      </w:r>
      <w:bookmarkEnd w:id="14"/>
      <w:bookmarkEnd w:id="15"/>
      <w:r>
        <w:rPr>
          <w:rFonts w:hint="default" w:ascii="Times New Roman" w:hAnsi="Times New Roman" w:eastAsia="华文中宋" w:cs="Times New Roman"/>
          <w:color w:val="auto"/>
          <w:szCs w:val="21"/>
        </w:rPr>
        <w:t>ed on a SmartLab 9kW diffractometer (Rigaku, Japan) und</w:t>
      </w:r>
      <w:bookmarkStart w:id="16" w:name="OLE_LINK22"/>
      <w:bookmarkStart w:id="17" w:name="OLE_LINK25"/>
      <w:r>
        <w:rPr>
          <w:rFonts w:hint="default" w:ascii="Times New Roman" w:hAnsi="Times New Roman" w:eastAsia="华文中宋" w:cs="Times New Roman"/>
          <w:color w:val="auto"/>
          <w:szCs w:val="21"/>
        </w:rPr>
        <w:t>er the conditions of nic</w:t>
      </w:r>
      <w:bookmarkEnd w:id="16"/>
      <w:bookmarkEnd w:id="17"/>
      <w:r>
        <w:rPr>
          <w:rFonts w:hint="default" w:ascii="Times New Roman" w:hAnsi="Times New Roman" w:eastAsia="华文中宋" w:cs="Times New Roman"/>
          <w:color w:val="auto"/>
          <w:szCs w:val="21"/>
        </w:rPr>
        <w:t>kel filtered Cu Kα radiation (λ = 0.15406 nm). X-ray p</w:t>
      </w:r>
      <w:bookmarkEnd w:id="12"/>
      <w:bookmarkEnd w:id="13"/>
      <w:r>
        <w:rPr>
          <w:rFonts w:hint="default" w:ascii="Times New Roman" w:hAnsi="Times New Roman" w:eastAsia="华文中宋" w:cs="Times New Roman"/>
          <w:color w:val="auto"/>
          <w:szCs w:val="21"/>
        </w:rPr>
        <w:t>h</w:t>
      </w:r>
      <w:bookmarkStart w:id="18" w:name="OLE_LINK26"/>
      <w:bookmarkStart w:id="19" w:name="OLE_LINK31"/>
      <w:r>
        <w:rPr>
          <w:rFonts w:hint="default" w:ascii="Times New Roman" w:hAnsi="Times New Roman" w:eastAsia="华文中宋" w:cs="Times New Roman"/>
          <w:color w:val="auto"/>
          <w:szCs w:val="21"/>
        </w:rPr>
        <w:t>otoelectro</w:t>
      </w:r>
      <w:bookmarkStart w:id="20" w:name="OLE_LINK3"/>
      <w:bookmarkStart w:id="21" w:name="OLE_LINK5"/>
      <w:r>
        <w:rPr>
          <w:rFonts w:hint="default" w:ascii="Times New Roman" w:hAnsi="Times New Roman" w:eastAsia="华文中宋" w:cs="Times New Roman"/>
          <w:color w:val="auto"/>
          <w:szCs w:val="21"/>
        </w:rPr>
        <w:t>n spectros</w:t>
      </w:r>
      <w:bookmarkEnd w:id="20"/>
      <w:bookmarkEnd w:id="21"/>
      <w:r>
        <w:rPr>
          <w:rFonts w:hint="default" w:ascii="Times New Roman" w:hAnsi="Times New Roman" w:eastAsia="华文中宋" w:cs="Times New Roman"/>
          <w:color w:val="auto"/>
          <w:szCs w:val="21"/>
        </w:rPr>
        <w:t xml:space="preserve">copy </w:t>
      </w:r>
      <w:bookmarkEnd w:id="18"/>
      <w:bookmarkEnd w:id="19"/>
      <w:r>
        <w:rPr>
          <w:rFonts w:hint="default" w:ascii="Times New Roman" w:hAnsi="Times New Roman" w:eastAsia="华文中宋" w:cs="Times New Roman"/>
          <w:color w:val="auto"/>
          <w:szCs w:val="21"/>
        </w:rPr>
        <w:t>(XPS) data were measured using ThermoFisher ESCALAB 250XI (ThermoFisher Scientific, USA). The specific surface areas were determined by the Brunauer-Emmett-Teller (BET) method based on the N</w:t>
      </w:r>
      <w:r>
        <w:rPr>
          <w:rFonts w:hint="default" w:ascii="Times New Roman" w:hAnsi="Times New Roman" w:eastAsia="华文中宋" w:cs="Times New Roman"/>
          <w:color w:val="auto"/>
          <w:szCs w:val="21"/>
          <w:vertAlign w:val="subscript"/>
        </w:rPr>
        <w:t>2</w:t>
      </w:r>
      <w:r>
        <w:rPr>
          <w:rFonts w:hint="default" w:ascii="Times New Roman" w:hAnsi="Times New Roman" w:eastAsia="华文中宋" w:cs="Times New Roman"/>
          <w:color w:val="auto"/>
          <w:szCs w:val="21"/>
        </w:rPr>
        <w:t xml:space="preserve"> adsorption-desorption isotherm data, which were obtained on an ASAP 2020 Microm</w:t>
      </w:r>
      <w:bookmarkStart w:id="22" w:name="OLE_LINK32"/>
      <w:bookmarkStart w:id="23" w:name="OLE_LINK33"/>
      <w:r>
        <w:rPr>
          <w:rFonts w:hint="default" w:ascii="Times New Roman" w:hAnsi="Times New Roman" w:eastAsia="华文中宋" w:cs="Times New Roman"/>
          <w:color w:val="auto"/>
          <w:szCs w:val="21"/>
        </w:rPr>
        <w:t>eritics instrument (Maike, USA</w:t>
      </w:r>
      <w:bookmarkEnd w:id="22"/>
      <w:bookmarkEnd w:id="23"/>
      <w:r>
        <w:rPr>
          <w:rFonts w:hint="default" w:ascii="Times New Roman" w:hAnsi="Times New Roman" w:eastAsia="华文中宋" w:cs="Times New Roman"/>
          <w:color w:val="auto"/>
          <w:szCs w:val="21"/>
        </w:rPr>
        <w:t>). Electron paramagnetic resonance (EPR) spectrum wa</w:t>
      </w:r>
      <w:bookmarkStart w:id="24" w:name="OLE_LINK42"/>
      <w:bookmarkStart w:id="25" w:name="OLE_LINK43"/>
      <w:r>
        <w:rPr>
          <w:rFonts w:hint="default" w:ascii="Times New Roman" w:hAnsi="Times New Roman" w:eastAsia="华文中宋" w:cs="Times New Roman"/>
          <w:color w:val="auto"/>
          <w:szCs w:val="21"/>
        </w:rPr>
        <w:t xml:space="preserve">s measured on a Bruker EMXplus-6/1 spectrometer (Bruker, Germany) </w:t>
      </w:r>
      <w:bookmarkEnd w:id="24"/>
      <w:bookmarkEnd w:id="25"/>
      <w:r>
        <w:rPr>
          <w:rFonts w:hint="default" w:ascii="Times New Roman" w:hAnsi="Times New Roman" w:eastAsia="华文中宋" w:cs="Times New Roman"/>
          <w:color w:val="auto"/>
          <w:szCs w:val="21"/>
        </w:rPr>
        <w:t>to detect the free radicals.</w:t>
      </w:r>
    </w:p>
    <w:p w14:paraId="38049D76">
      <w:pPr>
        <w:widowControl/>
        <w:jc w:val="left"/>
        <w:rPr>
          <w:rFonts w:hint="default" w:ascii="Times New Roman" w:hAnsi="Times New Roman" w:eastAsia="华文中宋" w:cs="Times New Roman"/>
          <w:b/>
          <w:color w:val="auto"/>
          <w:sz w:val="24"/>
          <w:szCs w:val="24"/>
        </w:rPr>
      </w:pPr>
      <w:r>
        <w:rPr>
          <w:rFonts w:hint="default" w:ascii="Times New Roman" w:hAnsi="Times New Roman" w:cs="Times New Roman"/>
          <w:color w:val="auto"/>
          <w:sz w:val="20"/>
          <w:szCs w:val="20"/>
        </w:rPr>
        <w:br w:type="page"/>
      </w:r>
      <w:r>
        <w:rPr>
          <w:rFonts w:hint="default" w:ascii="Times New Roman" w:hAnsi="Times New Roman" w:eastAsia="华文中宋" w:cs="Times New Roman"/>
          <w:b/>
          <w:color w:val="auto"/>
          <w:sz w:val="24"/>
          <w:szCs w:val="24"/>
        </w:rPr>
        <w:t>Electrochemical Research</w:t>
      </w:r>
    </w:p>
    <w:p w14:paraId="3AC9FC10">
      <w:pPr>
        <w:widowControl/>
        <w:spacing w:line="360" w:lineRule="auto"/>
        <w:ind w:firstLine="420" w:firstLineChars="200"/>
        <w:rPr>
          <w:rFonts w:hint="default" w:ascii="Times New Roman" w:hAnsi="Times New Roman" w:eastAsia="华文中宋" w:cs="Times New Roman"/>
          <w:color w:val="auto"/>
          <w:szCs w:val="21"/>
        </w:rPr>
      </w:pPr>
      <w:r>
        <w:rPr>
          <w:rFonts w:hint="default" w:ascii="Times New Roman" w:hAnsi="Times New Roman" w:eastAsia="华文中宋" w:cs="Times New Roman"/>
          <w:color w:val="auto"/>
          <w:szCs w:val="21"/>
        </w:rPr>
        <w:t>All electrochemical measurements were carried out at room temperature using the CHI760</w:t>
      </w:r>
      <w:bookmarkStart w:id="26" w:name="OLE_LINK58"/>
      <w:bookmarkStart w:id="27" w:name="OLE_LINK59"/>
      <w:r>
        <w:rPr>
          <w:rFonts w:hint="default" w:ascii="Times New Roman" w:hAnsi="Times New Roman" w:eastAsia="华文中宋" w:cs="Times New Roman"/>
          <w:color w:val="auto"/>
          <w:szCs w:val="21"/>
        </w:rPr>
        <w:t>E electrochemical workstation within a standard three-electrode system. T</w:t>
      </w:r>
      <w:bookmarkEnd w:id="26"/>
      <w:bookmarkEnd w:id="27"/>
      <w:r>
        <w:rPr>
          <w:rFonts w:hint="default" w:ascii="Times New Roman" w:hAnsi="Times New Roman" w:eastAsia="华文中宋" w:cs="Times New Roman"/>
          <w:color w:val="auto"/>
          <w:szCs w:val="21"/>
        </w:rPr>
        <w:t>he working electrod</w:t>
      </w:r>
      <w:bookmarkStart w:id="28" w:name="OLE_LINK60"/>
      <w:bookmarkStart w:id="29" w:name="OLE_LINK61"/>
      <w:r>
        <w:rPr>
          <w:rFonts w:hint="default" w:ascii="Times New Roman" w:hAnsi="Times New Roman" w:eastAsia="华文中宋" w:cs="Times New Roman"/>
          <w:color w:val="auto"/>
          <w:szCs w:val="21"/>
        </w:rPr>
        <w:t>e was a glassy carbon electrode (GC</w:t>
      </w:r>
      <w:bookmarkEnd w:id="28"/>
      <w:bookmarkEnd w:id="29"/>
      <w:r>
        <w:rPr>
          <w:rFonts w:hint="default" w:ascii="Times New Roman" w:hAnsi="Times New Roman" w:eastAsia="华文中宋" w:cs="Times New Roman"/>
          <w:color w:val="auto"/>
          <w:szCs w:val="21"/>
        </w:rPr>
        <w:t>E), the counter electrode was a platinum foil electrode, and the refe</w:t>
      </w:r>
      <w:bookmarkStart w:id="30" w:name="OLE_LINK45"/>
      <w:bookmarkStart w:id="31" w:name="OLE_LINK44"/>
      <w:r>
        <w:rPr>
          <w:rFonts w:hint="default" w:ascii="Times New Roman" w:hAnsi="Times New Roman" w:eastAsia="华文中宋" w:cs="Times New Roman"/>
          <w:color w:val="auto"/>
          <w:szCs w:val="21"/>
        </w:rPr>
        <w:t>rence electrode was an Ag/AgCl electrode. The electrolyte w</w:t>
      </w:r>
      <w:bookmarkStart w:id="32" w:name="OLE_LINK62"/>
      <w:r>
        <w:rPr>
          <w:rFonts w:hint="default" w:ascii="Times New Roman" w:hAnsi="Times New Roman" w:eastAsia="华文中宋" w:cs="Times New Roman"/>
          <w:color w:val="auto"/>
          <w:szCs w:val="21"/>
        </w:rPr>
        <w:t>as a 0.5 M Na₂SO₄ solution. The preparation procedure of the catalyst ink is as follows: 5</w:t>
      </w:r>
      <w:bookmarkStart w:id="33" w:name="OLE_LINK79"/>
      <w:bookmarkStart w:id="34" w:name="OLE_LINK78"/>
      <w:r>
        <w:rPr>
          <w:rFonts w:hint="default" w:ascii="Times New Roman" w:hAnsi="Times New Roman" w:eastAsia="华文中宋" w:cs="Times New Roman"/>
          <w:color w:val="auto"/>
          <w:szCs w:val="21"/>
        </w:rPr>
        <w:t xml:space="preserve"> </w:t>
      </w:r>
      <w:bookmarkEnd w:id="33"/>
      <w:bookmarkEnd w:id="34"/>
      <w:r>
        <w:rPr>
          <w:rFonts w:hint="default" w:ascii="Times New Roman" w:hAnsi="Times New Roman" w:eastAsia="华文中宋" w:cs="Times New Roman"/>
          <w:color w:val="auto"/>
          <w:szCs w:val="21"/>
        </w:rPr>
        <w:t>mg of the catalyst was dispe</w:t>
      </w:r>
      <w:bookmarkEnd w:id="30"/>
      <w:bookmarkEnd w:id="31"/>
      <w:r>
        <w:rPr>
          <w:rFonts w:hint="default" w:ascii="Times New Roman" w:hAnsi="Times New Roman" w:eastAsia="华文中宋" w:cs="Times New Roman"/>
          <w:color w:val="auto"/>
          <w:szCs w:val="21"/>
        </w:rPr>
        <w:t>rsed in a mixed solvent consisting of 335 μL isopropanol, 145 μL deionized water, and 20 μL of a 5% Nafion solution. The resulting suspension was subjected to ultrasonic treatment for 30 minutes to guarantee uniform dispersion. Subsequently, the obtained suspension was dropped onto the surface of the GCE and allowed to dry naturally at room temperature to form a film. This process was repeated, and then the film was left to air-dry naturally.</w:t>
      </w:r>
    </w:p>
    <w:bookmarkEnd w:id="32"/>
    <w:p w14:paraId="3EF885C9">
      <w:pPr>
        <w:widowControl/>
        <w:jc w:val="left"/>
        <w:rPr>
          <w:rFonts w:hint="default" w:ascii="Times New Roman" w:hAnsi="Times New Roman" w:cs="Times New Roman"/>
          <w:color w:val="auto"/>
          <w:sz w:val="20"/>
          <w:szCs w:val="20"/>
        </w:rPr>
      </w:pPr>
      <w:r>
        <w:rPr>
          <w:rFonts w:hint="default" w:ascii="Times New Roman" w:hAnsi="Times New Roman" w:cs="Times New Roman"/>
          <w:color w:val="auto"/>
          <w:sz w:val="20"/>
          <w:szCs w:val="20"/>
        </w:rPr>
        <w:br w:type="page"/>
      </w:r>
    </w:p>
    <w:p w14:paraId="4DF6043B">
      <w:pPr>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5274310" cy="3199130"/>
            <wp:effectExtent l="0" t="0" r="2540"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noChangeArrowheads="1"/>
                    </pic:cNvPicPr>
                  </pic:nvPicPr>
                  <pic:blipFill>
                    <a:blip r:embed="rId4"/>
                    <a:srcRect/>
                    <a:stretch>
                      <a:fillRect/>
                    </a:stretch>
                  </pic:blipFill>
                  <pic:spPr>
                    <a:xfrm>
                      <a:off x="0" y="0"/>
                      <a:ext cx="5274310" cy="3199330"/>
                    </a:xfrm>
                    <a:prstGeom prst="rect">
                      <a:avLst/>
                    </a:prstGeom>
                    <a:noFill/>
                    <a:ln w="9525">
                      <a:noFill/>
                      <a:miter lim="800000"/>
                      <a:headEnd/>
                      <a:tailEnd/>
                    </a:ln>
                  </pic:spPr>
                </pic:pic>
              </a:graphicData>
            </a:graphic>
          </wp:inline>
        </w:drawing>
      </w:r>
    </w:p>
    <w:p w14:paraId="53C0A00C">
      <w:pPr>
        <w:spacing w:line="360" w:lineRule="auto"/>
        <w:jc w:val="center"/>
        <w:rPr>
          <w:rFonts w:hint="default" w:ascii="Times New Roman" w:hAnsi="Times New Roman" w:cs="Times New Roman"/>
          <w:color w:val="auto"/>
        </w:rPr>
      </w:pPr>
      <w:r>
        <w:rPr>
          <w:rFonts w:hint="default" w:ascii="Times New Roman" w:hAnsi="Times New Roman" w:cs="Times New Roman"/>
          <w:color w:val="auto"/>
          <w:sz w:val="20"/>
          <w:szCs w:val="20"/>
        </w:rPr>
        <w:t xml:space="preserve">Fig. S1 </w:t>
      </w:r>
      <w:r>
        <w:rPr>
          <w:rFonts w:hint="default" w:ascii="Times New Roman" w:hAnsi="Times New Roman" w:eastAsia="微软雅黑" w:cs="Times New Roman"/>
          <w:color w:val="auto"/>
          <w:sz w:val="20"/>
          <w:szCs w:val="20"/>
        </w:rPr>
        <w:t>SEM images of (a) FePd</w:t>
      </w:r>
      <w:r>
        <w:rPr>
          <w:rFonts w:hint="default" w:ascii="Times New Roman" w:hAnsi="Times New Roman" w:eastAsia="微软雅黑" w:cs="Times New Roman"/>
          <w:color w:val="auto"/>
          <w:sz w:val="20"/>
          <w:szCs w:val="20"/>
          <w:vertAlign w:val="subscript"/>
        </w:rPr>
        <w:t>2</w:t>
      </w:r>
      <w:r>
        <w:rPr>
          <w:rFonts w:hint="default" w:ascii="Times New Roman" w:hAnsi="Times New Roman" w:eastAsia="微软雅黑" w:cs="Times New Roman"/>
          <w:color w:val="auto"/>
          <w:sz w:val="20"/>
          <w:szCs w:val="20"/>
        </w:rPr>
        <w:t>S</w:t>
      </w:r>
      <w:r>
        <w:rPr>
          <w:rFonts w:hint="default" w:ascii="Times New Roman" w:hAnsi="Times New Roman" w:eastAsia="微软雅黑" w:cs="Times New Roman"/>
          <w:color w:val="auto"/>
          <w:sz w:val="20"/>
          <w:szCs w:val="20"/>
          <w:vertAlign w:val="subscript"/>
        </w:rPr>
        <w:t>4</w:t>
      </w:r>
      <w:r>
        <w:rPr>
          <w:rFonts w:hint="default" w:ascii="Times New Roman" w:hAnsi="Times New Roman" w:eastAsia="微软雅黑" w:cs="Times New Roman"/>
          <w:color w:val="auto"/>
          <w:sz w:val="20"/>
          <w:szCs w:val="20"/>
        </w:rPr>
        <w:t>, (b) FePd</w:t>
      </w:r>
      <w:r>
        <w:rPr>
          <w:rFonts w:hint="default" w:ascii="Times New Roman" w:hAnsi="Times New Roman" w:eastAsia="微软雅黑" w:cs="Times New Roman"/>
          <w:color w:val="auto"/>
          <w:sz w:val="20"/>
          <w:szCs w:val="20"/>
          <w:vertAlign w:val="subscript"/>
        </w:rPr>
        <w:t>2</w:t>
      </w:r>
      <w:r>
        <w:rPr>
          <w:rFonts w:hint="default" w:ascii="Times New Roman" w:hAnsi="Times New Roman" w:eastAsia="微软雅黑" w:cs="Times New Roman"/>
          <w:color w:val="auto"/>
          <w:sz w:val="20"/>
          <w:szCs w:val="20"/>
        </w:rPr>
        <w:t>O</w:t>
      </w:r>
      <w:r>
        <w:rPr>
          <w:rFonts w:hint="default" w:ascii="Times New Roman" w:hAnsi="Times New Roman" w:eastAsia="微软雅黑" w:cs="Times New Roman"/>
          <w:color w:val="auto"/>
          <w:sz w:val="20"/>
          <w:szCs w:val="20"/>
          <w:vertAlign w:val="subscript"/>
        </w:rPr>
        <w:t>3</w:t>
      </w:r>
      <w:r>
        <w:rPr>
          <w:rFonts w:hint="eastAsia" w:ascii="Times New Roman" w:hAnsi="Times New Roman" w:eastAsia="微软雅黑" w:cs="Times New Roman"/>
          <w:color w:val="auto"/>
          <w:sz w:val="20"/>
          <w:szCs w:val="20"/>
          <w:lang w:val="en-US" w:eastAsia="zh-CN"/>
        </w:rPr>
        <w:t>;</w:t>
      </w:r>
      <w:r>
        <w:rPr>
          <w:rFonts w:hint="default" w:ascii="Times New Roman" w:hAnsi="Times New Roman" w:eastAsia="微软雅黑" w:cs="Times New Roman"/>
          <w:color w:val="auto"/>
          <w:sz w:val="20"/>
          <w:szCs w:val="20"/>
        </w:rPr>
        <w:t xml:space="preserve"> (c) EDS Spectrum and</w:t>
      </w:r>
      <w:r>
        <w:rPr>
          <w:rFonts w:hint="eastAsia" w:ascii="Times New Roman" w:hAnsi="Times New Roman" w:eastAsia="微软雅黑" w:cs="Times New Roman"/>
          <w:color w:val="auto"/>
          <w:sz w:val="20"/>
          <w:szCs w:val="20"/>
          <w:lang w:val="en-US" w:eastAsia="zh-CN"/>
        </w:rPr>
        <w:t xml:space="preserve"> </w:t>
      </w:r>
      <w:r>
        <w:rPr>
          <w:rFonts w:hint="default" w:ascii="Times New Roman" w:hAnsi="Times New Roman" w:eastAsia="微软雅黑" w:cs="Times New Roman"/>
          <w:color w:val="auto"/>
          <w:sz w:val="20"/>
          <w:szCs w:val="20"/>
        </w:rPr>
        <w:t>(d)TEM images of FePd</w:t>
      </w:r>
      <w:r>
        <w:rPr>
          <w:rFonts w:hint="default" w:ascii="Times New Roman" w:hAnsi="Times New Roman" w:eastAsia="微软雅黑" w:cs="Times New Roman"/>
          <w:color w:val="auto"/>
          <w:sz w:val="20"/>
          <w:szCs w:val="20"/>
          <w:vertAlign w:val="subscript"/>
        </w:rPr>
        <w:t>2</w:t>
      </w:r>
      <w:r>
        <w:rPr>
          <w:rFonts w:hint="default" w:ascii="Times New Roman" w:hAnsi="Times New Roman" w:eastAsia="微软雅黑" w:cs="Times New Roman"/>
          <w:color w:val="auto"/>
          <w:sz w:val="20"/>
          <w:szCs w:val="20"/>
        </w:rPr>
        <w:t>S</w:t>
      </w:r>
      <w:r>
        <w:rPr>
          <w:rFonts w:hint="default" w:ascii="Times New Roman" w:hAnsi="Times New Roman" w:eastAsia="微软雅黑" w:cs="Times New Roman"/>
          <w:color w:val="auto"/>
          <w:sz w:val="20"/>
          <w:szCs w:val="20"/>
          <w:vertAlign w:val="subscript"/>
        </w:rPr>
        <w:t>4</w:t>
      </w:r>
    </w:p>
    <w:p w14:paraId="7772BC2E">
      <w:pPr>
        <w:widowControl/>
        <w:jc w:val="left"/>
        <w:rPr>
          <w:rFonts w:hint="default" w:ascii="Times New Roman" w:hAnsi="Times New Roman" w:cs="Times New Roman"/>
          <w:color w:val="auto"/>
        </w:rPr>
      </w:pPr>
    </w:p>
    <w:p w14:paraId="2440911C">
      <w:pPr>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5274310" cy="2061210"/>
            <wp:effectExtent l="0" t="0" r="25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5"/>
                    <a:srcRect/>
                    <a:stretch>
                      <a:fillRect/>
                    </a:stretch>
                  </pic:blipFill>
                  <pic:spPr>
                    <a:xfrm>
                      <a:off x="0" y="0"/>
                      <a:ext cx="5274310" cy="2061736"/>
                    </a:xfrm>
                    <a:prstGeom prst="rect">
                      <a:avLst/>
                    </a:prstGeom>
                    <a:noFill/>
                    <a:ln w="9525">
                      <a:noFill/>
                      <a:miter lim="800000"/>
                      <a:headEnd/>
                      <a:tailEnd/>
                    </a:ln>
                  </pic:spPr>
                </pic:pic>
              </a:graphicData>
            </a:graphic>
          </wp:inline>
        </w:drawing>
      </w:r>
    </w:p>
    <w:p w14:paraId="34A0E893">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Fig. S</w:t>
      </w:r>
      <w:r>
        <w:rPr>
          <w:rFonts w:hint="default" w:ascii="Times New Roman" w:hAnsi="Times New Roman" w:cs="Times New Roman"/>
          <w:color w:val="auto"/>
          <w:sz w:val="20"/>
          <w:szCs w:val="20"/>
          <w:lang w:val="en-US" w:eastAsia="zh-CN"/>
        </w:rPr>
        <w:t xml:space="preserve">2 </w:t>
      </w:r>
      <w:r>
        <w:rPr>
          <w:rFonts w:hint="default" w:ascii="Times New Roman" w:hAnsi="Times New Roman" w:cs="Times New Roman"/>
          <w:color w:val="auto"/>
          <w:sz w:val="20"/>
          <w:szCs w:val="20"/>
        </w:rPr>
        <w:t>XRD patterns of the synthesized (a) FePd</w:t>
      </w:r>
      <w:r>
        <w:rPr>
          <w:rFonts w:hint="default" w:ascii="Times New Roman" w:hAnsi="Times New Roman" w:cs="Times New Roman"/>
          <w:color w:val="auto"/>
          <w:sz w:val="20"/>
          <w:szCs w:val="20"/>
          <w:vertAlign w:val="subscript"/>
        </w:rPr>
        <w:t>2</w:t>
      </w:r>
      <w:r>
        <w:rPr>
          <w:rFonts w:hint="default" w:ascii="Times New Roman" w:hAnsi="Times New Roman" w:cs="Times New Roman"/>
          <w:color w:val="auto"/>
          <w:sz w:val="20"/>
          <w:szCs w:val="20"/>
        </w:rPr>
        <w:t>S</w:t>
      </w:r>
      <w:r>
        <w:rPr>
          <w:rFonts w:hint="default" w:ascii="Times New Roman" w:hAnsi="Times New Roman" w:cs="Times New Roman"/>
          <w:color w:val="auto"/>
          <w:sz w:val="20"/>
          <w:szCs w:val="20"/>
          <w:vertAlign w:val="subscript"/>
        </w:rPr>
        <w:t>4</w:t>
      </w:r>
      <w:r>
        <w:rPr>
          <w:rFonts w:hint="default" w:ascii="Times New Roman" w:hAnsi="Times New Roman" w:cs="Times New Roman"/>
          <w:color w:val="auto"/>
          <w:sz w:val="20"/>
          <w:szCs w:val="20"/>
        </w:rPr>
        <w:t xml:space="preserve"> and (b)</w:t>
      </w:r>
      <w:r>
        <w:rPr>
          <w:rFonts w:hint="default" w:ascii="Times New Roman" w:hAnsi="Times New Roman" w:cs="Times New Roman"/>
          <w:color w:val="auto"/>
          <w:kern w:val="0"/>
          <w:sz w:val="20"/>
          <w:szCs w:val="20"/>
        </w:rPr>
        <w:t xml:space="preserve"> FePd</w:t>
      </w:r>
      <w:r>
        <w:rPr>
          <w:rFonts w:hint="default" w:ascii="Times New Roman" w:hAnsi="Times New Roman" w:cs="Times New Roman"/>
          <w:color w:val="auto"/>
          <w:kern w:val="0"/>
          <w:sz w:val="20"/>
          <w:szCs w:val="20"/>
          <w:vertAlign w:val="subscript"/>
        </w:rPr>
        <w:t>2</w:t>
      </w:r>
      <w:r>
        <w:rPr>
          <w:rFonts w:hint="default" w:ascii="Times New Roman" w:hAnsi="Times New Roman" w:cs="Times New Roman"/>
          <w:color w:val="auto"/>
          <w:kern w:val="0"/>
          <w:sz w:val="20"/>
          <w:szCs w:val="20"/>
        </w:rPr>
        <w:t>O</w:t>
      </w:r>
      <w:r>
        <w:rPr>
          <w:rFonts w:hint="default" w:ascii="Times New Roman" w:hAnsi="Times New Roman" w:cs="Times New Roman"/>
          <w:color w:val="auto"/>
          <w:kern w:val="0"/>
          <w:sz w:val="20"/>
          <w:szCs w:val="20"/>
          <w:vertAlign w:val="subscript"/>
        </w:rPr>
        <w:t>3</w:t>
      </w:r>
    </w:p>
    <w:p w14:paraId="47DE608D">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14:paraId="49B0BD30">
      <w:pPr>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5274310" cy="213677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srcRect/>
                    <a:stretch>
                      <a:fillRect/>
                    </a:stretch>
                  </pic:blipFill>
                  <pic:spPr>
                    <a:xfrm>
                      <a:off x="0" y="0"/>
                      <a:ext cx="5274310" cy="2136861"/>
                    </a:xfrm>
                    <a:prstGeom prst="rect">
                      <a:avLst/>
                    </a:prstGeom>
                    <a:noFill/>
                    <a:ln w="9525">
                      <a:noFill/>
                      <a:miter lim="800000"/>
                      <a:headEnd/>
                      <a:tailEnd/>
                    </a:ln>
                  </pic:spPr>
                </pic:pic>
              </a:graphicData>
            </a:graphic>
          </wp:inline>
        </w:drawing>
      </w:r>
    </w:p>
    <w:p w14:paraId="797E7C50">
      <w:pPr>
        <w:jc w:val="center"/>
        <w:rPr>
          <w:rFonts w:hint="default" w:ascii="Times New Roman" w:hAnsi="Times New Roman" w:cs="Times New Roman"/>
          <w:color w:val="auto"/>
          <w:sz w:val="20"/>
          <w:szCs w:val="20"/>
        </w:rPr>
      </w:pPr>
      <w:bookmarkStart w:id="35" w:name="OLE_LINK219"/>
      <w:r>
        <w:rPr>
          <w:rFonts w:hint="default" w:ascii="Times New Roman" w:hAnsi="Times New Roman" w:cs="Times New Roman"/>
          <w:color w:val="auto"/>
          <w:sz w:val="20"/>
          <w:szCs w:val="20"/>
        </w:rPr>
        <w:t>Fig. S</w:t>
      </w:r>
      <w:r>
        <w:rPr>
          <w:rFonts w:hint="default" w:ascii="Times New Roman" w:hAnsi="Times New Roman" w:cs="Times New Roman"/>
          <w:color w:val="auto"/>
          <w:sz w:val="20"/>
          <w:szCs w:val="20"/>
          <w:lang w:val="en-US" w:eastAsia="zh-CN"/>
        </w:rPr>
        <w:t>3</w:t>
      </w:r>
      <w:r>
        <w:rPr>
          <w:rFonts w:hint="default" w:ascii="Times New Roman" w:hAnsi="Times New Roman" w:cs="Times New Roman"/>
          <w:color w:val="auto"/>
          <w:sz w:val="20"/>
          <w:szCs w:val="20"/>
        </w:rPr>
        <w:t xml:space="preserve"> (a) N</w:t>
      </w:r>
      <w:r>
        <w:rPr>
          <w:rFonts w:hint="default" w:ascii="Times New Roman" w:hAnsi="Times New Roman" w:cs="Times New Roman"/>
          <w:color w:val="auto"/>
          <w:sz w:val="20"/>
          <w:szCs w:val="20"/>
          <w:vertAlign w:val="subscript"/>
        </w:rPr>
        <w:t>2</w:t>
      </w:r>
      <w:r>
        <w:rPr>
          <w:rFonts w:hint="default" w:ascii="Times New Roman" w:hAnsi="Times New Roman" w:cs="Times New Roman"/>
          <w:color w:val="auto"/>
          <w:sz w:val="20"/>
          <w:szCs w:val="20"/>
        </w:rPr>
        <w:t xml:space="preserve"> adsorption-desorption curves and (b) pore size distributions of the FePd</w:t>
      </w:r>
      <w:r>
        <w:rPr>
          <w:rFonts w:hint="default" w:ascii="Times New Roman" w:hAnsi="Times New Roman" w:cs="Times New Roman"/>
          <w:color w:val="auto"/>
          <w:sz w:val="20"/>
          <w:szCs w:val="20"/>
          <w:vertAlign w:val="subscript"/>
        </w:rPr>
        <w:t>2</w:t>
      </w:r>
      <w:r>
        <w:rPr>
          <w:rFonts w:hint="default" w:ascii="Times New Roman" w:hAnsi="Times New Roman" w:cs="Times New Roman"/>
          <w:color w:val="auto"/>
          <w:sz w:val="20"/>
          <w:szCs w:val="20"/>
        </w:rPr>
        <w:t>S</w:t>
      </w:r>
      <w:r>
        <w:rPr>
          <w:rFonts w:hint="default" w:ascii="Times New Roman" w:hAnsi="Times New Roman" w:cs="Times New Roman"/>
          <w:color w:val="auto"/>
          <w:sz w:val="20"/>
          <w:szCs w:val="20"/>
          <w:vertAlign w:val="subscript"/>
        </w:rPr>
        <w:t>4</w:t>
      </w:r>
      <w:r>
        <w:rPr>
          <w:rFonts w:hint="default" w:ascii="Times New Roman" w:hAnsi="Times New Roman" w:cs="Times New Roman"/>
          <w:color w:val="auto"/>
          <w:sz w:val="20"/>
          <w:szCs w:val="20"/>
        </w:rPr>
        <w:t xml:space="preserve"> and FePd</w:t>
      </w:r>
      <w:r>
        <w:rPr>
          <w:rFonts w:hint="default" w:ascii="Times New Roman" w:hAnsi="Times New Roman" w:cs="Times New Roman"/>
          <w:color w:val="auto"/>
          <w:sz w:val="20"/>
          <w:szCs w:val="20"/>
          <w:vertAlign w:val="subscript"/>
        </w:rPr>
        <w:t>2</w:t>
      </w:r>
      <w:r>
        <w:rPr>
          <w:rFonts w:hint="default" w:ascii="Times New Roman" w:hAnsi="Times New Roman" w:cs="Times New Roman"/>
          <w:color w:val="auto"/>
          <w:sz w:val="20"/>
          <w:szCs w:val="20"/>
        </w:rPr>
        <w:t>O</w:t>
      </w:r>
      <w:r>
        <w:rPr>
          <w:rFonts w:hint="default" w:ascii="Times New Roman" w:hAnsi="Times New Roman" w:cs="Times New Roman"/>
          <w:color w:val="auto"/>
          <w:sz w:val="20"/>
          <w:szCs w:val="20"/>
          <w:vertAlign w:val="subscript"/>
        </w:rPr>
        <w:t>3</w:t>
      </w:r>
    </w:p>
    <w:p w14:paraId="7956E92F">
      <w:pPr>
        <w:spacing w:line="480" w:lineRule="auto"/>
        <w:rPr>
          <w:rFonts w:hint="default" w:ascii="Times New Roman" w:hAnsi="Times New Roman" w:cs="Times New Roman"/>
          <w:b/>
          <w:color w:val="auto"/>
          <w:sz w:val="24"/>
        </w:rPr>
      </w:pPr>
    </w:p>
    <w:p w14:paraId="1B4830A9">
      <w:pPr>
        <w:spacing w:line="480" w:lineRule="auto"/>
        <w:rPr>
          <w:rFonts w:hint="default" w:ascii="Times New Roman" w:hAnsi="Times New Roman" w:cs="Times New Roman"/>
          <w:b/>
          <w:color w:val="auto"/>
          <w:sz w:val="24"/>
        </w:rPr>
      </w:pPr>
    </w:p>
    <w:p w14:paraId="46B8DFDF">
      <w:pPr>
        <w:rPr>
          <w:rFonts w:hint="default" w:ascii="Times New Roman" w:hAnsi="Times New Roman" w:cs="Times New Roman"/>
          <w:color w:val="auto"/>
        </w:rPr>
      </w:pPr>
    </w:p>
    <w:bookmarkEnd w:id="35"/>
    <w:p w14:paraId="5CEB3937">
      <w:pPr>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3807460" cy="3070225"/>
            <wp:effectExtent l="19050" t="0" r="204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7" cstate="print"/>
                    <a:srcRect l="9755" t="9921" r="13592" b="2065"/>
                    <a:stretch>
                      <a:fillRect/>
                    </a:stretch>
                  </pic:blipFill>
                  <pic:spPr>
                    <a:xfrm>
                      <a:off x="0" y="0"/>
                      <a:ext cx="3807955" cy="3070800"/>
                    </a:xfrm>
                    <a:prstGeom prst="rect">
                      <a:avLst/>
                    </a:prstGeom>
                    <a:noFill/>
                    <a:ln w="9525">
                      <a:noFill/>
                      <a:miter lim="800000"/>
                      <a:headEnd/>
                      <a:tailEnd/>
                    </a:ln>
                    <a:effectLst/>
                  </pic:spPr>
                </pic:pic>
              </a:graphicData>
            </a:graphic>
          </wp:inline>
        </w:drawing>
      </w:r>
    </w:p>
    <w:p w14:paraId="616C7B23">
      <w:pPr>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Fig. S</w:t>
      </w:r>
      <w:r>
        <w:rPr>
          <w:rFonts w:hint="default" w:ascii="Times New Roman" w:hAnsi="Times New Roman" w:cs="Times New Roman"/>
          <w:color w:val="auto"/>
          <w:sz w:val="20"/>
          <w:szCs w:val="20"/>
          <w:lang w:val="en-US" w:eastAsia="zh-CN"/>
        </w:rPr>
        <w:t xml:space="preserve">4 </w:t>
      </w:r>
      <w:r>
        <w:rPr>
          <w:rFonts w:hint="default" w:ascii="Times New Roman" w:hAnsi="Times New Roman" w:eastAsia="微软雅黑" w:cs="Times New Roman"/>
          <w:color w:val="auto"/>
          <w:kern w:val="0"/>
          <w:sz w:val="20"/>
          <w:szCs w:val="20"/>
        </w:rPr>
        <w:t>XPS survey spectrum of FePd</w:t>
      </w:r>
      <w:r>
        <w:rPr>
          <w:rFonts w:hint="default" w:ascii="Times New Roman" w:hAnsi="Times New Roman" w:eastAsia="微软雅黑" w:cs="Times New Roman"/>
          <w:color w:val="auto"/>
          <w:kern w:val="0"/>
          <w:sz w:val="20"/>
          <w:szCs w:val="20"/>
          <w:vertAlign w:val="subscript"/>
        </w:rPr>
        <w:t>2</w:t>
      </w:r>
      <w:r>
        <w:rPr>
          <w:rFonts w:hint="default" w:ascii="Times New Roman" w:hAnsi="Times New Roman" w:eastAsia="微软雅黑" w:cs="Times New Roman"/>
          <w:color w:val="auto"/>
          <w:kern w:val="0"/>
          <w:sz w:val="20"/>
          <w:szCs w:val="20"/>
        </w:rPr>
        <w:t>S</w:t>
      </w:r>
      <w:r>
        <w:rPr>
          <w:rFonts w:hint="default" w:ascii="Times New Roman" w:hAnsi="Times New Roman" w:eastAsia="微软雅黑" w:cs="Times New Roman"/>
          <w:color w:val="auto"/>
          <w:kern w:val="0"/>
          <w:sz w:val="20"/>
          <w:szCs w:val="20"/>
          <w:vertAlign w:val="subscript"/>
        </w:rPr>
        <w:t>4</w:t>
      </w:r>
      <w:r>
        <w:rPr>
          <w:rFonts w:hint="default" w:ascii="Times New Roman" w:hAnsi="Times New Roman" w:eastAsia="微软雅黑" w:cs="Times New Roman"/>
          <w:color w:val="auto"/>
          <w:kern w:val="0"/>
          <w:sz w:val="20"/>
          <w:szCs w:val="20"/>
        </w:rPr>
        <w:t xml:space="preserve"> and FePd</w:t>
      </w:r>
      <w:r>
        <w:rPr>
          <w:rFonts w:hint="default" w:ascii="Times New Roman" w:hAnsi="Times New Roman" w:eastAsia="微软雅黑" w:cs="Times New Roman"/>
          <w:color w:val="auto"/>
          <w:kern w:val="0"/>
          <w:sz w:val="20"/>
          <w:szCs w:val="20"/>
          <w:vertAlign w:val="subscript"/>
        </w:rPr>
        <w:t>2</w:t>
      </w:r>
      <w:r>
        <w:rPr>
          <w:rFonts w:hint="default" w:ascii="Times New Roman" w:hAnsi="Times New Roman" w:eastAsia="微软雅黑" w:cs="Times New Roman"/>
          <w:color w:val="auto"/>
          <w:kern w:val="0"/>
          <w:sz w:val="20"/>
          <w:szCs w:val="20"/>
        </w:rPr>
        <w:t>O</w:t>
      </w:r>
      <w:r>
        <w:rPr>
          <w:rFonts w:hint="default" w:ascii="Times New Roman" w:hAnsi="Times New Roman" w:eastAsia="微软雅黑" w:cs="Times New Roman"/>
          <w:color w:val="auto"/>
          <w:kern w:val="0"/>
          <w:sz w:val="20"/>
          <w:szCs w:val="20"/>
          <w:vertAlign w:val="subscript"/>
        </w:rPr>
        <w:t>3</w:t>
      </w:r>
    </w:p>
    <w:p w14:paraId="719BF3AE">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14:paraId="18AFCD2A">
      <w:pPr>
        <w:rPr>
          <w:rFonts w:hint="eastAsia" w:ascii="Times New Roman" w:hAnsi="Times New Roman" w:cs="Times New Roman" w:eastAsiaTheme="minorEastAsia"/>
          <w:color w:val="auto"/>
          <w:sz w:val="20"/>
          <w:szCs w:val="20"/>
          <w:lang w:eastAsia="zh-CN"/>
        </w:rPr>
      </w:pPr>
      <w:r>
        <w:rPr>
          <w:rFonts w:hint="eastAsia" w:ascii="Times New Roman" w:hAnsi="Times New Roman" w:cs="Times New Roman" w:eastAsiaTheme="minorEastAsia"/>
          <w:color w:val="auto"/>
          <w:sz w:val="20"/>
          <w:szCs w:val="20"/>
          <w:lang w:eastAsia="zh-CN"/>
        </w:rPr>
        <w:drawing>
          <wp:inline distT="0" distB="0" distL="114300" distR="114300">
            <wp:extent cx="5264785" cy="2961640"/>
            <wp:effectExtent l="0" t="0" r="12065" b="10160"/>
            <wp:docPr id="1" name="图片 1" descr="260424X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60424XPS"/>
                    <pic:cNvPicPr>
                      <a:picLocks noChangeAspect="1"/>
                    </pic:cNvPicPr>
                  </pic:nvPicPr>
                  <pic:blipFill>
                    <a:blip r:embed="rId8"/>
                    <a:stretch>
                      <a:fillRect/>
                    </a:stretch>
                  </pic:blipFill>
                  <pic:spPr>
                    <a:xfrm>
                      <a:off x="0" y="0"/>
                      <a:ext cx="5264785" cy="2961640"/>
                    </a:xfrm>
                    <a:prstGeom prst="rect">
                      <a:avLst/>
                    </a:prstGeom>
                  </pic:spPr>
                </pic:pic>
              </a:graphicData>
            </a:graphic>
          </wp:inline>
        </w:drawing>
      </w:r>
    </w:p>
    <w:p w14:paraId="61682C48">
      <w:pPr>
        <w:spacing w:line="36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Fig. S</w:t>
      </w:r>
      <w:r>
        <w:rPr>
          <w:rFonts w:hint="default" w:ascii="Times New Roman" w:hAnsi="Times New Roman" w:cs="Times New Roman"/>
          <w:color w:val="auto"/>
          <w:sz w:val="20"/>
          <w:szCs w:val="20"/>
          <w:lang w:val="en-US" w:eastAsia="zh-CN"/>
        </w:rPr>
        <w:t>5</w:t>
      </w:r>
      <w:r>
        <w:rPr>
          <w:rFonts w:hint="default" w:ascii="Times New Roman" w:hAnsi="Times New Roman" w:cs="Times New Roman"/>
          <w:color w:val="auto"/>
          <w:sz w:val="20"/>
          <w:szCs w:val="20"/>
        </w:rPr>
        <w:t xml:space="preserve"> </w:t>
      </w:r>
      <w:r>
        <w:rPr>
          <w:rFonts w:hint="default" w:ascii="Times New Roman" w:hAnsi="Times New Roman" w:eastAsia="微软雅黑" w:cs="Times New Roman"/>
          <w:color w:val="auto"/>
          <w:sz w:val="20"/>
          <w:szCs w:val="20"/>
        </w:rPr>
        <w:t>The XPS high-resolution spectra of FePd</w:t>
      </w:r>
      <w:r>
        <w:rPr>
          <w:rFonts w:hint="default" w:ascii="Times New Roman" w:hAnsi="Times New Roman" w:eastAsia="微软雅黑" w:cs="Times New Roman"/>
          <w:color w:val="auto"/>
          <w:sz w:val="20"/>
          <w:szCs w:val="20"/>
          <w:vertAlign w:val="subscript"/>
        </w:rPr>
        <w:t>2</w:t>
      </w:r>
      <w:r>
        <w:rPr>
          <w:rFonts w:hint="default" w:ascii="Times New Roman" w:hAnsi="Times New Roman" w:eastAsia="微软雅黑" w:cs="Times New Roman"/>
          <w:color w:val="auto"/>
          <w:sz w:val="20"/>
          <w:szCs w:val="20"/>
        </w:rPr>
        <w:t>S</w:t>
      </w:r>
      <w:r>
        <w:rPr>
          <w:rFonts w:hint="default" w:ascii="Times New Roman" w:hAnsi="Times New Roman" w:eastAsia="微软雅黑" w:cs="Times New Roman"/>
          <w:color w:val="auto"/>
          <w:sz w:val="20"/>
          <w:szCs w:val="20"/>
          <w:vertAlign w:val="subscript"/>
        </w:rPr>
        <w:t>4</w:t>
      </w:r>
      <w:r>
        <w:rPr>
          <w:rFonts w:hint="default" w:ascii="Times New Roman" w:hAnsi="Times New Roman" w:eastAsia="微软雅黑" w:cs="Times New Roman"/>
          <w:color w:val="auto"/>
          <w:sz w:val="20"/>
          <w:szCs w:val="20"/>
        </w:rPr>
        <w:t>: (a) Fe 2p, (b) Pd 3d</w:t>
      </w:r>
      <w:r>
        <w:rPr>
          <w:rFonts w:hint="eastAsia" w:ascii="Times New Roman" w:hAnsi="Times New Roman" w:eastAsia="微软雅黑" w:cs="Times New Roman"/>
          <w:color w:val="auto"/>
          <w:sz w:val="20"/>
          <w:szCs w:val="20"/>
          <w:lang w:val="en-US" w:eastAsia="zh-CN"/>
        </w:rPr>
        <w:t xml:space="preserve"> </w:t>
      </w:r>
      <w:r>
        <w:rPr>
          <w:rFonts w:hint="default" w:ascii="Times New Roman" w:hAnsi="Times New Roman" w:eastAsia="微软雅黑" w:cs="Times New Roman"/>
          <w:color w:val="auto"/>
          <w:sz w:val="20"/>
          <w:szCs w:val="20"/>
        </w:rPr>
        <w:t>and (c)</w:t>
      </w:r>
      <w:r>
        <w:rPr>
          <w:rFonts w:hint="eastAsia" w:ascii="Times New Roman" w:hAnsi="Times New Roman" w:eastAsia="微软雅黑" w:cs="Times New Roman"/>
          <w:color w:val="auto"/>
          <w:sz w:val="20"/>
          <w:szCs w:val="20"/>
          <w:lang w:val="en-US" w:eastAsia="zh-CN"/>
        </w:rPr>
        <w:t xml:space="preserve"> </w:t>
      </w:r>
      <w:r>
        <w:rPr>
          <w:rFonts w:hint="default" w:ascii="Times New Roman" w:hAnsi="Times New Roman" w:eastAsia="微软雅黑" w:cs="Times New Roman"/>
          <w:color w:val="auto"/>
          <w:sz w:val="20"/>
          <w:szCs w:val="20"/>
        </w:rPr>
        <w:t xml:space="preserve">S 2p; </w:t>
      </w:r>
      <w:r>
        <w:rPr>
          <w:rFonts w:hint="eastAsia" w:ascii="Times New Roman" w:hAnsi="Times New Roman" w:eastAsia="微软雅黑" w:cs="Times New Roman"/>
          <w:color w:val="auto"/>
          <w:sz w:val="20"/>
          <w:szCs w:val="20"/>
          <w:lang w:val="en-US" w:eastAsia="zh-CN"/>
        </w:rPr>
        <w:t>t</w:t>
      </w:r>
      <w:r>
        <w:rPr>
          <w:rFonts w:hint="default" w:ascii="Times New Roman" w:hAnsi="Times New Roman" w:eastAsia="微软雅黑" w:cs="Times New Roman"/>
          <w:color w:val="auto"/>
          <w:sz w:val="20"/>
          <w:szCs w:val="20"/>
        </w:rPr>
        <w:t>he XPS high-resolution spectra of FePd</w:t>
      </w:r>
      <w:r>
        <w:rPr>
          <w:rFonts w:hint="default" w:ascii="Times New Roman" w:hAnsi="Times New Roman" w:eastAsia="微软雅黑" w:cs="Times New Roman"/>
          <w:color w:val="auto"/>
          <w:sz w:val="20"/>
          <w:szCs w:val="20"/>
          <w:vertAlign w:val="subscript"/>
        </w:rPr>
        <w:t>2</w:t>
      </w:r>
      <w:r>
        <w:rPr>
          <w:rFonts w:hint="default" w:ascii="Times New Roman" w:hAnsi="Times New Roman" w:eastAsia="微软雅黑" w:cs="Times New Roman"/>
          <w:color w:val="auto"/>
          <w:sz w:val="20"/>
          <w:szCs w:val="20"/>
        </w:rPr>
        <w:t>O</w:t>
      </w:r>
      <w:r>
        <w:rPr>
          <w:rFonts w:hint="default" w:ascii="Times New Roman" w:hAnsi="Times New Roman" w:eastAsia="微软雅黑" w:cs="Times New Roman"/>
          <w:color w:val="auto"/>
          <w:sz w:val="20"/>
          <w:szCs w:val="20"/>
          <w:vertAlign w:val="subscript"/>
        </w:rPr>
        <w:t>3</w:t>
      </w:r>
      <w:r>
        <w:rPr>
          <w:rFonts w:hint="default" w:ascii="Times New Roman" w:hAnsi="Times New Roman" w:eastAsia="微软雅黑" w:cs="Times New Roman"/>
          <w:color w:val="auto"/>
          <w:sz w:val="20"/>
          <w:szCs w:val="20"/>
        </w:rPr>
        <w:t>: (</w:t>
      </w:r>
      <w:r>
        <w:rPr>
          <w:rFonts w:hint="eastAsia" w:ascii="Times New Roman" w:hAnsi="Times New Roman" w:eastAsia="微软雅黑" w:cs="Times New Roman"/>
          <w:color w:val="auto"/>
          <w:sz w:val="20"/>
          <w:szCs w:val="20"/>
          <w:lang w:val="en-US" w:eastAsia="zh-CN"/>
        </w:rPr>
        <w:t>d</w:t>
      </w:r>
      <w:r>
        <w:rPr>
          <w:rFonts w:hint="default" w:ascii="Times New Roman" w:hAnsi="Times New Roman" w:eastAsia="微软雅黑" w:cs="Times New Roman"/>
          <w:color w:val="auto"/>
          <w:sz w:val="20"/>
          <w:szCs w:val="20"/>
        </w:rPr>
        <w:t>) Fe 2p, (</w:t>
      </w:r>
      <w:r>
        <w:rPr>
          <w:rFonts w:hint="eastAsia" w:ascii="Times New Roman" w:hAnsi="Times New Roman" w:eastAsia="微软雅黑" w:cs="Times New Roman"/>
          <w:color w:val="auto"/>
          <w:sz w:val="20"/>
          <w:szCs w:val="20"/>
          <w:lang w:val="en-US" w:eastAsia="zh-CN"/>
        </w:rPr>
        <w:t>e</w:t>
      </w:r>
      <w:r>
        <w:rPr>
          <w:rFonts w:hint="default" w:ascii="Times New Roman" w:hAnsi="Times New Roman" w:eastAsia="微软雅黑" w:cs="Times New Roman"/>
          <w:color w:val="auto"/>
          <w:sz w:val="20"/>
          <w:szCs w:val="20"/>
        </w:rPr>
        <w:t xml:space="preserve">) </w:t>
      </w:r>
      <w:r>
        <w:rPr>
          <w:rFonts w:hint="default" w:ascii="Times New Roman" w:hAnsi="Times New Roman" w:eastAsia="微软雅黑" w:cs="Times New Roman"/>
          <w:color w:val="auto"/>
          <w:kern w:val="0"/>
          <w:sz w:val="20"/>
          <w:szCs w:val="20"/>
        </w:rPr>
        <w:t>Pd 3d</w:t>
      </w:r>
      <w:r>
        <w:rPr>
          <w:rFonts w:hint="default" w:ascii="Times New Roman" w:hAnsi="Times New Roman" w:eastAsia="微软雅黑" w:cs="Times New Roman"/>
          <w:color w:val="auto"/>
          <w:sz w:val="20"/>
          <w:szCs w:val="20"/>
        </w:rPr>
        <w:t xml:space="preserve"> and (</w:t>
      </w:r>
      <w:r>
        <w:rPr>
          <w:rFonts w:hint="eastAsia" w:ascii="Times New Roman" w:hAnsi="Times New Roman" w:eastAsia="微软雅黑" w:cs="Times New Roman"/>
          <w:color w:val="auto"/>
          <w:sz w:val="20"/>
          <w:szCs w:val="20"/>
          <w:lang w:val="en-US" w:eastAsia="zh-CN"/>
        </w:rPr>
        <w:t>f</w:t>
      </w:r>
      <w:r>
        <w:rPr>
          <w:rFonts w:hint="default" w:ascii="Times New Roman" w:hAnsi="Times New Roman" w:eastAsia="微软雅黑" w:cs="Times New Roman"/>
          <w:color w:val="auto"/>
          <w:sz w:val="20"/>
          <w:szCs w:val="20"/>
        </w:rPr>
        <w:t>) O 1s.</w:t>
      </w:r>
    </w:p>
    <w:p w14:paraId="3D1B4128">
      <w:pPr>
        <w:rPr>
          <w:rFonts w:hint="default" w:ascii="Times New Roman" w:hAnsi="Times New Roman" w:cs="Times New Roman"/>
          <w:color w:val="auto"/>
        </w:rPr>
      </w:pPr>
    </w:p>
    <w:p w14:paraId="048EDDFB">
      <w:pPr>
        <w:widowControl/>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3171825" cy="2265045"/>
            <wp:effectExtent l="19050" t="0" r="9295"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9" cstate="print"/>
                    <a:srcRect l="8361" t="7937" r="9411" b="2766"/>
                    <a:stretch>
                      <a:fillRect/>
                    </a:stretch>
                  </pic:blipFill>
                  <pic:spPr>
                    <a:xfrm>
                      <a:off x="0" y="0"/>
                      <a:ext cx="3172691" cy="2265813"/>
                    </a:xfrm>
                    <a:prstGeom prst="rect">
                      <a:avLst/>
                    </a:prstGeom>
                    <a:noFill/>
                    <a:ln w="9525">
                      <a:noFill/>
                      <a:miter lim="800000"/>
                      <a:headEnd/>
                      <a:tailEnd/>
                    </a:ln>
                    <a:effectLst/>
                  </pic:spPr>
                </pic:pic>
              </a:graphicData>
            </a:graphic>
          </wp:inline>
        </w:drawing>
      </w:r>
    </w:p>
    <w:p w14:paraId="495A7CFF">
      <w:pPr>
        <w:widowControl/>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Fig. S</w:t>
      </w:r>
      <w:r>
        <w:rPr>
          <w:rFonts w:hint="default" w:ascii="Times New Roman" w:hAnsi="Times New Roman" w:cs="Times New Roman"/>
          <w:color w:val="auto"/>
          <w:sz w:val="20"/>
          <w:szCs w:val="20"/>
          <w:lang w:val="en-US" w:eastAsia="zh-CN"/>
        </w:rPr>
        <w:t>6</w:t>
      </w:r>
      <w:r>
        <w:rPr>
          <w:rFonts w:hint="default" w:ascii="Times New Roman" w:hAnsi="Times New Roman" w:cs="Times New Roman"/>
          <w:color w:val="auto"/>
          <w:sz w:val="20"/>
          <w:szCs w:val="20"/>
        </w:rPr>
        <w:t xml:space="preserve"> Raman spectra of FePd</w:t>
      </w:r>
      <w:r>
        <w:rPr>
          <w:rFonts w:hint="default" w:ascii="Times New Roman" w:hAnsi="Times New Roman" w:cs="Times New Roman"/>
          <w:color w:val="auto"/>
          <w:sz w:val="20"/>
          <w:szCs w:val="20"/>
          <w:vertAlign w:val="subscript"/>
        </w:rPr>
        <w:t>2</w:t>
      </w:r>
      <w:r>
        <w:rPr>
          <w:rFonts w:hint="default" w:ascii="Times New Roman" w:hAnsi="Times New Roman" w:cs="Times New Roman"/>
          <w:color w:val="auto"/>
          <w:sz w:val="20"/>
          <w:szCs w:val="20"/>
        </w:rPr>
        <w:t>O</w:t>
      </w:r>
      <w:r>
        <w:rPr>
          <w:rFonts w:hint="default" w:ascii="Times New Roman" w:hAnsi="Times New Roman" w:cs="Times New Roman"/>
          <w:color w:val="auto"/>
          <w:sz w:val="20"/>
          <w:szCs w:val="20"/>
          <w:vertAlign w:val="subscript"/>
        </w:rPr>
        <w:t>3</w:t>
      </w:r>
      <w:r>
        <w:rPr>
          <w:rFonts w:hint="default" w:ascii="Times New Roman" w:hAnsi="Times New Roman" w:cs="Times New Roman"/>
          <w:color w:val="auto"/>
          <w:sz w:val="20"/>
          <w:szCs w:val="20"/>
        </w:rPr>
        <w:t xml:space="preserve"> and FePd</w:t>
      </w:r>
      <w:r>
        <w:rPr>
          <w:rFonts w:hint="default" w:ascii="Times New Roman" w:hAnsi="Times New Roman" w:cs="Times New Roman"/>
          <w:color w:val="auto"/>
          <w:sz w:val="20"/>
          <w:szCs w:val="20"/>
          <w:vertAlign w:val="subscript"/>
        </w:rPr>
        <w:t>2</w:t>
      </w:r>
      <w:r>
        <w:rPr>
          <w:rFonts w:hint="default" w:ascii="Times New Roman" w:hAnsi="Times New Roman" w:cs="Times New Roman"/>
          <w:color w:val="auto"/>
          <w:sz w:val="20"/>
          <w:szCs w:val="20"/>
        </w:rPr>
        <w:t>S</w:t>
      </w:r>
      <w:r>
        <w:rPr>
          <w:rFonts w:hint="default" w:ascii="Times New Roman" w:hAnsi="Times New Roman" w:cs="Times New Roman"/>
          <w:color w:val="auto"/>
          <w:sz w:val="20"/>
          <w:szCs w:val="20"/>
          <w:vertAlign w:val="subscript"/>
        </w:rPr>
        <w:t>4</w:t>
      </w:r>
    </w:p>
    <w:p w14:paraId="7996C679">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14:paraId="08F39566">
      <w:pPr>
        <w:spacing w:line="480" w:lineRule="auto"/>
        <w:rPr>
          <w:rFonts w:hint="default" w:ascii="Times New Roman" w:hAnsi="Times New Roman" w:cs="Times New Roman"/>
          <w:color w:val="auto"/>
          <w:sz w:val="20"/>
          <w:szCs w:val="20"/>
        </w:rPr>
      </w:pPr>
      <w:r>
        <w:rPr>
          <w:rFonts w:hint="default" w:ascii="Times New Roman" w:hAnsi="Times New Roman" w:cs="Times New Roman"/>
          <w:b/>
          <w:color w:val="auto"/>
          <w:sz w:val="20"/>
          <w:szCs w:val="20"/>
        </w:rPr>
        <w:t>Table S1</w:t>
      </w:r>
      <w:r>
        <w:rPr>
          <w:rFonts w:hint="eastAsia" w:ascii="Times New Roman" w:hAnsi="Times New Roman" w:cs="Times New Roman"/>
          <w:b/>
          <w:color w:val="auto"/>
          <w:sz w:val="20"/>
          <w:szCs w:val="20"/>
          <w:lang w:val="en-US" w:eastAsia="zh-CN"/>
        </w:rPr>
        <w:t xml:space="preserve"> </w:t>
      </w:r>
      <w:r>
        <w:rPr>
          <w:rFonts w:hint="default" w:ascii="Times New Roman" w:hAnsi="Times New Roman" w:cs="Times New Roman"/>
          <w:color w:val="auto"/>
          <w:sz w:val="20"/>
          <w:szCs w:val="20"/>
        </w:rPr>
        <w:t>The BET surface area and pore volume of two catalysts</w:t>
      </w:r>
    </w:p>
    <w:tbl>
      <w:tblPr>
        <w:tblStyle w:val="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25"/>
        <w:gridCol w:w="1914"/>
        <w:gridCol w:w="2536"/>
        <w:gridCol w:w="2447"/>
      </w:tblGrid>
      <w:tr w14:paraId="1A3CCDA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25" w:type="dxa"/>
            <w:tcBorders>
              <w:top w:val="single" w:color="auto" w:sz="12" w:space="0"/>
              <w:bottom w:val="single" w:color="auto" w:sz="4" w:space="0"/>
            </w:tcBorders>
            <w:vAlign w:val="center"/>
          </w:tcPr>
          <w:p w14:paraId="14F29BC8">
            <w:pPr>
              <w:spacing w:line="360" w:lineRule="auto"/>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Catalysts</w:t>
            </w:r>
          </w:p>
        </w:tc>
        <w:tc>
          <w:tcPr>
            <w:tcW w:w="1914" w:type="dxa"/>
            <w:tcBorders>
              <w:top w:val="single" w:color="auto" w:sz="12" w:space="0"/>
              <w:bottom w:val="single" w:color="auto" w:sz="4" w:space="0"/>
            </w:tcBorders>
            <w:vAlign w:val="center"/>
          </w:tcPr>
          <w:p w14:paraId="1D8C3767">
            <w:pPr>
              <w:spacing w:line="360" w:lineRule="auto"/>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BET surface area</w:t>
            </w:r>
          </w:p>
          <w:p w14:paraId="2DEB508D">
            <w:pPr>
              <w:spacing w:line="360" w:lineRule="auto"/>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(m</w:t>
            </w:r>
            <w:r>
              <w:rPr>
                <w:rFonts w:hint="default" w:ascii="Times New Roman" w:hAnsi="Times New Roman" w:cs="Times New Roman"/>
                <w:color w:val="auto"/>
                <w:sz w:val="16"/>
                <w:szCs w:val="16"/>
                <w:vertAlign w:val="superscript"/>
              </w:rPr>
              <w:t>2</w:t>
            </w:r>
            <w:r>
              <w:rPr>
                <w:rFonts w:hint="default" w:ascii="Times New Roman" w:hAnsi="Times New Roman" w:cs="Times New Roman"/>
                <w:color w:val="auto"/>
                <w:sz w:val="16"/>
                <w:szCs w:val="16"/>
              </w:rPr>
              <w:t xml:space="preserve"> g</w:t>
            </w:r>
            <w:r>
              <w:rPr>
                <w:rFonts w:hint="default" w:ascii="Times New Roman" w:hAnsi="Times New Roman" w:cs="Times New Roman"/>
                <w:color w:val="auto"/>
                <w:sz w:val="16"/>
                <w:szCs w:val="16"/>
                <w:vertAlign w:val="superscript"/>
              </w:rPr>
              <w:t>-1</w:t>
            </w:r>
            <w:r>
              <w:rPr>
                <w:rFonts w:hint="default" w:ascii="Times New Roman" w:hAnsi="Times New Roman" w:cs="Times New Roman"/>
                <w:color w:val="auto"/>
                <w:sz w:val="16"/>
                <w:szCs w:val="16"/>
              </w:rPr>
              <w:t>)</w:t>
            </w:r>
          </w:p>
        </w:tc>
        <w:tc>
          <w:tcPr>
            <w:tcW w:w="2536" w:type="dxa"/>
            <w:tcBorders>
              <w:top w:val="single" w:color="auto" w:sz="12" w:space="0"/>
              <w:bottom w:val="single" w:color="auto" w:sz="4" w:space="0"/>
            </w:tcBorders>
            <w:vAlign w:val="center"/>
          </w:tcPr>
          <w:p w14:paraId="0356E7C4">
            <w:pPr>
              <w:spacing w:line="360" w:lineRule="auto"/>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Pore volume</w:t>
            </w:r>
          </w:p>
          <w:p w14:paraId="4FD94421">
            <w:pPr>
              <w:spacing w:line="360" w:lineRule="auto"/>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 xml:space="preserve"> (cm</w:t>
            </w:r>
            <w:r>
              <w:rPr>
                <w:rFonts w:hint="default" w:ascii="Times New Roman" w:hAnsi="Times New Roman" w:cs="Times New Roman"/>
                <w:color w:val="auto"/>
                <w:sz w:val="16"/>
                <w:szCs w:val="16"/>
                <w:vertAlign w:val="superscript"/>
              </w:rPr>
              <w:t>3</w:t>
            </w:r>
            <w:r>
              <w:rPr>
                <w:rFonts w:hint="default" w:ascii="Times New Roman" w:hAnsi="Times New Roman" w:cs="Times New Roman"/>
                <w:color w:val="auto"/>
                <w:sz w:val="16"/>
                <w:szCs w:val="16"/>
              </w:rPr>
              <w:t xml:space="preserve"> g</w:t>
            </w:r>
            <w:r>
              <w:rPr>
                <w:rFonts w:hint="default" w:ascii="Times New Roman" w:hAnsi="Times New Roman" w:cs="Times New Roman"/>
                <w:color w:val="auto"/>
                <w:sz w:val="16"/>
                <w:szCs w:val="16"/>
                <w:vertAlign w:val="superscript"/>
              </w:rPr>
              <w:t>-1</w:t>
            </w:r>
            <w:r>
              <w:rPr>
                <w:rFonts w:hint="default" w:ascii="Times New Roman" w:hAnsi="Times New Roman" w:cs="Times New Roman"/>
                <w:color w:val="auto"/>
                <w:sz w:val="16"/>
                <w:szCs w:val="16"/>
              </w:rPr>
              <w:t>)</w:t>
            </w:r>
          </w:p>
        </w:tc>
        <w:tc>
          <w:tcPr>
            <w:tcW w:w="2447" w:type="dxa"/>
            <w:tcBorders>
              <w:top w:val="single" w:color="auto" w:sz="12" w:space="0"/>
              <w:bottom w:val="single" w:color="auto" w:sz="4" w:space="0"/>
            </w:tcBorders>
          </w:tcPr>
          <w:p w14:paraId="649D908D">
            <w:pPr>
              <w:spacing w:line="360" w:lineRule="auto"/>
              <w:jc w:val="center"/>
              <w:rPr>
                <w:rFonts w:hint="default" w:ascii="Times New Roman" w:hAnsi="Times New Roman" w:cs="Times New Roman"/>
                <w:color w:val="auto"/>
                <w:sz w:val="16"/>
                <w:szCs w:val="16"/>
                <w:lang w:val="it-IT"/>
              </w:rPr>
            </w:pPr>
            <w:r>
              <w:rPr>
                <w:rFonts w:hint="default" w:ascii="Times New Roman" w:hAnsi="Times New Roman" w:cs="Times New Roman"/>
                <w:color w:val="auto"/>
                <w:sz w:val="16"/>
                <w:szCs w:val="16"/>
                <w:lang w:val="it-IT"/>
              </w:rPr>
              <w:t>Pore Diameter</w:t>
            </w:r>
          </w:p>
          <w:p w14:paraId="0DD440E2">
            <w:pPr>
              <w:spacing w:line="360" w:lineRule="auto"/>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lang w:val="it-IT"/>
              </w:rPr>
              <w:t>(nm)</w:t>
            </w:r>
          </w:p>
        </w:tc>
      </w:tr>
      <w:tr w14:paraId="11071D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25" w:type="dxa"/>
            <w:tcBorders>
              <w:top w:val="single" w:color="auto" w:sz="4" w:space="0"/>
            </w:tcBorders>
            <w:vAlign w:val="center"/>
          </w:tcPr>
          <w:p w14:paraId="2F919493">
            <w:pPr>
              <w:spacing w:line="360" w:lineRule="auto"/>
              <w:jc w:val="center"/>
              <w:rPr>
                <w:rFonts w:hint="default" w:ascii="Times New Roman" w:hAnsi="Times New Roman" w:cs="Times New Roman"/>
                <w:color w:val="auto"/>
                <w:sz w:val="16"/>
                <w:szCs w:val="16"/>
              </w:rPr>
            </w:pPr>
            <w:r>
              <w:rPr>
                <w:rFonts w:hint="default" w:ascii="Times New Roman" w:hAnsi="Times New Roman" w:eastAsia="微软雅黑" w:cs="Times New Roman"/>
                <w:iCs/>
                <w:color w:val="auto"/>
                <w:sz w:val="16"/>
                <w:szCs w:val="16"/>
              </w:rPr>
              <w:t>FePd</w:t>
            </w:r>
            <w:r>
              <w:rPr>
                <w:rFonts w:hint="default" w:ascii="Times New Roman" w:hAnsi="Times New Roman" w:eastAsia="微软雅黑" w:cs="Times New Roman"/>
                <w:iCs/>
                <w:color w:val="auto"/>
                <w:sz w:val="16"/>
                <w:szCs w:val="16"/>
                <w:vertAlign w:val="subscript"/>
              </w:rPr>
              <w:t>2</w:t>
            </w:r>
            <w:r>
              <w:rPr>
                <w:rFonts w:hint="default" w:ascii="Times New Roman" w:hAnsi="Times New Roman" w:eastAsia="微软雅黑" w:cs="Times New Roman"/>
                <w:iCs/>
                <w:color w:val="auto"/>
                <w:sz w:val="16"/>
                <w:szCs w:val="16"/>
              </w:rPr>
              <w:t>S</w:t>
            </w:r>
            <w:r>
              <w:rPr>
                <w:rFonts w:hint="default" w:ascii="Times New Roman" w:hAnsi="Times New Roman" w:eastAsia="微软雅黑" w:cs="Times New Roman"/>
                <w:iCs/>
                <w:color w:val="auto"/>
                <w:sz w:val="16"/>
                <w:szCs w:val="16"/>
                <w:vertAlign w:val="subscript"/>
              </w:rPr>
              <w:t>4</w:t>
            </w:r>
          </w:p>
        </w:tc>
        <w:tc>
          <w:tcPr>
            <w:tcW w:w="1914" w:type="dxa"/>
            <w:tcBorders>
              <w:top w:val="single" w:color="auto" w:sz="4" w:space="0"/>
            </w:tcBorders>
            <w:vAlign w:val="center"/>
          </w:tcPr>
          <w:p w14:paraId="415CF395">
            <w:pPr>
              <w:spacing w:line="360" w:lineRule="auto"/>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11.555</w:t>
            </w:r>
          </w:p>
        </w:tc>
        <w:tc>
          <w:tcPr>
            <w:tcW w:w="2536" w:type="dxa"/>
            <w:tcBorders>
              <w:top w:val="single" w:color="auto" w:sz="4" w:space="0"/>
            </w:tcBorders>
            <w:vAlign w:val="center"/>
          </w:tcPr>
          <w:p w14:paraId="315E4D6E">
            <w:pPr>
              <w:spacing w:line="360" w:lineRule="auto"/>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0.034</w:t>
            </w:r>
          </w:p>
        </w:tc>
        <w:tc>
          <w:tcPr>
            <w:tcW w:w="2447" w:type="dxa"/>
            <w:tcBorders>
              <w:top w:val="single" w:color="auto" w:sz="4" w:space="0"/>
            </w:tcBorders>
          </w:tcPr>
          <w:p w14:paraId="069431BF">
            <w:pPr>
              <w:spacing w:line="360" w:lineRule="auto"/>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3.296</w:t>
            </w:r>
          </w:p>
        </w:tc>
      </w:tr>
      <w:tr w14:paraId="13680CD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25" w:type="dxa"/>
            <w:vAlign w:val="center"/>
          </w:tcPr>
          <w:p w14:paraId="41EB9170">
            <w:pPr>
              <w:spacing w:line="360" w:lineRule="auto"/>
              <w:jc w:val="center"/>
              <w:rPr>
                <w:rFonts w:hint="default" w:ascii="Times New Roman" w:hAnsi="Times New Roman" w:cs="Times New Roman"/>
                <w:color w:val="auto"/>
                <w:sz w:val="16"/>
                <w:szCs w:val="16"/>
              </w:rPr>
            </w:pPr>
            <w:r>
              <w:rPr>
                <w:rFonts w:hint="default" w:ascii="Times New Roman" w:hAnsi="Times New Roman" w:eastAsia="微软雅黑" w:cs="Times New Roman"/>
                <w:iCs/>
                <w:color w:val="auto"/>
                <w:kern w:val="0"/>
                <w:sz w:val="16"/>
                <w:szCs w:val="16"/>
              </w:rPr>
              <w:t>FePd</w:t>
            </w:r>
            <w:r>
              <w:rPr>
                <w:rFonts w:hint="default" w:ascii="Times New Roman" w:hAnsi="Times New Roman" w:eastAsia="微软雅黑" w:cs="Times New Roman"/>
                <w:iCs/>
                <w:color w:val="auto"/>
                <w:kern w:val="0"/>
                <w:sz w:val="16"/>
                <w:szCs w:val="16"/>
                <w:vertAlign w:val="subscript"/>
              </w:rPr>
              <w:t>2</w:t>
            </w:r>
            <w:r>
              <w:rPr>
                <w:rFonts w:hint="default" w:ascii="Times New Roman" w:hAnsi="Times New Roman" w:eastAsia="微软雅黑" w:cs="Times New Roman"/>
                <w:iCs/>
                <w:color w:val="auto"/>
                <w:kern w:val="0"/>
                <w:sz w:val="16"/>
                <w:szCs w:val="16"/>
              </w:rPr>
              <w:t>O</w:t>
            </w:r>
            <w:r>
              <w:rPr>
                <w:rFonts w:hint="default" w:ascii="Times New Roman" w:hAnsi="Times New Roman" w:eastAsia="微软雅黑" w:cs="Times New Roman"/>
                <w:iCs/>
                <w:color w:val="auto"/>
                <w:kern w:val="0"/>
                <w:sz w:val="16"/>
                <w:szCs w:val="16"/>
                <w:vertAlign w:val="subscript"/>
              </w:rPr>
              <w:t>3</w:t>
            </w:r>
          </w:p>
        </w:tc>
        <w:tc>
          <w:tcPr>
            <w:tcW w:w="1914" w:type="dxa"/>
            <w:vAlign w:val="center"/>
          </w:tcPr>
          <w:p w14:paraId="5B804589">
            <w:pPr>
              <w:spacing w:line="360" w:lineRule="auto"/>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34.781</w:t>
            </w:r>
          </w:p>
        </w:tc>
        <w:tc>
          <w:tcPr>
            <w:tcW w:w="2536" w:type="dxa"/>
            <w:vAlign w:val="center"/>
          </w:tcPr>
          <w:p w14:paraId="53B3B2F1">
            <w:pPr>
              <w:spacing w:line="360" w:lineRule="auto"/>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0.051</w:t>
            </w:r>
          </w:p>
        </w:tc>
        <w:tc>
          <w:tcPr>
            <w:tcW w:w="2447" w:type="dxa"/>
          </w:tcPr>
          <w:p w14:paraId="7A5E9D21">
            <w:pPr>
              <w:spacing w:line="360" w:lineRule="auto"/>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3.707</w:t>
            </w:r>
          </w:p>
        </w:tc>
      </w:tr>
    </w:tbl>
    <w:p w14:paraId="68639A40">
      <w:pPr>
        <w:widowControl/>
        <w:jc w:val="left"/>
        <w:rPr>
          <w:rFonts w:hint="default" w:ascii="Times New Roman" w:hAnsi="Times New Roman" w:eastAsia="Charis SIL" w:cs="Times New Roman"/>
          <w:color w:val="auto"/>
          <w:kern w:val="0"/>
          <w:sz w:val="16"/>
          <w:szCs w:val="16"/>
        </w:rPr>
      </w:pPr>
      <w:r>
        <w:rPr>
          <w:rFonts w:hint="default" w:ascii="Times New Roman" w:hAnsi="Times New Roman" w:cs="Times New Roman"/>
          <w:color w:val="auto"/>
          <w:sz w:val="16"/>
          <w:szCs w:val="16"/>
        </w:rPr>
        <w:br w:type="page"/>
      </w:r>
    </w:p>
    <w:p w14:paraId="6873793E">
      <w:pPr>
        <w:pStyle w:val="14"/>
        <w:rPr>
          <w:rFonts w:hint="default" w:ascii="Times New Roman" w:hAnsi="Times New Roman" w:cs="Times New Roman"/>
          <w:color w:val="auto"/>
          <w:sz w:val="20"/>
          <w:szCs w:val="20"/>
        </w:rPr>
      </w:pPr>
      <w:r>
        <w:rPr>
          <w:rFonts w:hint="default" w:ascii="Times New Roman" w:hAnsi="Times New Roman" w:cs="Times New Roman"/>
          <w:color w:val="auto"/>
          <w:sz w:val="20"/>
          <w:szCs w:val="20"/>
        </w:rPr>
        <w:t>Table S2 Comparison of kinetic parameters between FePd</w:t>
      </w:r>
      <w:r>
        <w:rPr>
          <w:rFonts w:hint="default" w:ascii="Times New Roman" w:hAnsi="Times New Roman" w:cs="Times New Roman"/>
          <w:color w:val="auto"/>
          <w:sz w:val="20"/>
          <w:szCs w:val="20"/>
          <w:vertAlign w:val="subscript"/>
        </w:rPr>
        <w:t>2</w:t>
      </w:r>
      <w:r>
        <w:rPr>
          <w:rFonts w:hint="default" w:ascii="Times New Roman" w:hAnsi="Times New Roman" w:cs="Times New Roman"/>
          <w:color w:val="auto"/>
          <w:sz w:val="20"/>
          <w:szCs w:val="20"/>
        </w:rPr>
        <w:t>S</w:t>
      </w:r>
      <w:r>
        <w:rPr>
          <w:rFonts w:hint="default" w:ascii="Times New Roman" w:hAnsi="Times New Roman" w:cs="Times New Roman"/>
          <w:color w:val="auto"/>
          <w:sz w:val="20"/>
          <w:szCs w:val="20"/>
          <w:vertAlign w:val="subscript"/>
        </w:rPr>
        <w:t>4</w:t>
      </w:r>
      <w:r>
        <w:rPr>
          <w:rFonts w:hint="default" w:ascii="Times New Roman" w:hAnsi="Times New Roman" w:cs="Times New Roman"/>
          <w:color w:val="auto"/>
          <w:sz w:val="20"/>
          <w:szCs w:val="20"/>
        </w:rPr>
        <w:t xml:space="preserve"> and other preoxidase</w:t>
      </w:r>
    </w:p>
    <w:tbl>
      <w:tblPr>
        <w:tblStyle w:val="6"/>
        <w:tblW w:w="836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7"/>
        <w:gridCol w:w="925"/>
        <w:gridCol w:w="1134"/>
        <w:gridCol w:w="992"/>
        <w:gridCol w:w="1005"/>
        <w:gridCol w:w="2429"/>
      </w:tblGrid>
      <w:tr w14:paraId="388E1C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trPr>
        <w:tc>
          <w:tcPr>
            <w:tcW w:w="1877" w:type="dxa"/>
            <w:vMerge w:val="restart"/>
            <w:vAlign w:val="center"/>
          </w:tcPr>
          <w:p w14:paraId="1CAC0ECC">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Catalyst</w:t>
            </w:r>
          </w:p>
        </w:tc>
        <w:tc>
          <w:tcPr>
            <w:tcW w:w="2059" w:type="dxa"/>
            <w:gridSpan w:val="2"/>
            <w:tcBorders>
              <w:top w:val="single" w:color="auto" w:sz="4" w:space="0"/>
              <w:bottom w:val="single" w:color="auto" w:sz="4" w:space="0"/>
            </w:tcBorders>
          </w:tcPr>
          <w:p w14:paraId="5725CC7E">
            <w:pPr>
              <w:pStyle w:val="14"/>
              <w:jc w:val="center"/>
              <w:rPr>
                <w:rFonts w:hint="default" w:ascii="Times New Roman" w:hAnsi="Times New Roman" w:cs="Times New Roman"/>
                <w:color w:val="auto"/>
                <w:sz w:val="16"/>
                <w:szCs w:val="16"/>
              </w:rPr>
            </w:pPr>
            <w:r>
              <w:rPr>
                <w:rFonts w:hint="default" w:ascii="Times New Roman" w:hAnsi="Times New Roman" w:cs="Times New Roman"/>
                <w:i/>
                <w:iCs/>
                <w:color w:val="auto"/>
                <w:sz w:val="16"/>
                <w:szCs w:val="16"/>
              </w:rPr>
              <w:t>K</w:t>
            </w:r>
            <w:r>
              <w:rPr>
                <w:rFonts w:hint="default" w:ascii="Times New Roman" w:hAnsi="Times New Roman" w:cs="Times New Roman"/>
                <w:color w:val="auto"/>
                <w:sz w:val="16"/>
                <w:szCs w:val="16"/>
                <w:vertAlign w:val="subscript"/>
              </w:rPr>
              <w:t>m</w:t>
            </w:r>
            <w:r>
              <w:rPr>
                <w:rFonts w:hint="default" w:ascii="Times New Roman" w:hAnsi="Times New Roman" w:cs="Times New Roman"/>
                <w:color w:val="auto"/>
                <w:sz w:val="16"/>
                <w:szCs w:val="16"/>
              </w:rPr>
              <w:t xml:space="preserve"> (mM)</w:t>
            </w:r>
          </w:p>
        </w:tc>
        <w:tc>
          <w:tcPr>
            <w:tcW w:w="1997" w:type="dxa"/>
            <w:gridSpan w:val="2"/>
            <w:tcBorders>
              <w:top w:val="single" w:color="auto" w:sz="4" w:space="0"/>
              <w:bottom w:val="single" w:color="auto" w:sz="4" w:space="0"/>
            </w:tcBorders>
          </w:tcPr>
          <w:p w14:paraId="74AC0376">
            <w:pPr>
              <w:pStyle w:val="14"/>
              <w:jc w:val="center"/>
              <w:rPr>
                <w:rFonts w:hint="default" w:ascii="Times New Roman" w:hAnsi="Times New Roman" w:cs="Times New Roman"/>
                <w:color w:val="auto"/>
                <w:sz w:val="16"/>
                <w:szCs w:val="16"/>
              </w:rPr>
            </w:pPr>
            <w:bookmarkStart w:id="36" w:name="OLE_LINK41"/>
            <w:bookmarkStart w:id="37" w:name="OLE_LINK40"/>
            <w:r>
              <w:rPr>
                <w:rFonts w:hint="default" w:ascii="Times New Roman" w:hAnsi="Times New Roman" w:cs="Times New Roman"/>
                <w:i/>
                <w:iCs/>
                <w:color w:val="auto"/>
                <w:sz w:val="16"/>
                <w:szCs w:val="16"/>
              </w:rPr>
              <w:t>V</w:t>
            </w:r>
            <w:r>
              <w:rPr>
                <w:rFonts w:hint="default" w:ascii="Times New Roman" w:hAnsi="Times New Roman" w:cs="Times New Roman"/>
                <w:color w:val="auto"/>
                <w:sz w:val="16"/>
                <w:szCs w:val="16"/>
                <w:vertAlign w:val="subscript"/>
              </w:rPr>
              <w:t>max</w:t>
            </w:r>
            <w:r>
              <w:rPr>
                <w:rFonts w:hint="default" w:ascii="Times New Roman" w:hAnsi="Times New Roman" w:cs="Times New Roman"/>
                <w:color w:val="auto"/>
                <w:sz w:val="16"/>
                <w:szCs w:val="16"/>
              </w:rPr>
              <w:t xml:space="preserve"> (10</w:t>
            </w:r>
            <w:r>
              <w:rPr>
                <w:rFonts w:hint="default" w:ascii="Times New Roman" w:hAnsi="Times New Roman" w:cs="Times New Roman"/>
                <w:color w:val="auto"/>
                <w:sz w:val="16"/>
                <w:szCs w:val="16"/>
                <w:vertAlign w:val="superscript"/>
              </w:rPr>
              <w:t>-</w:t>
            </w:r>
            <w:r>
              <w:rPr>
                <w:rFonts w:hint="eastAsia" w:ascii="Times New Roman" w:hAnsi="Times New Roman" w:cs="Times New Roman"/>
                <w:color w:val="auto"/>
                <w:sz w:val="16"/>
                <w:szCs w:val="16"/>
                <w:vertAlign w:val="superscript"/>
                <w:lang w:val="en-US" w:eastAsia="zh-CN"/>
              </w:rPr>
              <w:t>8</w:t>
            </w:r>
            <w:r>
              <w:rPr>
                <w:rFonts w:hint="default" w:ascii="Times New Roman" w:hAnsi="Times New Roman" w:cs="Times New Roman"/>
                <w:color w:val="auto"/>
                <w:sz w:val="16"/>
                <w:szCs w:val="16"/>
              </w:rPr>
              <w:t xml:space="preserve"> M s</w:t>
            </w:r>
            <w:r>
              <w:rPr>
                <w:rFonts w:hint="default" w:ascii="Times New Roman" w:hAnsi="Times New Roman" w:cs="Times New Roman"/>
                <w:color w:val="auto"/>
                <w:sz w:val="16"/>
                <w:szCs w:val="16"/>
                <w:vertAlign w:val="superscript"/>
              </w:rPr>
              <w:t>-1</w:t>
            </w:r>
            <w:r>
              <w:rPr>
                <w:rFonts w:hint="default" w:ascii="Times New Roman" w:hAnsi="Times New Roman" w:cs="Times New Roman"/>
                <w:color w:val="auto"/>
                <w:sz w:val="16"/>
                <w:szCs w:val="16"/>
              </w:rPr>
              <w:t>)</w:t>
            </w:r>
            <w:bookmarkEnd w:id="36"/>
            <w:bookmarkEnd w:id="37"/>
          </w:p>
        </w:tc>
        <w:tc>
          <w:tcPr>
            <w:tcW w:w="2429" w:type="dxa"/>
            <w:vMerge w:val="restart"/>
            <w:vAlign w:val="center"/>
          </w:tcPr>
          <w:p w14:paraId="44869AA4">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Refs</w:t>
            </w:r>
          </w:p>
        </w:tc>
      </w:tr>
      <w:tr w14:paraId="06BC11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 w:hRule="atLeast"/>
        </w:trPr>
        <w:tc>
          <w:tcPr>
            <w:tcW w:w="1877" w:type="dxa"/>
            <w:vMerge w:val="continue"/>
            <w:tcBorders>
              <w:bottom w:val="single" w:color="auto" w:sz="4" w:space="0"/>
            </w:tcBorders>
          </w:tcPr>
          <w:p w14:paraId="6F68A68A">
            <w:pPr>
              <w:pStyle w:val="14"/>
              <w:rPr>
                <w:rFonts w:hint="default" w:ascii="Times New Roman" w:hAnsi="Times New Roman" w:cs="Times New Roman"/>
                <w:color w:val="auto"/>
                <w:sz w:val="16"/>
                <w:szCs w:val="16"/>
              </w:rPr>
            </w:pPr>
          </w:p>
        </w:tc>
        <w:tc>
          <w:tcPr>
            <w:tcW w:w="925" w:type="dxa"/>
            <w:tcBorders>
              <w:top w:val="single" w:color="auto" w:sz="4" w:space="0"/>
              <w:bottom w:val="single" w:color="auto" w:sz="4" w:space="0"/>
            </w:tcBorders>
            <w:vAlign w:val="center"/>
          </w:tcPr>
          <w:p w14:paraId="5FCAC917">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TMB</w:t>
            </w:r>
          </w:p>
        </w:tc>
        <w:tc>
          <w:tcPr>
            <w:tcW w:w="1134" w:type="dxa"/>
            <w:tcBorders>
              <w:top w:val="single" w:color="auto" w:sz="4" w:space="0"/>
              <w:bottom w:val="single" w:color="auto" w:sz="4" w:space="0"/>
            </w:tcBorders>
            <w:vAlign w:val="center"/>
          </w:tcPr>
          <w:p w14:paraId="48BFE741">
            <w:pPr>
              <w:pStyle w:val="14"/>
              <w:rPr>
                <w:rFonts w:hint="default" w:ascii="Times New Roman" w:hAnsi="Times New Roman" w:cs="Times New Roman"/>
                <w:color w:val="auto"/>
                <w:sz w:val="16"/>
                <w:szCs w:val="16"/>
              </w:rPr>
            </w:pPr>
            <w:r>
              <w:rPr>
                <w:rFonts w:hint="default" w:ascii="Times New Roman" w:hAnsi="Times New Roman" w:cs="Times New Roman"/>
                <w:color w:val="auto"/>
                <w:sz w:val="16"/>
                <w:szCs w:val="16"/>
              </w:rPr>
              <w:t xml:space="preserve"> H</w:t>
            </w:r>
            <w:r>
              <w:rPr>
                <w:rFonts w:hint="default" w:ascii="Times New Roman" w:hAnsi="Times New Roman" w:cs="Times New Roman"/>
                <w:color w:val="auto"/>
                <w:sz w:val="16"/>
                <w:szCs w:val="16"/>
                <w:vertAlign w:val="subscript"/>
              </w:rPr>
              <w:t>2</w:t>
            </w:r>
            <w:r>
              <w:rPr>
                <w:rFonts w:hint="default" w:ascii="Times New Roman" w:hAnsi="Times New Roman" w:cs="Times New Roman"/>
                <w:color w:val="auto"/>
                <w:sz w:val="16"/>
                <w:szCs w:val="16"/>
              </w:rPr>
              <w:t>O</w:t>
            </w:r>
            <w:r>
              <w:rPr>
                <w:rFonts w:hint="default" w:ascii="Times New Roman" w:hAnsi="Times New Roman" w:cs="Times New Roman"/>
                <w:color w:val="auto"/>
                <w:sz w:val="16"/>
                <w:szCs w:val="16"/>
                <w:vertAlign w:val="subscript"/>
              </w:rPr>
              <w:t>2</w:t>
            </w:r>
          </w:p>
        </w:tc>
        <w:tc>
          <w:tcPr>
            <w:tcW w:w="992" w:type="dxa"/>
            <w:tcBorders>
              <w:top w:val="single" w:color="auto" w:sz="4" w:space="0"/>
              <w:bottom w:val="single" w:color="auto" w:sz="4" w:space="0"/>
            </w:tcBorders>
            <w:vAlign w:val="center"/>
          </w:tcPr>
          <w:p w14:paraId="072B1852">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TMB</w:t>
            </w:r>
          </w:p>
        </w:tc>
        <w:tc>
          <w:tcPr>
            <w:tcW w:w="1005" w:type="dxa"/>
            <w:tcBorders>
              <w:top w:val="single" w:color="auto" w:sz="4" w:space="0"/>
              <w:bottom w:val="single" w:color="auto" w:sz="4" w:space="0"/>
            </w:tcBorders>
            <w:vAlign w:val="center"/>
          </w:tcPr>
          <w:p w14:paraId="1DE2C642">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H</w:t>
            </w:r>
            <w:r>
              <w:rPr>
                <w:rFonts w:hint="default" w:ascii="Times New Roman" w:hAnsi="Times New Roman" w:cs="Times New Roman"/>
                <w:color w:val="auto"/>
                <w:sz w:val="16"/>
                <w:szCs w:val="16"/>
                <w:vertAlign w:val="subscript"/>
              </w:rPr>
              <w:t>2</w:t>
            </w:r>
            <w:r>
              <w:rPr>
                <w:rFonts w:hint="default" w:ascii="Times New Roman" w:hAnsi="Times New Roman" w:cs="Times New Roman"/>
                <w:color w:val="auto"/>
                <w:sz w:val="16"/>
                <w:szCs w:val="16"/>
              </w:rPr>
              <w:t>O</w:t>
            </w:r>
            <w:r>
              <w:rPr>
                <w:rFonts w:hint="default" w:ascii="Times New Roman" w:hAnsi="Times New Roman" w:cs="Times New Roman"/>
                <w:color w:val="auto"/>
                <w:sz w:val="16"/>
                <w:szCs w:val="16"/>
                <w:vertAlign w:val="subscript"/>
              </w:rPr>
              <w:t>2</w:t>
            </w:r>
          </w:p>
        </w:tc>
        <w:tc>
          <w:tcPr>
            <w:tcW w:w="2429" w:type="dxa"/>
            <w:vMerge w:val="continue"/>
            <w:tcBorders>
              <w:bottom w:val="single" w:color="auto" w:sz="4" w:space="0"/>
            </w:tcBorders>
          </w:tcPr>
          <w:p w14:paraId="5F5B3485">
            <w:pPr>
              <w:pStyle w:val="14"/>
              <w:rPr>
                <w:rFonts w:hint="default" w:ascii="Times New Roman" w:hAnsi="Times New Roman" w:cs="Times New Roman"/>
                <w:color w:val="auto"/>
                <w:sz w:val="16"/>
                <w:szCs w:val="16"/>
              </w:rPr>
            </w:pPr>
          </w:p>
        </w:tc>
      </w:tr>
      <w:tr w14:paraId="3FD302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877" w:type="dxa"/>
            <w:tcBorders>
              <w:top w:val="single" w:color="auto" w:sz="4" w:space="0"/>
              <w:bottom w:val="nil"/>
            </w:tcBorders>
            <w:vAlign w:val="center"/>
          </w:tcPr>
          <w:p w14:paraId="4E0E4234">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HRP</w:t>
            </w:r>
          </w:p>
        </w:tc>
        <w:tc>
          <w:tcPr>
            <w:tcW w:w="925" w:type="dxa"/>
            <w:tcBorders>
              <w:top w:val="single" w:color="auto" w:sz="4" w:space="0"/>
              <w:bottom w:val="nil"/>
            </w:tcBorders>
            <w:vAlign w:val="center"/>
          </w:tcPr>
          <w:p w14:paraId="5F072CCF">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0.434</w:t>
            </w:r>
          </w:p>
        </w:tc>
        <w:tc>
          <w:tcPr>
            <w:tcW w:w="1134" w:type="dxa"/>
            <w:tcBorders>
              <w:top w:val="single" w:color="auto" w:sz="4" w:space="0"/>
              <w:bottom w:val="nil"/>
            </w:tcBorders>
            <w:vAlign w:val="center"/>
          </w:tcPr>
          <w:p w14:paraId="6CDC4DBE">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3.7</w:t>
            </w:r>
          </w:p>
        </w:tc>
        <w:tc>
          <w:tcPr>
            <w:tcW w:w="992" w:type="dxa"/>
            <w:tcBorders>
              <w:top w:val="single" w:color="auto" w:sz="4" w:space="0"/>
              <w:bottom w:val="nil"/>
            </w:tcBorders>
            <w:vAlign w:val="center"/>
          </w:tcPr>
          <w:p w14:paraId="639BCA4A">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10.0</w:t>
            </w:r>
          </w:p>
        </w:tc>
        <w:tc>
          <w:tcPr>
            <w:tcW w:w="1005" w:type="dxa"/>
            <w:tcBorders>
              <w:top w:val="single" w:color="auto" w:sz="4" w:space="0"/>
              <w:bottom w:val="nil"/>
            </w:tcBorders>
            <w:vAlign w:val="center"/>
          </w:tcPr>
          <w:p w14:paraId="4E56BF50">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8.71</w:t>
            </w:r>
          </w:p>
        </w:tc>
        <w:tc>
          <w:tcPr>
            <w:tcW w:w="2429" w:type="dxa"/>
            <w:tcBorders>
              <w:top w:val="single" w:color="auto" w:sz="4" w:space="0"/>
              <w:bottom w:val="nil"/>
            </w:tcBorders>
            <w:vAlign w:val="center"/>
          </w:tcPr>
          <w:p w14:paraId="6970B93D">
            <w:pPr>
              <w:pStyle w:val="14"/>
              <w:jc w:val="center"/>
              <w:rPr>
                <w:rFonts w:hint="default" w:ascii="Times New Roman" w:hAnsi="Times New Roman" w:cs="Times New Roman"/>
                <w:color w:val="auto"/>
                <w:sz w:val="16"/>
                <w:szCs w:val="16"/>
              </w:rPr>
            </w:pPr>
            <w:r>
              <w:rPr>
                <w:rFonts w:hint="default" w:ascii="Times New Roman" w:hAnsi="Times New Roman" w:eastAsia="Times New Roman"/>
                <w:color w:val="080000"/>
                <w:sz w:val="16"/>
                <w:szCs w:val="24"/>
              </w:rPr>
              <w:t>(Gao et al., 2007)</w:t>
            </w:r>
          </w:p>
        </w:tc>
      </w:tr>
      <w:tr w14:paraId="6C5DA8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877" w:type="dxa"/>
            <w:tcBorders>
              <w:top w:val="nil"/>
            </w:tcBorders>
            <w:vAlign w:val="center"/>
          </w:tcPr>
          <w:p w14:paraId="3727AA9C">
            <w:pPr>
              <w:widowControl/>
              <w:jc w:val="center"/>
              <w:rPr>
                <w:rFonts w:hint="default" w:ascii="Times New Roman" w:hAnsi="Times New Roman" w:cs="Times New Roman"/>
                <w:color w:val="auto"/>
                <w:sz w:val="16"/>
                <w:szCs w:val="16"/>
              </w:rPr>
            </w:pPr>
            <w:bookmarkStart w:id="38" w:name="OLE_LINK347"/>
            <w:bookmarkStart w:id="39" w:name="OLE_LINK373"/>
            <w:bookmarkStart w:id="40" w:name="OLE_LINK351"/>
            <w:r>
              <w:rPr>
                <w:rFonts w:hint="default" w:ascii="Times New Roman" w:hAnsi="Times New Roman" w:cs="Times New Roman"/>
                <w:color w:val="auto"/>
                <w:sz w:val="16"/>
                <w:szCs w:val="16"/>
              </w:rPr>
              <w:t>Pt hollow nanodendrites</w:t>
            </w:r>
            <w:bookmarkEnd w:id="38"/>
            <w:bookmarkEnd w:id="39"/>
          </w:p>
        </w:tc>
        <w:tc>
          <w:tcPr>
            <w:tcW w:w="925" w:type="dxa"/>
            <w:tcBorders>
              <w:top w:val="nil"/>
            </w:tcBorders>
            <w:vAlign w:val="center"/>
          </w:tcPr>
          <w:p w14:paraId="5FD591CA">
            <w:pPr>
              <w:widowControl/>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0.81</w:t>
            </w:r>
          </w:p>
        </w:tc>
        <w:tc>
          <w:tcPr>
            <w:tcW w:w="1134" w:type="dxa"/>
            <w:tcBorders>
              <w:top w:val="nil"/>
            </w:tcBorders>
            <w:vAlign w:val="center"/>
          </w:tcPr>
          <w:p w14:paraId="349B0267">
            <w:pPr>
              <w:widowControl/>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6.9</w:t>
            </w:r>
          </w:p>
        </w:tc>
        <w:tc>
          <w:tcPr>
            <w:tcW w:w="992" w:type="dxa"/>
            <w:tcBorders>
              <w:top w:val="nil"/>
            </w:tcBorders>
            <w:vAlign w:val="center"/>
          </w:tcPr>
          <w:p w14:paraId="0A6989F7">
            <w:pPr>
              <w:widowControl/>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12</w:t>
            </w:r>
          </w:p>
        </w:tc>
        <w:tc>
          <w:tcPr>
            <w:tcW w:w="1005" w:type="dxa"/>
            <w:tcBorders>
              <w:top w:val="nil"/>
            </w:tcBorders>
            <w:vAlign w:val="center"/>
          </w:tcPr>
          <w:p w14:paraId="124E1C08">
            <w:pPr>
              <w:widowControl/>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9.9</w:t>
            </w:r>
          </w:p>
        </w:tc>
        <w:tc>
          <w:tcPr>
            <w:tcW w:w="2429" w:type="dxa"/>
            <w:tcBorders>
              <w:top w:val="nil"/>
            </w:tcBorders>
            <w:vAlign w:val="center"/>
          </w:tcPr>
          <w:p w14:paraId="52405B2C">
            <w:pPr>
              <w:widowControl/>
              <w:jc w:val="center"/>
              <w:rPr>
                <w:rFonts w:hint="default" w:ascii="Times New Roman" w:hAnsi="Times New Roman" w:cs="Times New Roman"/>
                <w:color w:val="auto"/>
                <w:sz w:val="16"/>
                <w:szCs w:val="16"/>
              </w:rPr>
            </w:pPr>
            <w:r>
              <w:rPr>
                <w:rFonts w:hint="default" w:ascii="Times New Roman" w:hAnsi="Times New Roman" w:eastAsia="Times New Roman"/>
                <w:color w:val="080000"/>
                <w:sz w:val="16"/>
                <w:szCs w:val="24"/>
              </w:rPr>
              <w:t>(Ge et al., 2018)</w:t>
            </w:r>
          </w:p>
        </w:tc>
      </w:tr>
      <w:bookmarkEnd w:id="40"/>
      <w:tr w14:paraId="54EACC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877" w:type="dxa"/>
            <w:vAlign w:val="center"/>
          </w:tcPr>
          <w:p w14:paraId="4620B6B3">
            <w:pPr>
              <w:widowControl/>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Hemin-Au@MOF</w:t>
            </w:r>
          </w:p>
        </w:tc>
        <w:tc>
          <w:tcPr>
            <w:tcW w:w="925" w:type="dxa"/>
            <w:vAlign w:val="center"/>
          </w:tcPr>
          <w:p w14:paraId="4AF76FFF">
            <w:pPr>
              <w:widowControl/>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2.67</w:t>
            </w:r>
          </w:p>
        </w:tc>
        <w:tc>
          <w:tcPr>
            <w:tcW w:w="1134" w:type="dxa"/>
            <w:vAlign w:val="center"/>
          </w:tcPr>
          <w:p w14:paraId="051119A9">
            <w:pPr>
              <w:widowControl/>
              <w:jc w:val="center"/>
              <w:rPr>
                <w:rFonts w:hint="default" w:ascii="Times New Roman" w:hAnsi="Times New Roman" w:cs="Times New Roman"/>
                <w:color w:val="auto"/>
                <w:sz w:val="16"/>
                <w:szCs w:val="16"/>
              </w:rPr>
            </w:pPr>
            <w:bookmarkStart w:id="41" w:name="OLE_LINK356"/>
            <w:bookmarkStart w:id="42" w:name="OLE_LINK357"/>
            <w:r>
              <w:rPr>
                <w:rFonts w:hint="default" w:ascii="Times New Roman" w:hAnsi="Times New Roman" w:cs="Times New Roman"/>
                <w:color w:val="auto"/>
                <w:sz w:val="16"/>
                <w:szCs w:val="16"/>
              </w:rPr>
              <w:t>2.58</w:t>
            </w:r>
            <w:bookmarkEnd w:id="41"/>
            <w:bookmarkEnd w:id="42"/>
          </w:p>
        </w:tc>
        <w:tc>
          <w:tcPr>
            <w:tcW w:w="992" w:type="dxa"/>
            <w:vAlign w:val="center"/>
          </w:tcPr>
          <w:p w14:paraId="4C83F70D">
            <w:pPr>
              <w:widowControl/>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w:t>
            </w:r>
          </w:p>
        </w:tc>
        <w:tc>
          <w:tcPr>
            <w:tcW w:w="1005" w:type="dxa"/>
            <w:vAlign w:val="center"/>
          </w:tcPr>
          <w:p w14:paraId="6B4ADA75">
            <w:pPr>
              <w:widowControl/>
              <w:jc w:val="center"/>
              <w:rPr>
                <w:rFonts w:hint="default" w:ascii="Times New Roman" w:hAnsi="Times New Roman" w:cs="Times New Roman"/>
                <w:color w:val="auto"/>
                <w:sz w:val="16"/>
                <w:szCs w:val="16"/>
              </w:rPr>
            </w:pPr>
          </w:p>
        </w:tc>
        <w:tc>
          <w:tcPr>
            <w:tcW w:w="2429" w:type="dxa"/>
            <w:vAlign w:val="center"/>
          </w:tcPr>
          <w:p w14:paraId="1A41C3E3">
            <w:pPr>
              <w:widowControl/>
              <w:jc w:val="center"/>
              <w:rPr>
                <w:rFonts w:hint="default" w:ascii="Times New Roman" w:hAnsi="Times New Roman" w:cs="Times New Roman"/>
                <w:color w:val="auto"/>
                <w:sz w:val="16"/>
                <w:szCs w:val="16"/>
              </w:rPr>
            </w:pPr>
            <w:r>
              <w:rPr>
                <w:rFonts w:hint="default" w:ascii="Times New Roman" w:hAnsi="Times New Roman" w:eastAsia="Times New Roman"/>
                <w:color w:val="080000"/>
                <w:sz w:val="16"/>
                <w:szCs w:val="24"/>
              </w:rPr>
              <w:t>(Zhang et al., 2018)</w:t>
            </w:r>
          </w:p>
        </w:tc>
      </w:tr>
      <w:tr w14:paraId="70210E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877" w:type="dxa"/>
            <w:vAlign w:val="center"/>
          </w:tcPr>
          <w:p w14:paraId="6C4BCE63">
            <w:pPr>
              <w:widowControl/>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G</w:t>
            </w:r>
            <w:r>
              <w:rPr>
                <w:rFonts w:hint="default" w:ascii="Times New Roman" w:hAnsi="Times New Roman" w:cs="Times New Roman"/>
                <w:color w:val="auto"/>
                <w:sz w:val="16"/>
                <w:szCs w:val="16"/>
                <w:vertAlign w:val="subscript"/>
              </w:rPr>
              <w:t>20</w:t>
            </w:r>
            <w:r>
              <w:rPr>
                <w:rFonts w:hint="default" w:ascii="Times New Roman" w:hAnsi="Times New Roman" w:cs="Times New Roman"/>
                <w:color w:val="auto"/>
                <w:sz w:val="16"/>
                <w:szCs w:val="16"/>
              </w:rPr>
              <w:t>–Cu(II) complex</w:t>
            </w:r>
          </w:p>
        </w:tc>
        <w:tc>
          <w:tcPr>
            <w:tcW w:w="925" w:type="dxa"/>
            <w:vAlign w:val="center"/>
          </w:tcPr>
          <w:p w14:paraId="6A8A24FB">
            <w:pPr>
              <w:widowControl/>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0.257</w:t>
            </w:r>
          </w:p>
        </w:tc>
        <w:tc>
          <w:tcPr>
            <w:tcW w:w="1134" w:type="dxa"/>
            <w:vAlign w:val="center"/>
          </w:tcPr>
          <w:p w14:paraId="73EB89AF">
            <w:pPr>
              <w:widowControl/>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102.3</w:t>
            </w:r>
          </w:p>
        </w:tc>
        <w:tc>
          <w:tcPr>
            <w:tcW w:w="992" w:type="dxa"/>
            <w:vAlign w:val="center"/>
          </w:tcPr>
          <w:p w14:paraId="40DB3054">
            <w:pPr>
              <w:widowControl/>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24.29</w:t>
            </w:r>
            <w:bookmarkStart w:id="43" w:name="OLE_LINK367"/>
            <w:bookmarkStart w:id="44" w:name="OLE_LINK368"/>
          </w:p>
          <w:bookmarkEnd w:id="43"/>
          <w:bookmarkEnd w:id="44"/>
        </w:tc>
        <w:tc>
          <w:tcPr>
            <w:tcW w:w="1005" w:type="dxa"/>
            <w:vAlign w:val="center"/>
          </w:tcPr>
          <w:p w14:paraId="7D220953">
            <w:pPr>
              <w:widowControl/>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25.67</w:t>
            </w:r>
          </w:p>
        </w:tc>
        <w:tc>
          <w:tcPr>
            <w:tcW w:w="2429" w:type="dxa"/>
            <w:vAlign w:val="center"/>
          </w:tcPr>
          <w:p w14:paraId="3F0AE65F">
            <w:pPr>
              <w:widowControl/>
              <w:jc w:val="center"/>
              <w:rPr>
                <w:rFonts w:hint="default" w:ascii="Times New Roman" w:hAnsi="Times New Roman" w:cs="Times New Roman"/>
                <w:color w:val="auto"/>
                <w:sz w:val="16"/>
                <w:szCs w:val="16"/>
              </w:rPr>
            </w:pPr>
            <w:r>
              <w:rPr>
                <w:rFonts w:hint="default" w:ascii="Times New Roman" w:hAnsi="Times New Roman" w:eastAsia="Times New Roman"/>
                <w:color w:val="080000"/>
                <w:sz w:val="16"/>
                <w:szCs w:val="24"/>
              </w:rPr>
              <w:t>(Yang et al., 2016)</w:t>
            </w:r>
          </w:p>
        </w:tc>
      </w:tr>
      <w:tr w14:paraId="6BE3AA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877" w:type="dxa"/>
            <w:vAlign w:val="center"/>
          </w:tcPr>
          <w:p w14:paraId="06273BE5">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Cu-NC-700</w:t>
            </w:r>
          </w:p>
        </w:tc>
        <w:tc>
          <w:tcPr>
            <w:tcW w:w="925" w:type="dxa"/>
            <w:vAlign w:val="center"/>
          </w:tcPr>
          <w:p w14:paraId="4C05D333">
            <w:pPr>
              <w:pStyle w:val="14"/>
              <w:jc w:val="center"/>
              <w:rPr>
                <w:rFonts w:hint="default" w:ascii="Times New Roman" w:hAnsi="Times New Roman" w:eastAsia="Charis SIL" w:cs="Times New Roman"/>
                <w:color w:val="auto"/>
                <w:sz w:val="16"/>
                <w:szCs w:val="16"/>
                <w:lang w:val="en-US" w:eastAsia="zh-CN"/>
              </w:rPr>
            </w:pPr>
            <w:r>
              <w:rPr>
                <w:rFonts w:hint="default" w:ascii="Times New Roman" w:hAnsi="Times New Roman" w:cs="Times New Roman"/>
                <w:color w:val="auto"/>
                <w:sz w:val="16"/>
                <w:szCs w:val="16"/>
              </w:rPr>
              <w:t>0.</w:t>
            </w:r>
            <w:r>
              <w:rPr>
                <w:rFonts w:hint="eastAsia" w:ascii="Times New Roman" w:hAnsi="Times New Roman" w:cs="Times New Roman"/>
                <w:color w:val="auto"/>
                <w:sz w:val="16"/>
                <w:szCs w:val="16"/>
                <w:lang w:val="en-US" w:eastAsia="zh-CN"/>
              </w:rPr>
              <w:t>077</w:t>
            </w:r>
          </w:p>
        </w:tc>
        <w:tc>
          <w:tcPr>
            <w:tcW w:w="1134" w:type="dxa"/>
            <w:vAlign w:val="center"/>
          </w:tcPr>
          <w:p w14:paraId="74ABE731">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0.928</w:t>
            </w:r>
          </w:p>
        </w:tc>
        <w:tc>
          <w:tcPr>
            <w:tcW w:w="992" w:type="dxa"/>
            <w:vAlign w:val="center"/>
          </w:tcPr>
          <w:p w14:paraId="4D614EE0">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5.97</w:t>
            </w:r>
          </w:p>
        </w:tc>
        <w:tc>
          <w:tcPr>
            <w:tcW w:w="1005" w:type="dxa"/>
            <w:vAlign w:val="center"/>
          </w:tcPr>
          <w:p w14:paraId="5579E32D">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42.54</w:t>
            </w:r>
          </w:p>
        </w:tc>
        <w:tc>
          <w:tcPr>
            <w:tcW w:w="2429" w:type="dxa"/>
            <w:vAlign w:val="center"/>
          </w:tcPr>
          <w:p w14:paraId="1E0AD2F4">
            <w:pPr>
              <w:pStyle w:val="14"/>
              <w:jc w:val="center"/>
              <w:rPr>
                <w:rFonts w:hint="default" w:ascii="Times New Roman" w:hAnsi="Times New Roman" w:cs="Times New Roman"/>
                <w:color w:val="auto"/>
                <w:sz w:val="16"/>
                <w:szCs w:val="16"/>
              </w:rPr>
            </w:pPr>
            <w:r>
              <w:rPr>
                <w:rFonts w:hint="default" w:ascii="Times New Roman" w:hAnsi="Times New Roman" w:eastAsia="Times New Roman"/>
                <w:color w:val="080000"/>
                <w:sz w:val="16"/>
                <w:szCs w:val="24"/>
              </w:rPr>
              <w:t>(Hou et al., 2021)</w:t>
            </w:r>
          </w:p>
        </w:tc>
      </w:tr>
      <w:tr w14:paraId="25F49C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877" w:type="dxa"/>
            <w:vAlign w:val="center"/>
          </w:tcPr>
          <w:p w14:paraId="2C4D5A93">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FePd</w:t>
            </w:r>
            <w:r>
              <w:rPr>
                <w:rFonts w:hint="default" w:ascii="Times New Roman" w:hAnsi="Times New Roman" w:cs="Times New Roman"/>
                <w:color w:val="auto"/>
                <w:sz w:val="16"/>
                <w:szCs w:val="16"/>
                <w:vertAlign w:val="subscript"/>
              </w:rPr>
              <w:t>2</w:t>
            </w:r>
            <w:r>
              <w:rPr>
                <w:rFonts w:hint="default" w:ascii="Times New Roman" w:hAnsi="Times New Roman" w:cs="Times New Roman"/>
                <w:color w:val="auto"/>
                <w:sz w:val="16"/>
                <w:szCs w:val="16"/>
              </w:rPr>
              <w:t>S</w:t>
            </w:r>
            <w:r>
              <w:rPr>
                <w:rFonts w:hint="default" w:ascii="Times New Roman" w:hAnsi="Times New Roman" w:cs="Times New Roman"/>
                <w:color w:val="auto"/>
                <w:sz w:val="16"/>
                <w:szCs w:val="16"/>
                <w:vertAlign w:val="subscript"/>
              </w:rPr>
              <w:t>4</w:t>
            </w:r>
          </w:p>
        </w:tc>
        <w:tc>
          <w:tcPr>
            <w:tcW w:w="925" w:type="dxa"/>
            <w:vAlign w:val="center"/>
          </w:tcPr>
          <w:p w14:paraId="592D7F80">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0.204</w:t>
            </w:r>
          </w:p>
        </w:tc>
        <w:tc>
          <w:tcPr>
            <w:tcW w:w="1134" w:type="dxa"/>
            <w:vAlign w:val="center"/>
          </w:tcPr>
          <w:p w14:paraId="12466C7C">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0.0504</w:t>
            </w:r>
          </w:p>
        </w:tc>
        <w:tc>
          <w:tcPr>
            <w:tcW w:w="992" w:type="dxa"/>
            <w:vAlign w:val="center"/>
          </w:tcPr>
          <w:p w14:paraId="621AC992">
            <w:pPr>
              <w:pStyle w:val="14"/>
              <w:jc w:val="center"/>
              <w:rPr>
                <w:rFonts w:hint="default" w:ascii="Times New Roman" w:hAnsi="Times New Roman" w:cs="Times New Roman"/>
                <w:color w:val="auto"/>
                <w:sz w:val="16"/>
                <w:szCs w:val="16"/>
                <w:lang w:val="en-US"/>
              </w:rPr>
            </w:pPr>
            <w:r>
              <w:rPr>
                <w:rFonts w:hint="eastAsia" w:ascii="Times New Roman" w:hAnsi="Times New Roman" w:cs="Times New Roman"/>
                <w:color w:val="auto"/>
                <w:sz w:val="16"/>
                <w:szCs w:val="16"/>
                <w:lang w:val="en-US" w:eastAsia="zh-CN"/>
              </w:rPr>
              <w:t>277.78</w:t>
            </w:r>
          </w:p>
        </w:tc>
        <w:tc>
          <w:tcPr>
            <w:tcW w:w="1005" w:type="dxa"/>
            <w:vAlign w:val="center"/>
          </w:tcPr>
          <w:p w14:paraId="23F2002B">
            <w:pPr>
              <w:pStyle w:val="14"/>
              <w:jc w:val="center"/>
              <w:rPr>
                <w:rFonts w:hint="default" w:ascii="Times New Roman" w:hAnsi="Times New Roman" w:cs="Times New Roman"/>
                <w:color w:val="auto"/>
                <w:sz w:val="16"/>
                <w:szCs w:val="16"/>
              </w:rPr>
            </w:pPr>
            <w:r>
              <w:rPr>
                <w:rFonts w:hint="eastAsia" w:ascii="Times New Roman" w:hAnsi="Times New Roman" w:cs="Times New Roman"/>
                <w:color w:val="auto"/>
                <w:sz w:val="16"/>
                <w:szCs w:val="16"/>
                <w:lang w:val="en-US" w:eastAsia="zh-CN"/>
              </w:rPr>
              <w:t>103.37</w:t>
            </w:r>
          </w:p>
        </w:tc>
        <w:tc>
          <w:tcPr>
            <w:tcW w:w="2429" w:type="dxa"/>
            <w:vAlign w:val="center"/>
          </w:tcPr>
          <w:p w14:paraId="242CF9A6">
            <w:pPr>
              <w:pStyle w:val="14"/>
              <w:jc w:val="center"/>
              <w:rPr>
                <w:rFonts w:hint="default" w:ascii="Times New Roman" w:hAnsi="Times New Roman" w:cs="Times New Roman"/>
                <w:color w:val="auto"/>
                <w:sz w:val="16"/>
                <w:szCs w:val="16"/>
              </w:rPr>
            </w:pPr>
            <w:r>
              <w:rPr>
                <w:rFonts w:hint="default" w:ascii="Times New Roman" w:hAnsi="Times New Roman" w:cs="Times New Roman"/>
                <w:color w:val="auto"/>
                <w:sz w:val="16"/>
                <w:szCs w:val="16"/>
              </w:rPr>
              <w:t>This work</w:t>
            </w:r>
          </w:p>
        </w:tc>
      </w:tr>
    </w:tbl>
    <w:p w14:paraId="61A75DEB">
      <w:pPr>
        <w:spacing w:line="480" w:lineRule="auto"/>
        <w:rPr>
          <w:rFonts w:hint="default" w:ascii="Times New Roman" w:hAnsi="Times New Roman" w:cs="Times New Roman"/>
          <w:color w:val="auto"/>
          <w:sz w:val="18"/>
          <w:szCs w:val="18"/>
        </w:rPr>
      </w:pPr>
      <w:r>
        <w:rPr>
          <w:rFonts w:hint="default" w:ascii="Times New Roman" w:hAnsi="Times New Roman" w:cs="Times New Roman"/>
          <w:b/>
          <w:color w:val="auto"/>
          <w:szCs w:val="21"/>
        </w:rPr>
        <w:t>References</w:t>
      </w:r>
    </w:p>
    <w:p w14:paraId="68B8BF17">
      <w:pPr>
        <w:spacing w:beforeLines="0" w:afterLines="0"/>
        <w:ind w:left="400" w:hanging="400"/>
        <w:rPr>
          <w:rFonts w:hint="default"/>
          <w:sz w:val="24"/>
          <w:szCs w:val="24"/>
        </w:rPr>
      </w:pPr>
      <w:bookmarkStart w:id="45" w:name="_neb45D6B48B_D5EE_4738_9995_E388EDA58CC8"/>
      <w:r>
        <w:rPr>
          <w:rFonts w:hint="default" w:ascii="Times New Roman" w:hAnsi="Times New Roman" w:eastAsia="Times New Roman"/>
          <w:color w:val="000000"/>
          <w:sz w:val="20"/>
          <w:szCs w:val="24"/>
        </w:rPr>
        <w:t xml:space="preserve">Gao L, Zhuang J, Nie L, Zhang J, Zhang Y, Gu N, Wang T, Feng J, Yang D, Perrett S, Yan X </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2007</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 xml:space="preserve"> Intrinsic peroxidase-like activity of ferromagnetic nanoparticles. Nat Nanotechnol 2 (9)</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 xml:space="preserve"> 577-583. https://doi.org/10.1038/nnano.2007.260.</w:t>
      </w:r>
      <w:bookmarkEnd w:id="45"/>
    </w:p>
    <w:p w14:paraId="5B4A3199">
      <w:pPr>
        <w:spacing w:beforeLines="0" w:afterLines="0"/>
        <w:ind w:left="400" w:hanging="400"/>
        <w:rPr>
          <w:rFonts w:hint="default"/>
          <w:sz w:val="24"/>
          <w:szCs w:val="24"/>
        </w:rPr>
      </w:pPr>
      <w:bookmarkStart w:id="46" w:name="_neb9A6FB54A_1410_418E_9D2F_E2590B1D9540"/>
      <w:r>
        <w:rPr>
          <w:rFonts w:hint="default" w:ascii="Times New Roman" w:hAnsi="Times New Roman" w:eastAsia="Times New Roman"/>
          <w:color w:val="000000"/>
          <w:sz w:val="20"/>
          <w:szCs w:val="24"/>
        </w:rPr>
        <w:t xml:space="preserve">Ge C, Wu R, Chong Y, Fang G, Jiang X, Pan Y, Chen C, Yin JJ </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2018</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 xml:space="preserve"> Synthesis of </w:t>
      </w:r>
      <w:r>
        <w:rPr>
          <w:rFonts w:hint="eastAsia" w:ascii="Times New Roman" w:hAnsi="Times New Roman" w:eastAsia="宋体"/>
          <w:color w:val="000000"/>
          <w:sz w:val="20"/>
          <w:szCs w:val="24"/>
          <w:lang w:val="en-US" w:eastAsia="zh-CN"/>
        </w:rPr>
        <w:t>P</w:t>
      </w:r>
      <w:r>
        <w:rPr>
          <w:rFonts w:hint="default" w:ascii="Times New Roman" w:hAnsi="Times New Roman" w:eastAsia="Times New Roman"/>
          <w:color w:val="000000"/>
          <w:sz w:val="20"/>
          <w:szCs w:val="24"/>
        </w:rPr>
        <w:t>t hollow nanodendrites with enhanced peroxidase</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like activity against bacterial infections: implication for wound healing. Adv Funct Mater 28 (28)</w:t>
      </w:r>
      <w:r>
        <w:rPr>
          <w:rFonts w:hint="eastAsia" w:ascii="Times New Roman" w:hAnsi="Times New Roman" w:eastAsia="宋体"/>
          <w:color w:val="000000"/>
          <w:sz w:val="20"/>
          <w:szCs w:val="24"/>
          <w:lang w:val="en-US" w:eastAsia="zh-CN"/>
        </w:rPr>
        <w:t>:</w:t>
      </w:r>
      <w:r>
        <w:rPr>
          <w:rFonts w:hint="eastAsia" w:ascii="Times New Roman" w:hAnsi="Times New Roman" w:eastAsia="宋体" w:cs="Times New Roman"/>
          <w:color w:val="auto"/>
          <w:kern w:val="0"/>
          <w:sz w:val="21"/>
          <w:szCs w:val="21"/>
          <w:lang w:val="en-US" w:eastAsia="zh-CN" w:bidi="ar"/>
        </w:rPr>
        <w:t xml:space="preserve"> </w:t>
      </w:r>
      <w:r>
        <w:rPr>
          <w:rFonts w:hint="default" w:ascii="Times New Roman" w:hAnsi="Times New Roman" w:eastAsia="宋体" w:cs="Times New Roman"/>
          <w:color w:val="auto"/>
          <w:kern w:val="0"/>
          <w:sz w:val="21"/>
          <w:szCs w:val="21"/>
          <w:lang w:val="en-US" w:eastAsia="zh-CN" w:bidi="ar"/>
        </w:rPr>
        <w:t>1801484</w:t>
      </w:r>
      <w:r>
        <w:rPr>
          <w:rFonts w:hint="default" w:ascii="Times New Roman" w:hAnsi="Times New Roman" w:eastAsia="Times New Roman"/>
          <w:color w:val="000000"/>
          <w:sz w:val="20"/>
          <w:szCs w:val="24"/>
        </w:rPr>
        <w:t>. https://doi.org/10.1002/adfm.201801484.</w:t>
      </w:r>
      <w:bookmarkEnd w:id="46"/>
    </w:p>
    <w:p w14:paraId="53BED5AE">
      <w:pPr>
        <w:spacing w:beforeLines="0" w:afterLines="0"/>
        <w:ind w:left="400" w:hanging="400"/>
        <w:rPr>
          <w:rFonts w:hint="default"/>
          <w:sz w:val="24"/>
          <w:szCs w:val="24"/>
        </w:rPr>
      </w:pPr>
      <w:bookmarkStart w:id="47" w:name="_neb10459C7C_FB3F_4D11_A452_C6F4B3291972"/>
      <w:r>
        <w:rPr>
          <w:rFonts w:hint="default" w:ascii="Times New Roman" w:hAnsi="Times New Roman" w:eastAsia="Times New Roman"/>
          <w:color w:val="000000"/>
          <w:sz w:val="20"/>
          <w:szCs w:val="24"/>
        </w:rPr>
        <w:t xml:space="preserve">Hou Y, Lu Y, Chen Q, Zhang X, Huang Y </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2021</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 xml:space="preserve"> Ultrathin two-dimensional carbon nanosheets with highly active </w:t>
      </w:r>
      <w:r>
        <w:rPr>
          <w:rFonts w:hint="eastAsia" w:ascii="Times New Roman" w:hAnsi="Times New Roman" w:eastAsia="宋体"/>
          <w:color w:val="000000"/>
          <w:sz w:val="20"/>
          <w:szCs w:val="24"/>
          <w:lang w:val="en-US" w:eastAsia="zh-CN"/>
        </w:rPr>
        <w:t>C</w:t>
      </w:r>
      <w:r>
        <w:rPr>
          <w:rFonts w:hint="default" w:ascii="Times New Roman" w:hAnsi="Times New Roman" w:eastAsia="Times New Roman"/>
          <w:color w:val="000000"/>
          <w:sz w:val="20"/>
          <w:szCs w:val="24"/>
        </w:rPr>
        <w:t>u-</w:t>
      </w:r>
      <w:r>
        <w:rPr>
          <w:rFonts w:hint="eastAsia" w:ascii="Times New Roman" w:hAnsi="Times New Roman" w:eastAsia="宋体"/>
          <w:color w:val="000000"/>
          <w:sz w:val="20"/>
          <w:szCs w:val="24"/>
          <w:lang w:val="en-US" w:eastAsia="zh-CN"/>
        </w:rPr>
        <w:t>N</w:t>
      </w:r>
      <w:r>
        <w:rPr>
          <w:rFonts w:hint="default" w:ascii="Times New Roman" w:hAnsi="Times New Roman" w:eastAsia="Times New Roman"/>
          <w:color w:val="000000"/>
          <w:sz w:val="20"/>
          <w:szCs w:val="24"/>
        </w:rPr>
        <w:t>x sites as specific peroxidase mimic for determining total antioxidant capacity. Sens Actuators B: Chem 333</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 xml:space="preserve"> 129549. https://doi.org/10.1016/j.snb.2021.129549.</w:t>
      </w:r>
      <w:bookmarkEnd w:id="47"/>
    </w:p>
    <w:p w14:paraId="7A6098CE">
      <w:pPr>
        <w:spacing w:beforeLines="0" w:afterLines="0"/>
        <w:ind w:left="400" w:hanging="400"/>
        <w:rPr>
          <w:rFonts w:hint="default"/>
          <w:sz w:val="24"/>
          <w:szCs w:val="24"/>
        </w:rPr>
      </w:pPr>
      <w:bookmarkStart w:id="48" w:name="_nebB09EF50A_68B8_45B8_8510_16FE0D668A0F"/>
      <w:r>
        <w:rPr>
          <w:rFonts w:hint="default" w:ascii="Times New Roman" w:hAnsi="Times New Roman" w:eastAsia="Times New Roman"/>
          <w:color w:val="000000"/>
          <w:sz w:val="20"/>
          <w:szCs w:val="24"/>
        </w:rPr>
        <w:t xml:space="preserve">Yang J, Zheng L, Wang Y, Li W, Zhang J, Gu J, Fu Y </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2016</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 xml:space="preserve"> Guanine-rich dna-based peroxidase mimetics for colorimetric assays of alkaline phosphatase. Biosens Bioelectron 77</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 xml:space="preserve"> 549-556. https://doi.org/10.1016/j.bios.2015.10.003.</w:t>
      </w:r>
      <w:bookmarkEnd w:id="48"/>
    </w:p>
    <w:p w14:paraId="69303E80">
      <w:pPr>
        <w:spacing w:beforeLines="0" w:afterLines="0"/>
        <w:ind w:left="400" w:hanging="400"/>
        <w:rPr>
          <w:rFonts w:hint="default"/>
          <w:sz w:val="24"/>
          <w:szCs w:val="24"/>
        </w:rPr>
      </w:pPr>
      <w:bookmarkStart w:id="49" w:name="_neb67086D93_D431_4BEA_8999_E775DDB0ABDD"/>
      <w:r>
        <w:rPr>
          <w:rFonts w:hint="default" w:ascii="Times New Roman" w:hAnsi="Times New Roman" w:eastAsia="Times New Roman"/>
          <w:color w:val="000000"/>
          <w:sz w:val="20"/>
          <w:szCs w:val="24"/>
        </w:rPr>
        <w:t xml:space="preserve">Zhang L, Fan C, Liu M, Liu F, Bian S, Du S, Zhu S, Wang H </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2018</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 xml:space="preserve"> Biominerized gold-</w:t>
      </w:r>
      <w:r>
        <w:rPr>
          <w:rFonts w:hint="eastAsia" w:ascii="Times New Roman" w:hAnsi="Times New Roman" w:eastAsia="宋体"/>
          <w:color w:val="000000"/>
          <w:sz w:val="20"/>
          <w:szCs w:val="24"/>
          <w:lang w:val="en-US" w:eastAsia="zh-CN"/>
        </w:rPr>
        <w:t>H</w:t>
      </w:r>
      <w:r>
        <w:rPr>
          <w:rFonts w:hint="default" w:ascii="Times New Roman" w:hAnsi="Times New Roman" w:eastAsia="Times New Roman"/>
          <w:color w:val="000000"/>
          <w:sz w:val="20"/>
          <w:szCs w:val="24"/>
        </w:rPr>
        <w:t>emin@</w:t>
      </w:r>
      <w:r>
        <w:rPr>
          <w:rFonts w:hint="eastAsia" w:ascii="Times New Roman" w:hAnsi="Times New Roman" w:eastAsia="宋体"/>
          <w:color w:val="000000"/>
          <w:sz w:val="20"/>
          <w:szCs w:val="24"/>
          <w:lang w:val="en-US" w:eastAsia="zh-CN"/>
        </w:rPr>
        <w:t>MOF</w:t>
      </w:r>
      <w:r>
        <w:rPr>
          <w:rFonts w:hint="default" w:ascii="Times New Roman" w:hAnsi="Times New Roman" w:eastAsia="Times New Roman"/>
          <w:color w:val="000000"/>
          <w:sz w:val="20"/>
          <w:szCs w:val="24"/>
        </w:rPr>
        <w:t xml:space="preserve"> composites with peroxidase-like and gold catalysis activities: </w:t>
      </w:r>
      <w:r>
        <w:rPr>
          <w:rFonts w:hint="eastAsia" w:ascii="Times New Roman" w:hAnsi="Times New Roman" w:eastAsia="宋体"/>
          <w:color w:val="000000"/>
          <w:sz w:val="20"/>
          <w:szCs w:val="24"/>
          <w:lang w:val="en-US" w:eastAsia="zh-CN"/>
        </w:rPr>
        <w:t>A</w:t>
      </w:r>
      <w:r>
        <w:rPr>
          <w:rFonts w:hint="default" w:ascii="Times New Roman" w:hAnsi="Times New Roman" w:eastAsia="Times New Roman"/>
          <w:color w:val="000000"/>
          <w:sz w:val="20"/>
          <w:szCs w:val="24"/>
        </w:rPr>
        <w:t xml:space="preserve"> high-throughput colorimetric immunoassay for alpha-fetoprotein in blood by </w:t>
      </w:r>
      <w:r>
        <w:rPr>
          <w:rFonts w:hint="eastAsia" w:ascii="Times New Roman" w:hAnsi="Times New Roman" w:eastAsia="宋体"/>
          <w:color w:val="000000"/>
          <w:sz w:val="20"/>
          <w:szCs w:val="24"/>
          <w:lang w:val="en-US" w:eastAsia="zh-CN"/>
        </w:rPr>
        <w:t>ELISA</w:t>
      </w:r>
      <w:r>
        <w:rPr>
          <w:rFonts w:hint="default" w:ascii="Times New Roman" w:hAnsi="Times New Roman" w:eastAsia="Times New Roman"/>
          <w:color w:val="000000"/>
          <w:sz w:val="20"/>
          <w:szCs w:val="24"/>
        </w:rPr>
        <w:t xml:space="preserve"> and gold-catalytic silver staining. Sens Actuators B: Chem 266</w:t>
      </w:r>
      <w:r>
        <w:rPr>
          <w:rFonts w:hint="eastAsia" w:ascii="Times New Roman" w:hAnsi="Times New Roman" w:eastAsia="宋体"/>
          <w:color w:val="000000"/>
          <w:sz w:val="20"/>
          <w:szCs w:val="24"/>
          <w:lang w:val="en-US" w:eastAsia="zh-CN"/>
        </w:rPr>
        <w:t>:</w:t>
      </w:r>
      <w:r>
        <w:rPr>
          <w:rFonts w:hint="default" w:ascii="Times New Roman" w:hAnsi="Times New Roman" w:eastAsia="Times New Roman"/>
          <w:color w:val="000000"/>
          <w:sz w:val="20"/>
          <w:szCs w:val="24"/>
        </w:rPr>
        <w:t xml:space="preserve"> 543-552. https://doi.org/10.1016/j.snb.2018.03.153.</w:t>
      </w:r>
      <w:bookmarkEnd w:id="49"/>
    </w:p>
    <w:p w14:paraId="27BA22F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jc w:val="both"/>
        <w:textAlignment w:val="auto"/>
        <w:rPr>
          <w:rFonts w:hint="default" w:ascii="Times New Roman" w:hAnsi="Times New Roman" w:cs="Times New Roman"/>
          <w:color w:val="auto"/>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haris SIL">
    <w:altName w:val="微软雅黑"/>
    <w:panose1 w:val="00000000000000000000"/>
    <w:charset w:val="86"/>
    <w:family w:val="swiss"/>
    <w:pitch w:val="default"/>
    <w:sig w:usb0="00000000" w:usb1="00000000" w:usb2="0000001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6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46E7A076-6ACE-483C-838F-F99EDFC07AAA}" w:val=" ADDIN NE.Ref.{46E7A076-6ACE-483C-838F-F99EDFC07AAA}&lt;Citation&gt;&lt;Group&gt;&lt;References&gt;&lt;Item&gt;&lt;ID&gt;2302&lt;/ID&gt;&lt;UID&gt;{9A6FB54A-1410-418E-9D2F-E2590B1D9540}&lt;/UID&gt;&lt;Title&gt;Synthesis of Pt Hollow Nanodendrites with Enhanced Peroxidase‐Like Activity against Bacterial Infections: Implication for Wound Healing&lt;/Title&gt;&lt;Template&gt;Journal Article&lt;/Template&gt;&lt;Star&gt;0&lt;/Star&gt;&lt;Tag&gt;0&lt;/Tag&gt;&lt;Author&gt;Ge, Cuicui; Wu, Renfei; Chong, Yu; Fang, Ge; Jiang, Xiumei; Pan, Yue; Chen, Chunying; Yin, Jun Jie&lt;/Author&gt;&lt;Year&gt;2018&lt;/Year&gt;&lt;Details&gt;&lt;_doi&gt;10.1002/adfm.201801484&lt;/_doi&gt;&lt;_created&gt;66452910&lt;/_created&gt;&lt;_modified&gt;66452911&lt;/_modified&gt;&lt;_url&gt;http://dx.doi.org/10.1002/adfm.201801484&lt;/_url&gt;&lt;_journal&gt;Advanced Functional Materials&lt;/_journal&gt;&lt;_volume&gt;28&lt;/_volume&gt;&lt;_issue&gt;28&lt;/_issue&gt;&lt;_isbn&gt;1616-301X&lt;/_isbn&gt;&lt;_language&gt;en&lt;/_language&gt;&lt;_accessed&gt;66452911&lt;/_accessed&gt;&lt;_db_updated&gt;NESearch&lt;/_db_updated&gt;&lt;_impact_factor&gt;  19.000&lt;/_impact_factor&gt;&lt;_social_category&gt;化学：综合(1) &amp;amp; 材料科学：综合(1) &amp;amp; 纳米科技(1) &amp;amp; 物理：应用(1) &amp;amp; 物理：凝聚态物理(1)&lt;/_social_category&gt;&lt;_collection_scope&gt;SCIE;EI&lt;/_collection_scope&gt;&lt;_custom1&gt;s2&lt;/_custom1&gt;&lt;/Details&gt;&lt;Extra&gt;&lt;DBUID&gt;{A95715E5-8348-488A-A1E4-3622987EF91C}&lt;/DBUID&gt;&lt;/Extra&gt;&lt;/Item&gt;&lt;/References&gt;&lt;/Group&gt;&lt;/Citation&gt;_x000a_"/>
    <w:docVar w:name="NE.Ref{5400FE21-29FB-4714-AB64-1B5062CDC4AA}" w:val=" ADDIN NE.Ref.{5400FE21-29FB-4714-AB64-1B5062CDC4AA}&lt;Citation&gt;&lt;Group&gt;&lt;References&gt;&lt;Item&gt;&lt;ID&gt;2305&lt;/ID&gt;&lt;UID&gt;{10459C7C-FB3F-4D11-A452-C6F4B3291972}&lt;/UID&gt;&lt;Title&gt;Ultrathin two-dimensional carbon nanosheets with highly active Cu-Nx sites as specific peroxidase mimic for determining total antioxidant capacity&lt;/Title&gt;&lt;Template&gt;Journal Article&lt;/Template&gt;&lt;Star&gt;0&lt;/Star&gt;&lt;Tag&gt;0&lt;/Tag&gt;&lt;Author&gt;Hou, Yuejie; Lu, Yuwan; Chen, Qiumeng; Zhang, Xiaodan; Huang, Yuming&lt;/Author&gt;&lt;Year&gt;2021&lt;/Year&gt;&lt;Details&gt;&lt;_doi&gt;10.1016/j.snb.2021.129549&lt;/_doi&gt;&lt;_created&gt;66452910&lt;/_created&gt;&lt;_modified&gt;66452912&lt;/_modified&gt;&lt;_url&gt;https://linkinghub.elsevier.com/retrieve/pii/S0925400521001179_x000d__x000a_https://api.elsevier.com/content/article/PII:S0925400521001179?httpAccept=text/xml&lt;/_url&gt;&lt;_journal&gt;Sensors and Actuators B: Chemical&lt;/_journal&gt;&lt;_volume&gt;333&lt;/_volume&gt;&lt;_pages&gt;129549&lt;/_pages&gt;&lt;_tertiary_title&gt;Sensors and Actuators B: Chemical&lt;/_tertiary_title&gt;&lt;_isbn&gt;09254005&lt;/_isbn&gt;&lt;_accessed&gt;66452912&lt;/_accessed&gt;&lt;_db_updated&gt;CrossRef&lt;/_db_updated&gt;&lt;_impact_factor&gt;   7.700&lt;/_impact_factor&gt;&lt;_custom1&gt;s5&lt;/_custom1&gt;&lt;/Details&gt;&lt;Extra&gt;&lt;DBUID&gt;{A95715E5-8348-488A-A1E4-3622987EF91C}&lt;/DBUID&gt;&lt;/Extra&gt;&lt;/Item&gt;&lt;/References&gt;&lt;/Group&gt;&lt;/Citation&gt;_x000a_"/>
    <w:docVar w:name="NE.Ref{B4CE2F86-8104-4C84-AB11-6CAEFE583E32}" w:val=" ADDIN NE.Ref.{B4CE2F86-8104-4C84-AB11-6CAEFE583E32}&lt;Citation&gt;&lt;Group&gt;&lt;References&gt;&lt;Item&gt;&lt;ID&gt;2301&lt;/ID&gt;&lt;UID&gt;{45D6B48B-D5EE-4738-9995-E388EDA58CC8}&lt;/UID&gt;&lt;Title&gt;Intrinsic peroxidase-like activity of ferromagnetic nanoparticles&lt;/Title&gt;&lt;Template&gt;Journal Article&lt;/Template&gt;&lt;Star&gt;0&lt;/Star&gt;&lt;Tag&gt;0&lt;/Tag&gt;&lt;Author&gt;Gao, Lizeng; Zhuang, Jie; Nie, Leng; Zhang, Jinbin; Zhang, Yu; Gu, Ning; Wang, Taihong; Feng, Jing; Yang, Dongling; Perrett, Sarah; Yan, Xiyun&lt;/Author&gt;&lt;Year&gt;2007&lt;/Year&gt;&lt;Details&gt;&lt;_created&gt;66452910&lt;/_created&gt;&lt;_modified&gt;66452911&lt;/_modified&gt;&lt;_url&gt;http://dx.doi.org/10.1038/nnano.2007.260&lt;/_url&gt;&lt;_journal&gt;Nature Nanotechnology&lt;/_journal&gt;&lt;_volume&gt;2&lt;/_volume&gt;&lt;_issue&gt;9&lt;/_issue&gt;&lt;_pages&gt;577-583&lt;/_pages&gt;&lt;_doi&gt;10.1038/nnano.2007.260&lt;/_doi&gt;&lt;_isbn&gt;1748-3387&lt;/_isbn&gt;&lt;_language&gt;en&lt;/_language&gt;&lt;_accessed&gt;66452911&lt;/_accessed&gt;&lt;_db_updated&gt;NESearch&lt;/_db_updated&gt;&lt;_impact_factor&gt;  34.900&lt;/_impact_factor&gt;&lt;_social_category&gt;材料科学：综合(1) &amp;amp; 纳米科技(1)&lt;/_social_category&gt;&lt;_collection_scope&gt;SCIE;EI&lt;/_collection_scope&gt;&lt;_custom1&gt;s1&lt;/_custom1&gt;&lt;/Details&gt;&lt;Extra&gt;&lt;DBUID&gt;{A95715E5-8348-488A-A1E4-3622987EF91C}&lt;/DBUID&gt;&lt;/Extra&gt;&lt;/Item&gt;&lt;/References&gt;&lt;/Group&gt;&lt;/Citation&gt;_x000a_"/>
    <w:docVar w:name="NE.Ref{B7E620D7-E09F-41A3-A8EF-C57805DF46F3}" w:val=" ADDIN NE.Ref.{B7E620D7-E09F-41A3-A8EF-C57805DF46F3}&lt;Citation&gt;&lt;Group&gt;&lt;References&gt;&lt;Item&gt;&lt;ID&gt;2303&lt;/ID&gt;&lt;UID&gt;{67086D93-D431-4BEA-8999-E775DDB0ABDD}&lt;/UID&gt;&lt;Title&gt;Biominerized gold-Hemin@MOF composites with peroxidase-like and gold catalysis activities: A high-throughput colorimetric immunoassay for alpha-fetoprotein in blood by ELISA and gold-catalytic silver staining&lt;/Title&gt;&lt;Template&gt;Journal Article&lt;/Template&gt;&lt;Star&gt;0&lt;/Star&gt;&lt;Tag&gt;0&lt;/Tag&gt;&lt;Author&gt;Zhang, Liyan; Fan, Chuan; Liu, Min; Liu, Fengjuan; Bian, Shanshan; Du, Shuyue; Zhu, Shuyun; Wang, Hua&lt;/Author&gt;&lt;Year&gt;2018&lt;/Year&gt;&lt;Details&gt;&lt;_doi&gt;10.1016/j.snb.2018.03.153&lt;/_doi&gt;&lt;_created&gt;66452910&lt;/_created&gt;&lt;_modified&gt;66452912&lt;/_modified&gt;&lt;_url&gt;https://linkinghub.elsevier.com/retrieve/pii/S0925400518306518_x000d__x000a_https://api.elsevier.com/content/article/PII:S0925400518306518?httpAccept=text/xml&lt;/_url&gt;&lt;_journal&gt;Sensors and Actuators B: Chemical&lt;/_journal&gt;&lt;_volume&gt;266&lt;/_volume&gt;&lt;_pages&gt;543-552&lt;/_pages&gt;&lt;_tertiary_title&gt;Sensors and Actuators B: Chemical&lt;/_tertiary_title&gt;&lt;_isbn&gt;09254005&lt;/_isbn&gt;&lt;_accessed&gt;66452911&lt;/_accessed&gt;&lt;_db_updated&gt;CrossRef&lt;/_db_updated&gt;&lt;_impact_factor&gt;   7.700&lt;/_impact_factor&gt;&lt;_custom1&gt;s3&lt;/_custom1&gt;&lt;/Details&gt;&lt;Extra&gt;&lt;DBUID&gt;{A95715E5-8348-488A-A1E4-3622987EF91C}&lt;/DBUID&gt;&lt;/Extra&gt;&lt;/Item&gt;&lt;/References&gt;&lt;/Group&gt;&lt;/Citation&gt;_x000a_"/>
    <w:docVar w:name="NE.Ref{E9EA3807-8686-4DFE-9E1E-0206317851BF}" w:val=" ADDIN NE.Ref.{E9EA3807-8686-4DFE-9E1E-0206317851BF}&lt;Citation&gt;&lt;Group&gt;&lt;References&gt;&lt;Item&gt;&lt;ID&gt;2304&lt;/ID&gt;&lt;UID&gt;{B09EF50A-68B8-45B8-8510-16FE0D668A0F}&lt;/UID&gt;&lt;Title&gt;Guanine-rich DNA-based peroxidase mimetics for colorimetric assays of alkaline phosphatase&lt;/Title&gt;&lt;Template&gt;Journal Article&lt;/Template&gt;&lt;Star&gt;0&lt;/Star&gt;&lt;Tag&gt;0&lt;/Tag&gt;&lt;Author&gt;Yang, Jinjin; Zheng, Lin; Wang, Yu; Li, Wei; Zhang, Jinli; Gu, Junjie; Fu, Yan&lt;/Author&gt;&lt;Year&gt;2016&lt;/Year&gt;&lt;Details&gt;&lt;_doi&gt;10.1016/j.bios.2015.10.003&lt;/_doi&gt;&lt;_created&gt;66452910&lt;/_created&gt;&lt;_modified&gt;66452912&lt;/_modified&gt;&lt;_url&gt;http://dx.doi.org/10.1016/j.bios.2015.10.003&lt;/_url&gt;&lt;_journal&gt;Biosensors and Bioelectronics&lt;/_journal&gt;&lt;_volume&gt;77&lt;/_volume&gt;&lt;_pages&gt;549-556&lt;/_pages&gt;&lt;_isbn&gt;0956-5663&lt;/_isbn&gt;&lt;_language&gt;en&lt;/_language&gt;&lt;_accessed&gt;66452912&lt;/_accessed&gt;&lt;_db_updated&gt;NESearch&lt;/_db_updated&gt;&lt;_impact_factor&gt;  10.500&lt;/_impact_factor&gt;&lt;_social_category&gt;生物物理(1) &amp;amp; 生物工程与应用微生物(1) &amp;amp; 分析化学(1) &amp;amp; 电化学(2) &amp;amp; 纳米科技(2)&lt;/_social_category&gt;&lt;_custom1&gt;s4&lt;/_custom1&gt;&lt;/Details&gt;&lt;Extra&gt;&lt;DBUID&gt;{A95715E5-8348-488A-A1E4-3622987EF91C}&lt;/DBUID&gt;&lt;/Extra&gt;&lt;/Item&gt;&lt;/References&gt;&lt;/Group&gt;&lt;/Citation&gt;_x000a_"/>
    <w:docVar w:name="ne_docsoft" w:val="MSWord"/>
    <w:docVar w:name="ne_docversion" w:val="NoteExpress 2.0"/>
    <w:docVar w:name="ne_stylename" w:val="JARMAP"/>
  </w:docVars>
  <w:rsids>
    <w:rsidRoot w:val="00172A27"/>
    <w:rsid w:val="000027E3"/>
    <w:rsid w:val="00090C53"/>
    <w:rsid w:val="00123501"/>
    <w:rsid w:val="0013108A"/>
    <w:rsid w:val="00156EF0"/>
    <w:rsid w:val="001E0CEF"/>
    <w:rsid w:val="00215E4B"/>
    <w:rsid w:val="00252308"/>
    <w:rsid w:val="002F0888"/>
    <w:rsid w:val="00324C62"/>
    <w:rsid w:val="003F307D"/>
    <w:rsid w:val="003F6E9C"/>
    <w:rsid w:val="003F763E"/>
    <w:rsid w:val="00424AF4"/>
    <w:rsid w:val="00446968"/>
    <w:rsid w:val="004A2067"/>
    <w:rsid w:val="004C028D"/>
    <w:rsid w:val="00513593"/>
    <w:rsid w:val="00544931"/>
    <w:rsid w:val="005B5040"/>
    <w:rsid w:val="005D0392"/>
    <w:rsid w:val="005E09D0"/>
    <w:rsid w:val="00635923"/>
    <w:rsid w:val="007465D3"/>
    <w:rsid w:val="007510D6"/>
    <w:rsid w:val="00774458"/>
    <w:rsid w:val="007A3E1E"/>
    <w:rsid w:val="007E4BAB"/>
    <w:rsid w:val="008358E9"/>
    <w:rsid w:val="00901624"/>
    <w:rsid w:val="0092655C"/>
    <w:rsid w:val="009837A5"/>
    <w:rsid w:val="009A4335"/>
    <w:rsid w:val="00A332B4"/>
    <w:rsid w:val="00A77C69"/>
    <w:rsid w:val="00BF6153"/>
    <w:rsid w:val="00C134C4"/>
    <w:rsid w:val="00C66923"/>
    <w:rsid w:val="00D378D1"/>
    <w:rsid w:val="00D45E53"/>
    <w:rsid w:val="00DA3C0E"/>
    <w:rsid w:val="00DB2228"/>
    <w:rsid w:val="00DB3641"/>
    <w:rsid w:val="00DD3296"/>
    <w:rsid w:val="00E07A45"/>
    <w:rsid w:val="00E96CCB"/>
    <w:rsid w:val="00EB69EA"/>
    <w:rsid w:val="00ED7C32"/>
    <w:rsid w:val="00EE1A86"/>
    <w:rsid w:val="00EF4C54"/>
    <w:rsid w:val="00F039E3"/>
    <w:rsid w:val="00F52371"/>
    <w:rsid w:val="00F52774"/>
    <w:rsid w:val="00F764BF"/>
    <w:rsid w:val="00FF0441"/>
    <w:rsid w:val="0A0B5261"/>
    <w:rsid w:val="132D4308"/>
    <w:rsid w:val="17EC4792"/>
    <w:rsid w:val="1CED5883"/>
    <w:rsid w:val="2BCF0C1C"/>
    <w:rsid w:val="2D360503"/>
    <w:rsid w:val="2DD47418"/>
    <w:rsid w:val="3AD90020"/>
    <w:rsid w:val="43855DCC"/>
    <w:rsid w:val="441749A6"/>
    <w:rsid w:val="4908309F"/>
    <w:rsid w:val="4CEC603F"/>
    <w:rsid w:val="4EFD4602"/>
    <w:rsid w:val="4FC37C91"/>
    <w:rsid w:val="53F538C3"/>
    <w:rsid w:val="57A829DB"/>
    <w:rsid w:val="57AE1AE6"/>
    <w:rsid w:val="663C73F1"/>
    <w:rsid w:val="6D41246D"/>
    <w:rsid w:val="70C607C8"/>
    <w:rsid w:val="75A1300A"/>
    <w:rsid w:val="76F27936"/>
    <w:rsid w:val="77101B8D"/>
    <w:rsid w:val="79687E1D"/>
    <w:rsid w:val="798F487B"/>
    <w:rsid w:val="7B542E95"/>
    <w:rsid w:val="7D933791"/>
    <w:rsid w:val="7DA56FCE"/>
    <w:rsid w:val="7FE01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3"/>
    <w:semiHidden/>
    <w:unhideWhenUsed/>
    <w:qFormat/>
    <w:uiPriority w:val="99"/>
    <w:pPr>
      <w:tabs>
        <w:tab w:val="center" w:pos="4153"/>
        <w:tab w:val="right" w:pos="8306"/>
      </w:tabs>
      <w:snapToGrid w:val="0"/>
      <w:jc w:val="left"/>
    </w:pPr>
    <w:rPr>
      <w:sz w:val="18"/>
      <w:szCs w:val="18"/>
    </w:rPr>
  </w:style>
  <w:style w:type="paragraph" w:styleId="4">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Emphasis"/>
    <w:basedOn w:val="8"/>
    <w:qFormat/>
    <w:uiPriority w:val="20"/>
    <w:rPr>
      <w:i/>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1">
    <w:name w:val="批注框文本 Char"/>
    <w:basedOn w:val="8"/>
    <w:link w:val="2"/>
    <w:semiHidden/>
    <w:qFormat/>
    <w:uiPriority w:val="99"/>
    <w:rPr>
      <w:sz w:val="18"/>
      <w:szCs w:val="18"/>
    </w:rPr>
  </w:style>
  <w:style w:type="character" w:customStyle="1" w:styleId="12">
    <w:name w:val="页眉 Char"/>
    <w:basedOn w:val="8"/>
    <w:link w:val="4"/>
    <w:semiHidden/>
    <w:qFormat/>
    <w:uiPriority w:val="99"/>
    <w:rPr>
      <w:sz w:val="18"/>
      <w:szCs w:val="18"/>
    </w:rPr>
  </w:style>
  <w:style w:type="character" w:customStyle="1" w:styleId="13">
    <w:name w:val="页脚 Char"/>
    <w:basedOn w:val="8"/>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Charis SIL" w:eastAsia="Charis SIL" w:cs="Charis SIL" w:hAnsiTheme="minorHAnsi"/>
      <w:color w:val="000000"/>
      <w:kern w:val="0"/>
      <w:sz w:val="24"/>
      <w:szCs w:val="24"/>
      <w:lang w:val="en-US" w:eastAsia="zh-CN" w:bidi="ar-SA"/>
    </w:rPr>
  </w:style>
  <w:style w:type="character" w:customStyle="1" w:styleId="15">
    <w:name w:val="EndNote Bibliography Char"/>
    <w:basedOn w:val="8"/>
    <w:link w:val="16"/>
    <w:qFormat/>
    <w:locked/>
    <w:uiPriority w:val="0"/>
    <w:rPr>
      <w:rFonts w:ascii="Calibri" w:hAnsi="Calibri" w:cs="Calibri"/>
      <w:sz w:val="20"/>
    </w:rPr>
  </w:style>
  <w:style w:type="paragraph" w:customStyle="1" w:styleId="16">
    <w:name w:val="EndNote Bibliography"/>
    <w:basedOn w:val="1"/>
    <w:link w:val="15"/>
    <w:qFormat/>
    <w:uiPriority w:val="0"/>
    <w:pPr>
      <w:jc w:val="left"/>
    </w:pPr>
    <w:rPr>
      <w:rFonts w:ascii="Calibri" w:hAnsi="Calibri" w:cs="Calibri"/>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tiff"/><Relationship Id="rId7" Type="http://schemas.openxmlformats.org/officeDocument/2006/relationships/image" Target="media/image4.png"/><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33D6A-1AEB-4D2D-BCCA-26EECC0B7094}">
  <ds:schemaRefs/>
</ds:datastoreItem>
</file>

<file path=docProps/app.xml><?xml version="1.0" encoding="utf-8"?>
<Properties xmlns="http://schemas.openxmlformats.org/officeDocument/2006/extended-properties" xmlns:vt="http://schemas.openxmlformats.org/officeDocument/2006/docPropsVTypes">
  <Template>Normal</Template>
  <Pages>8</Pages>
  <Words>760</Words>
  <Characters>4416</Characters>
  <Lines>35</Lines>
  <Paragraphs>9</Paragraphs>
  <TotalTime>8</TotalTime>
  <ScaleCrop>false</ScaleCrop>
  <LinksUpToDate>false</LinksUpToDate>
  <CharactersWithSpaces>5096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2026-01-19T01:04:00Z</dcterms:created>
  <dc:creator>Windows 用户</dc:creator>
  <cp:lastModifiedBy>舟</cp:lastModifiedBy>
  <dcterms:modified xsi:type="dcterms:W3CDTF">2026-07-09T13:02:08Z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eyJoZGlkIjoiODFiZGVjNTFhODM4MzJkZjUxOWU2ZjVjOTgyZmZmYzUiLCJ1c2VySWQiOiI1MTY4NTEyNTgifQ==</vt:lpwstr>
  </property>
  <property fmtid="{D5CDD505-2E9C-101B-9397-08002B2CF9AE}" pid="4" name="ICV">
    <vt:lpwstr>0E36B479BAB14987853A76FD7A3C05B2_13</vt:lpwstr>
  </property>
</Properties>
</file>