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66C58">
      <w:pPr>
        <w:pStyle w:val="30"/>
        <w:jc w:val="both"/>
      </w:pPr>
      <w:r>
        <w:rPr>
          <w:rFonts w:hint="eastAsia" w:eastAsia="Times New Roman"/>
          <w:kern w:val="2"/>
          <w:sz w:val="28"/>
        </w:rPr>
        <w:t>Differential Responses of Microbial Network Stability to Post-Tobacco Crop Rotation Driven by Contrasting Soil Nutrient Conditions</w:t>
      </w:r>
    </w:p>
    <w:p w14:paraId="17675326">
      <w:pPr>
        <w:pStyle w:val="31"/>
        <w:jc w:val="both"/>
        <w:rPr>
          <w:rFonts w:eastAsia="微软雅黑"/>
          <w:vertAlign w:val="superscript"/>
          <w:lang w:eastAsia="en-US"/>
        </w:rPr>
      </w:pPr>
      <w:r>
        <w:rPr>
          <w:rFonts w:hint="eastAsia"/>
        </w:rPr>
        <w:t>Zitong Jiao</w:t>
      </w:r>
      <w:r>
        <w:rPr>
          <w:rFonts w:hint="eastAsia" w:eastAsia="宋体"/>
          <w:vertAlign w:val="superscript"/>
        </w:rPr>
        <w:t>1</w:t>
      </w:r>
      <w:r>
        <w:rPr>
          <w:rFonts w:hint="eastAsia"/>
        </w:rPr>
        <w:t>,</w:t>
      </w:r>
      <w:r>
        <w:t xml:space="preserve"> </w:t>
      </w:r>
      <w:r>
        <w:rPr>
          <w:rFonts w:hint="eastAsia"/>
        </w:rPr>
        <w:t>Tiyuan Xia</w:t>
      </w:r>
      <w:r>
        <w:rPr>
          <w:rFonts w:hint="eastAsia" w:eastAsia="宋体"/>
          <w:vertAlign w:val="superscript"/>
        </w:rPr>
        <w:t>1</w:t>
      </w:r>
      <w:r>
        <w:rPr>
          <w:rFonts w:hint="eastAsia"/>
        </w:rPr>
        <w:t>, Chengguang Shi</w:t>
      </w:r>
      <w:r>
        <w:rPr>
          <w:rFonts w:hint="eastAsia" w:eastAsia="宋体"/>
          <w:vertAlign w:val="superscript"/>
        </w:rPr>
        <w:t>2</w:t>
      </w:r>
      <w:r>
        <w:rPr>
          <w:rFonts w:hint="eastAsia"/>
        </w:rPr>
        <w:t>,</w:t>
      </w:r>
      <w:r>
        <w:t xml:space="preserve"> </w:t>
      </w:r>
      <w:r>
        <w:rPr>
          <w:rFonts w:hint="eastAsia"/>
        </w:rPr>
        <w:t>Yihong Pan</w:t>
      </w:r>
      <w:r>
        <w:rPr>
          <w:rFonts w:hint="eastAsia" w:eastAsia="宋体"/>
          <w:vertAlign w:val="superscript"/>
        </w:rPr>
        <w:t>1</w:t>
      </w:r>
      <w:r>
        <w:rPr>
          <w:rFonts w:hint="eastAsia"/>
        </w:rPr>
        <w:t>,</w:t>
      </w:r>
      <w:r>
        <w:t xml:space="preserve"> </w:t>
      </w:r>
      <w:r>
        <w:rPr>
          <w:rFonts w:hint="eastAsia"/>
        </w:rPr>
        <w:t>Yingying Qian</w:t>
      </w:r>
      <w:r>
        <w:rPr>
          <w:rFonts w:hint="eastAsia" w:eastAsia="宋体"/>
          <w:vertAlign w:val="superscript"/>
        </w:rPr>
        <w:t>3</w:t>
      </w:r>
      <w:r>
        <w:rPr>
          <w:rFonts w:hint="eastAsia"/>
        </w:rPr>
        <w:t>, Yu Zhong</w:t>
      </w:r>
      <w:r>
        <w:rPr>
          <w:rFonts w:hint="eastAsia" w:eastAsia="宋体"/>
          <w:vertAlign w:val="superscript"/>
        </w:rPr>
        <w:t>1</w:t>
      </w:r>
      <w:r>
        <w:rPr>
          <w:rFonts w:hint="eastAsia"/>
        </w:rPr>
        <w:t>, Shuo Yuan</w:t>
      </w:r>
      <w:r>
        <w:rPr>
          <w:rFonts w:hint="eastAsia" w:eastAsia="宋体"/>
          <w:vertAlign w:val="superscript"/>
        </w:rPr>
        <w:t>1</w:t>
      </w:r>
      <w:r>
        <w:rPr>
          <w:rFonts w:hint="eastAsia"/>
        </w:rPr>
        <w:t xml:space="preserve">, </w:t>
      </w:r>
      <w:r>
        <w:rPr>
          <w:rFonts w:hint="eastAsia" w:eastAsia="宋体"/>
        </w:rPr>
        <w:t>Yanhong Wang</w:t>
      </w:r>
      <w:r>
        <w:rPr>
          <w:rFonts w:hint="eastAsia" w:eastAsia="宋体"/>
          <w:vertAlign w:val="superscript"/>
        </w:rPr>
        <w:t>1</w:t>
      </w:r>
      <w:r>
        <w:rPr>
          <w:rFonts w:hint="eastAsia" w:eastAsia="宋体"/>
        </w:rPr>
        <w:t xml:space="preserve">, </w:t>
      </w:r>
      <w:r>
        <w:rPr>
          <w:rFonts w:hint="eastAsia"/>
        </w:rPr>
        <w:t>Zuoxin Tang</w:t>
      </w:r>
      <w:r>
        <w:rPr>
          <w:rFonts w:hint="eastAsia" w:eastAsia="宋体"/>
          <w:vertAlign w:val="superscript"/>
        </w:rPr>
        <w:t>1,</w:t>
      </w:r>
      <w:r>
        <w:rPr>
          <w:rFonts w:hint="eastAsia"/>
          <w:vertAlign w:val="superscript"/>
        </w:rPr>
        <w:t>*</w:t>
      </w:r>
      <w:r>
        <w:rPr>
          <w:rFonts w:hint="eastAsia"/>
        </w:rPr>
        <w:t>,</w:t>
      </w:r>
      <w:r>
        <w:t xml:space="preserve"> </w:t>
      </w:r>
      <w:r>
        <w:rPr>
          <w:rFonts w:hint="eastAsia"/>
        </w:rPr>
        <w:t>Quanzhen Wang</w:t>
      </w:r>
      <w:r>
        <w:rPr>
          <w:rFonts w:hint="eastAsia" w:eastAsia="宋体"/>
          <w:vertAlign w:val="superscript"/>
        </w:rPr>
        <w:t>4,</w:t>
      </w:r>
      <w:r>
        <w:rPr>
          <w:rFonts w:hint="eastAsia"/>
          <w:vertAlign w:val="superscript"/>
        </w:rPr>
        <w:t>*</w:t>
      </w:r>
    </w:p>
    <w:p w14:paraId="1D2BCAFE">
      <w:pPr>
        <w:pStyle w:val="32"/>
        <w:adjustRightInd w:val="0"/>
        <w:ind w:left="480" w:hanging="480" w:hangingChars="200"/>
        <w:jc w:val="both"/>
        <w:rPr>
          <w:rFonts w:eastAsia="宋体"/>
          <w:i w:val="0"/>
          <w:iCs/>
        </w:rPr>
      </w:pPr>
      <w:r>
        <w:rPr>
          <w:i w:val="0"/>
          <w:iCs/>
        </w:rPr>
        <w:t>*</w:t>
      </w:r>
      <w:r>
        <w:rPr>
          <w:rFonts w:hint="eastAsia"/>
          <w:i w:val="0"/>
          <w:iCs/>
        </w:rPr>
        <w:t xml:space="preserve"> </w:t>
      </w:r>
      <w:r>
        <w:rPr>
          <w:i w:val="0"/>
          <w:iCs/>
        </w:rPr>
        <w:t>Corresponding author</w:t>
      </w:r>
      <w:r>
        <w:rPr>
          <w:rFonts w:hint="eastAsia"/>
          <w:i w:val="0"/>
          <w:iCs/>
        </w:rPr>
        <w:t>.</w:t>
      </w:r>
    </w:p>
    <w:p w14:paraId="6F5EDA56">
      <w:pPr>
        <w:pStyle w:val="32"/>
        <w:keepNext w:val="0"/>
        <w:keepLines w:val="0"/>
        <w:pageBreakBefore w:val="0"/>
        <w:widowControl/>
        <w:kinsoku/>
        <w:wordWrap/>
        <w:overflowPunct/>
        <w:topLinePunct w:val="0"/>
        <w:autoSpaceDE/>
        <w:autoSpaceDN/>
        <w:bidi w:val="0"/>
        <w:adjustRightInd w:val="0"/>
        <w:snapToGrid w:val="0"/>
        <w:ind w:left="0" w:firstLine="0" w:firstLineChars="0"/>
        <w:jc w:val="both"/>
        <w:textAlignment w:val="auto"/>
        <w:rPr>
          <w:i w:val="0"/>
          <w:iCs/>
        </w:rPr>
      </w:pPr>
      <w:r>
        <w:rPr>
          <w:rFonts w:hint="eastAsia"/>
          <w:i w:val="0"/>
          <w:iCs/>
        </w:rPr>
        <w:t xml:space="preserve">E-mail address: </w:t>
      </w:r>
      <w:r>
        <w:rPr>
          <w:rFonts w:hint="eastAsia"/>
          <w:i w:val="0"/>
          <w:iCs/>
          <w:lang w:eastAsia="de-DE"/>
        </w:rPr>
        <w:t>Zuoxin Tang</w:t>
      </w:r>
      <w:r>
        <w:rPr>
          <w:rFonts w:hint="eastAsia"/>
          <w:i w:val="0"/>
          <w:iCs/>
        </w:rPr>
        <w:t xml:space="preserve"> (</w:t>
      </w:r>
      <w:r>
        <w:rPr>
          <w:i w:val="0"/>
          <w:iCs/>
        </w:rPr>
        <w:fldChar w:fldCharType="begin"/>
      </w:r>
      <w:r>
        <w:rPr>
          <w:i w:val="0"/>
          <w:iCs/>
        </w:rPr>
        <w:instrText xml:space="preserve"> HYPERLINK "mailto:tangzuo1029@126.com;" </w:instrText>
      </w:r>
      <w:r>
        <w:rPr>
          <w:i w:val="0"/>
          <w:iCs/>
        </w:rPr>
        <w:fldChar w:fldCharType="separate"/>
      </w:r>
      <w:r>
        <w:rPr>
          <w:rFonts w:hint="eastAsia"/>
          <w:i w:val="0"/>
          <w:iCs/>
        </w:rPr>
        <w:t>tangzuo1029@126.com);</w:t>
      </w:r>
      <w:r>
        <w:rPr>
          <w:rFonts w:hint="eastAsia"/>
          <w:i w:val="0"/>
          <w:iCs/>
        </w:rPr>
        <w:fldChar w:fldCharType="end"/>
      </w:r>
      <w:r>
        <w:rPr>
          <w:rFonts w:hint="eastAsia"/>
          <w:i w:val="0"/>
          <w:iCs/>
        </w:rPr>
        <w:t xml:space="preserve"> Quanzhen Wang </w:t>
      </w:r>
      <w:r>
        <w:rPr>
          <w:i w:val="0"/>
          <w:iCs/>
        </w:rPr>
        <w:fldChar w:fldCharType="begin"/>
      </w:r>
      <w:r>
        <w:rPr>
          <w:i w:val="0"/>
          <w:iCs/>
        </w:rPr>
        <w:instrText xml:space="preserve"> HYPERLINK "mailto:(17527156888@163.com)" </w:instrText>
      </w:r>
      <w:r>
        <w:rPr>
          <w:i w:val="0"/>
          <w:iCs/>
        </w:rPr>
        <w:fldChar w:fldCharType="separate"/>
      </w:r>
      <w:r>
        <w:rPr>
          <w:rFonts w:hint="eastAsia"/>
          <w:i w:val="0"/>
          <w:iCs/>
        </w:rPr>
        <w:t>(17527156888@163.com)</w:t>
      </w:r>
      <w:r>
        <w:rPr>
          <w:rFonts w:hint="eastAsia"/>
          <w:i w:val="0"/>
          <w:iCs/>
        </w:rPr>
        <w:fldChar w:fldCharType="end"/>
      </w:r>
    </w:p>
    <w:p w14:paraId="1F628E80">
      <w:pPr>
        <w:pStyle w:val="32"/>
        <w:adjustRightInd w:val="0"/>
        <w:ind w:left="480" w:hanging="480" w:hangingChars="200"/>
        <w:jc w:val="both"/>
        <w:rPr>
          <w:rFonts w:eastAsia="宋体"/>
          <w:i w:val="0"/>
          <w:iCs/>
        </w:rPr>
      </w:pPr>
      <w:r>
        <w:rPr>
          <w:rFonts w:hint="eastAsia" w:eastAsiaTheme="minorEastAsia"/>
          <w:i w:val="0"/>
          <w:iCs/>
          <w:vertAlign w:val="superscript"/>
        </w:rPr>
        <w:t>1</w:t>
      </w:r>
      <w:r>
        <w:rPr>
          <w:i w:val="0"/>
          <w:iCs/>
        </w:rPr>
        <w:t xml:space="preserve"> College of Agriculture and Life Sciences, Kunming University, Kunming 650214, Yunnan, China</w:t>
      </w:r>
    </w:p>
    <w:p w14:paraId="23018145">
      <w:pPr>
        <w:pStyle w:val="32"/>
        <w:adjustRightInd w:val="0"/>
        <w:ind w:left="480" w:hanging="480" w:hangingChars="200"/>
        <w:jc w:val="both"/>
        <w:rPr>
          <w:rFonts w:eastAsia="宋体"/>
          <w:i w:val="0"/>
          <w:iCs/>
        </w:rPr>
      </w:pPr>
      <w:r>
        <w:rPr>
          <w:rFonts w:hint="eastAsia" w:eastAsia="宋体"/>
          <w:i w:val="0"/>
          <w:iCs/>
          <w:vertAlign w:val="superscript"/>
        </w:rPr>
        <w:t>2</w:t>
      </w:r>
      <w:r>
        <w:rPr>
          <w:rFonts w:hint="eastAsia"/>
          <w:i w:val="0"/>
          <w:iCs/>
        </w:rPr>
        <w:t xml:space="preserve"> China Tobacco Hebei Industrial Co.</w:t>
      </w:r>
      <w:r>
        <w:rPr>
          <w:i w:val="0"/>
          <w:iCs/>
        </w:rPr>
        <w:t>, Ltd</w:t>
      </w:r>
      <w:r>
        <w:rPr>
          <w:rFonts w:hint="eastAsia"/>
          <w:i w:val="0"/>
          <w:iCs/>
        </w:rPr>
        <w:t>, Shijiazhuang 050051, Hebei</w:t>
      </w:r>
      <w:r>
        <w:rPr>
          <w:i w:val="0"/>
          <w:iCs/>
        </w:rPr>
        <w:t>,</w:t>
      </w:r>
      <w:r>
        <w:rPr>
          <w:rFonts w:hint="eastAsia"/>
          <w:i w:val="0"/>
          <w:iCs/>
        </w:rPr>
        <w:t xml:space="preserve"> China</w:t>
      </w:r>
    </w:p>
    <w:p w14:paraId="0BC8F376">
      <w:pPr>
        <w:pStyle w:val="32"/>
        <w:adjustRightInd w:val="0"/>
        <w:ind w:left="480" w:hanging="480" w:hangingChars="200"/>
        <w:jc w:val="both"/>
        <w:rPr>
          <w:rFonts w:eastAsia="宋体"/>
          <w:i w:val="0"/>
          <w:iCs/>
        </w:rPr>
      </w:pPr>
      <w:r>
        <w:rPr>
          <w:rFonts w:hint="eastAsia" w:eastAsia="宋体"/>
          <w:i w:val="0"/>
          <w:iCs/>
          <w:vertAlign w:val="superscript"/>
        </w:rPr>
        <w:t>3</w:t>
      </w:r>
      <w:r>
        <w:rPr>
          <w:rFonts w:hint="eastAsia"/>
          <w:i w:val="0"/>
          <w:iCs/>
        </w:rPr>
        <w:t xml:space="preserve"> Raw Material Center of China Tobacco Yunnan Industrial Co.,</w:t>
      </w:r>
      <w:r>
        <w:rPr>
          <w:i w:val="0"/>
          <w:iCs/>
        </w:rPr>
        <w:t xml:space="preserve"> </w:t>
      </w:r>
      <w:r>
        <w:rPr>
          <w:rFonts w:hint="eastAsia"/>
          <w:i w:val="0"/>
          <w:iCs/>
        </w:rPr>
        <w:t>Ltd., Kunming 650202, Yunnan, China</w:t>
      </w:r>
    </w:p>
    <w:p w14:paraId="37309C9B">
      <w:pPr>
        <w:pStyle w:val="32"/>
        <w:adjustRightInd w:val="0"/>
        <w:ind w:left="480" w:hanging="480" w:hangingChars="200"/>
        <w:jc w:val="both"/>
        <w:rPr>
          <w:rFonts w:eastAsia="宋体"/>
          <w:i w:val="0"/>
          <w:iCs/>
        </w:rPr>
      </w:pPr>
      <w:r>
        <w:rPr>
          <w:rFonts w:hint="eastAsia" w:eastAsia="宋体"/>
          <w:i w:val="0"/>
          <w:iCs/>
          <w:vertAlign w:val="superscript"/>
        </w:rPr>
        <w:t>4</w:t>
      </w:r>
      <w:r>
        <w:rPr>
          <w:rFonts w:hint="eastAsia"/>
          <w:i w:val="0"/>
          <w:iCs/>
        </w:rPr>
        <w:t xml:space="preserve"> Qujing Branch of Yunnan Tobacco Company, Xuanwei 655400,</w:t>
      </w:r>
      <w:r>
        <w:rPr>
          <w:i w:val="0"/>
          <w:iCs/>
        </w:rPr>
        <w:t xml:space="preserve"> </w:t>
      </w:r>
      <w:r>
        <w:rPr>
          <w:rFonts w:hint="eastAsia"/>
          <w:i w:val="0"/>
          <w:iCs/>
        </w:rPr>
        <w:t>Yunnan, China</w:t>
      </w:r>
    </w:p>
    <w:p w14:paraId="6B4ABE51">
      <w:pPr>
        <w:pStyle w:val="3"/>
      </w:pPr>
    </w:p>
    <w:p w14:paraId="468E7B39">
      <w:pPr>
        <w:pStyle w:val="34"/>
        <w:ind w:left="0" w:leftChars="0" w:firstLine="0" w:firstLineChars="0"/>
        <w:jc w:val="left"/>
        <w:rPr>
          <w:b/>
          <w:bCs/>
        </w:rPr>
      </w:pPr>
      <w:r>
        <w:rPr>
          <w:rFonts w:hint="eastAsia"/>
          <w:b/>
          <w:bCs/>
        </w:rPr>
        <w:t>This file includes:</w:t>
      </w:r>
    </w:p>
    <w:p w14:paraId="631A20E2">
      <w:pPr>
        <w:pStyle w:val="29"/>
        <w:rPr>
          <w:b/>
          <w:bCs/>
        </w:rPr>
      </w:pPr>
      <w:r>
        <w:rPr>
          <w:rFonts w:hint="eastAsia"/>
          <w:b/>
          <w:bCs/>
        </w:rPr>
        <w:t>Supplementary Materials and Methods</w:t>
      </w:r>
    </w:p>
    <w:p w14:paraId="7C6C5C82">
      <w:pPr>
        <w:pStyle w:val="29"/>
        <w:rPr>
          <w:rFonts w:eastAsiaTheme="minorEastAsia"/>
          <w:b/>
          <w:bCs/>
        </w:rPr>
      </w:pPr>
      <w:r>
        <w:rPr>
          <w:rFonts w:hint="eastAsia"/>
          <w:b/>
          <w:bCs/>
        </w:rPr>
        <w:t>Supplementary Tables S1 to S</w:t>
      </w:r>
      <w:r>
        <w:rPr>
          <w:rFonts w:hint="eastAsia" w:eastAsiaTheme="minorEastAsia"/>
          <w:b/>
          <w:bCs/>
        </w:rPr>
        <w:t>3</w:t>
      </w:r>
    </w:p>
    <w:p w14:paraId="6425E255">
      <w:pPr>
        <w:pStyle w:val="29"/>
      </w:pPr>
      <w:r>
        <w:rPr>
          <w:rFonts w:hint="eastAsia"/>
          <w:b/>
          <w:bCs/>
        </w:rPr>
        <w:t>Table S1.</w:t>
      </w:r>
      <w:r>
        <w:rPr>
          <w:rFonts w:hint="eastAsia"/>
        </w:rPr>
        <w:t xml:space="preserve"> Global topological properties of bacterial–fungal co-occurrence networks in Geyi and Xize.</w:t>
      </w:r>
    </w:p>
    <w:p w14:paraId="1C68C181">
      <w:pPr>
        <w:pStyle w:val="29"/>
      </w:pPr>
      <w:r>
        <w:rPr>
          <w:rFonts w:hint="eastAsia"/>
          <w:b/>
          <w:bCs/>
        </w:rPr>
        <w:t>Table S2.</w:t>
      </w:r>
      <w:r>
        <w:rPr>
          <w:rFonts w:hint="eastAsia"/>
        </w:rPr>
        <w:t xml:space="preserve"> Taxonomic classification of keystone taxa identified in the two study regions.</w:t>
      </w:r>
    </w:p>
    <w:p w14:paraId="79D4378B">
      <w:pPr>
        <w:pStyle w:val="29"/>
        <w:rPr>
          <w:b/>
          <w:bCs/>
        </w:rPr>
      </w:pPr>
      <w:r>
        <w:rPr>
          <w:rFonts w:hint="eastAsia"/>
          <w:b/>
          <w:bCs/>
        </w:rPr>
        <w:t>Supplementary Figures S1</w:t>
      </w:r>
    </w:p>
    <w:p w14:paraId="58B69CB0">
      <w:pPr>
        <w:pStyle w:val="29"/>
        <w:rPr>
          <w:rFonts w:eastAsia="宋体"/>
        </w:rPr>
      </w:pPr>
      <w:r>
        <w:rPr>
          <w:rFonts w:hint="eastAsia"/>
          <w:b/>
          <w:bCs/>
        </w:rPr>
        <w:t>Fig</w:t>
      </w:r>
      <w:r>
        <w:rPr>
          <w:rFonts w:hint="eastAsia" w:eastAsia="宋体"/>
          <w:b/>
          <w:bCs/>
        </w:rPr>
        <w:t>.</w:t>
      </w:r>
      <w:r>
        <w:rPr>
          <w:rFonts w:hint="eastAsia"/>
          <w:b/>
          <w:bCs/>
        </w:rPr>
        <w:t xml:space="preserve"> S1.</w:t>
      </w:r>
      <w:r>
        <w:rPr>
          <w:rFonts w:hint="eastAsia"/>
        </w:rPr>
        <w:t xml:space="preserve"> Relative abundance of the top 10 bacterial phyla (A, B) and the top 5 fungal phyla (C, D) across different sampling sites</w:t>
      </w:r>
      <w:r>
        <w:rPr>
          <w:rFonts w:eastAsia="宋体"/>
        </w:rPr>
        <w:t>.</w:t>
      </w:r>
    </w:p>
    <w:p w14:paraId="3A911D0E">
      <w:pPr>
        <w:pStyle w:val="3"/>
      </w:pPr>
    </w:p>
    <w:p w14:paraId="70A5EF71">
      <w:pPr>
        <w:spacing w:before="240" w:after="120" w:line="480" w:lineRule="auto"/>
      </w:pPr>
      <w:r>
        <w:rPr>
          <w:b/>
          <w:bCs/>
        </w:rPr>
        <w:t>Materials and Methods</w:t>
      </w:r>
    </w:p>
    <w:p w14:paraId="28DFA449">
      <w:pPr>
        <w:pStyle w:val="44"/>
        <w:numPr>
          <w:ilvl w:val="0"/>
          <w:numId w:val="0"/>
        </w:numPr>
        <w:spacing w:before="326" w:beforeLines="100" w:after="326" w:afterLines="100"/>
        <w:ind w:left="567" w:leftChars="0"/>
        <w:jc w:val="left"/>
        <w:rPr>
          <w:color w:val="auto"/>
        </w:rPr>
      </w:pPr>
      <w:r>
        <w:rPr>
          <w:rFonts w:hint="eastAsia" w:ascii="Times New Roman" w:hAnsi="Times New Roman" w:cs="Times New Roman" w:eastAsiaTheme="minorEastAsia"/>
          <w:i w:val="0"/>
          <w:iCs/>
          <w:color w:val="auto"/>
          <w:kern w:val="0"/>
          <w:sz w:val="24"/>
          <w:szCs w:val="24"/>
        </w:rPr>
        <w:t>DNA extraction and high-throughput sequencing</w:t>
      </w:r>
    </w:p>
    <w:p w14:paraId="056A7A85">
      <w:pPr>
        <w:pStyle w:val="5"/>
        <w:jc w:val="both"/>
      </w:pPr>
      <w:r>
        <w:t>Total soil DNA was extracted using the FastDNA</w:t>
      </w:r>
      <w:r>
        <w:rPr>
          <w:vertAlign w:val="superscript"/>
        </w:rPr>
        <w:t>®</w:t>
      </w:r>
      <w:r>
        <w:t xml:space="preserve"> SPIN Kit for Soil (MP Biomedicals, USA) following the manufacturer’s instructions. DNA quality and concentration were assessed using a NanoDrop 2000 spectrophotometer (Thermo Scientific, USA) and verified by 1% agarose gel electrophoresis. Qualified DNA samples were stored at −20°C until further use. The V3–V4 hypervariable region of the bacterial 16S rRNA gene was amplified using primers 338F and 806R. The ITS1 region of the fungal internal transcribed spacer was amplified using primers ITS1F and ITS2R</w:t>
      </w:r>
      <w:r>
        <w:rPr>
          <w:rFonts w:hint="eastAsia" w:eastAsia="宋体"/>
        </w:rPr>
        <w:t xml:space="preserve"> </w:t>
      </w:r>
      <w:r>
        <w:fldChar w:fldCharType="begin"/>
      </w:r>
      <w:r>
        <w:rPr>
          <w:rFonts w:hint="eastAsia" w:eastAsia="宋体"/>
          <w:lang w:eastAsia="zh-CN"/>
        </w:rPr>
        <w:instrText xml:space="preserve"> ADDIN ZOTERO_ITEM CSL_CITATION {"citationID":"odTMSkAY","properties":{"formattedCitation":"[1,2]","plainCitation":"[1,2]","noteIndex":0},"citationItems":[{"id":1179,"uris":["http://zotero.org/users/17290216/items/KCCCLSU2"],"itemData":{"id":1179,"type":"article-journal","abstract":"Soil microbial communities mix and interact, a widespread phenomenon known as community coalescence. However, in the context of different coalescence degrees, the effects and potential applicability of soil mixing on plant disease resistance have not been studied. Here, we mixed soils from two habitats (healthy and diseased soils) at different mixing ratios for watermelon planting. Rhizosphere soils were collected for amplicon sequencing to study the effects of different degrees of bacterial community coalescence on plant growth and disease resistance, as well as on the characteristics, network complexity and stability of rhizosphere microbial communities. Combined with network and cohesion analyses, we found that mixing in more healthy soil reduced the plant disease index and increased biomass by improving the stability and complexity of the network; positive cohesion, reflecting degree of cooperation, was also negatively correlated with the plant disease index. The rhizosphere from healthy soils enriched the core taxa, Nitrospirillum and Singulisphaera. These core taxa were significantly associated with disease suppression and important for regulating the positive cohesion and modularity of the networks. Overall, these findings revealed that the soil bacterial community coalescence enhanced the stability and complexity of the rhizobacterial network, simultaneously core taxa enhanced microbial potential cooperation and network complexity, ultimately enhancing plant health and biomass. Our results provide insights into the understanding of microbial community coalescence as a potentially effective mechanism for improving plant microbial community function and suggest promising new tools for improving plant fitness via mixing soil microbiota.","container-title":"Soil Biology and Biochemistry","DOI":"10.1016/j.soilbio.2023.109231","ISSN":"00380717","journalAbbreviation":"Soil Biology and Biochemistry","language":"en","note":"remark: 关键类群\n中科院分区升级版: 农林科学1区\n影响因子: 10.3\n5年影响因子: 11.5\n中科院升级版Top分区: 农林科学TOP","page":"109231","source":"DOI.org (Crossref)","title":"Core species impact plant health by enhancing soil microbial cooperation and network complexity during community coalescence","volume":"188","author":[{"family":"Qiao","given":"Yizhu"},{"family":"Wang","given":"Tingting"},{"family":"Huang","given":"Qiwei"},{"family":"Guo","given":"Hanyue"},{"family":"Zhang","given":"He"},{"family":"Xu","given":"Qicheng"},{"family":"Shen","given":"Qirong"},{"family":"Ling","given":"Ning"}],"issued":{"date-parts":[["2024",1]]}}},{"id":1872,"uris":["http://zotero.org/users/17290216/items/PY436K6K"],"itemData":{"id":1872,"type":"article-journal","abstract":"Intensive fertilization leads to soil acidification and nutrient imbalance in tea plantations. Organic management can improve soil structure, promote soil microbial activity and metabolism, and conducive to sustainable development of tea cultivation. However, our understanding of how long-term organic management affects soil quality index (SQI), soil multifunctionality (SMF), and microbial composition in tea plantations at different soil layers remains limited. Here, the enzyme activities, microbial communities, SQI and SMF in the topsoil (0–20 cm) and subsoil (20–40 cm) of tea plantations with conventional (CM) and organic (OM) managements for 20 years history were investigated. Results showed that compared to CM, OM significantly increased soil total nutrients, available nutrients, and enzyme activities (especially in the topsoil) in three tea plantations. In addition, OM increased SQI and SMF by 14.0 %–41.3 % and 143.6 %–262.9 % in the topsoil and 12.2 %–22.2 % and 37.2 %–63.2 % in the subsoil, respectively. OM significantly increased relative abundance of key bacteria and fungi involved in nutrient cycling, including Sphingomonas, Pseudomonas, Devosia, Nocardioides and Oidiodendron. Structural equation model analysis found that OM improved SMF by driving key bacteria and fungi species induced by higher total and available nutrients and enhancing SQI in the topsoil, while improved SMF only by driving key bacteria species and enhancing SQI in the subsoil. Overall, our results highlight that organic management can improve SMF by enhancing SQI and enriching key microbial species in tea plantation soils, and these findings provide new perspective for adjustment of agricultural managements in tea plantation.","container-title":"Applied Soil Ecology","DOI":"10.1016/j.apsoil.2025.106260","ISSN":"09291393","journalAbbreviation":"Applied Soil Ecology","language":"en-US","note":"中科院分区升级版: 农林科学2区\n影响因子: 5.0\n5年影响因子: 5.4","page":"106260","source":"ScienceDirect","title":"Organic management improves soil multifunctionality by enhancing soil quality and enriching key microbes in tea plantation","volume":"213","author":[{"family":"Yu","given":"Taobing"},{"family":"Wen","given":"Yongkang"},{"family":"Zhang","given":"Qing"},{"family":"Yang","given":"Jida"},{"family":"Zang","given":"Huadong"},{"family":"Zeng","given":"Zhaohai"},{"family":"Yang","given":"Yadong"}],"issued":{"date-parts":[["2025",9]]}}}],"schema":"https://github.com/citation-style-language/schema/raw/master/csl-citation.json"} </w:instrText>
      </w:r>
      <w:r>
        <w:fldChar w:fldCharType="separate"/>
      </w:r>
      <w:r>
        <w:rPr>
          <w:rFonts w:hint="default" w:ascii="Times New Roman" w:hAnsi="Times New Roman" w:cs="Times New Roman"/>
          <w:sz w:val="24"/>
          <w:lang w:eastAsia="zh-CN"/>
        </w:rPr>
        <w:t>[1,2]</w:t>
      </w:r>
      <w:r>
        <w:fldChar w:fldCharType="end"/>
      </w:r>
      <w:r>
        <w:t>. Each PCR reaction was performed in a 50 μL volume containing: 10× PCR buffer (5 μL), 2.5 mM dNTPs (4 μL), 5 μM forward and reverse primers (1 μL each), template DNA (2 μL, approximately 50 ng), TransStart FastPfu DNA polymerase (0.5 μL), and ddH</w:t>
      </w:r>
      <w:r>
        <w:rPr>
          <w:vertAlign w:val="subscript"/>
        </w:rPr>
        <w:t>2</w:t>
      </w:r>
      <w:r>
        <w:t>O to a final volume of 50 μL. The thermal cycling conditions were: initial denaturation at 95°C for 3 min; followed by 35 cycles of denaturation at 95°C for 30 s, annealing at 55°C for 30 s, and extension at 72°C for 45 s; with a final extension at 72°C for 10 min. PCR products were verified by 2% agarose gel electrophoresis and purified using the AxyPrep DNA Gel Extraction Kit (Axygen Biosciences, USA). Purified products were quantified using the QuantiFluor™-ST fluorescence quantification system (Promega, USA) and pooled in equimolar ratios according to the sequencing requirements of each sample. Libraries were constructed and subjected to paired-end sequencing (2 × 250 bp) on the Illumina NovaSeq 6000 platform (Illumina, USA).</w:t>
      </w:r>
    </w:p>
    <w:p w14:paraId="26F895A0">
      <w:pPr>
        <w:spacing w:after="240" w:line="480" w:lineRule="auto"/>
        <w:rPr>
          <w:b/>
          <w:bCs/>
        </w:rPr>
      </w:pPr>
    </w:p>
    <w:p w14:paraId="552D9C6A">
      <w:pPr>
        <w:spacing w:after="240" w:line="480" w:lineRule="auto"/>
        <w:rPr>
          <w:b/>
          <w:bCs/>
        </w:rPr>
      </w:pPr>
    </w:p>
    <w:p w14:paraId="27C49076">
      <w:pPr>
        <w:spacing w:after="240" w:line="480" w:lineRule="auto"/>
        <w:rPr>
          <w:b/>
          <w:bCs/>
        </w:rPr>
      </w:pPr>
    </w:p>
    <w:p w14:paraId="60EAE7A7">
      <w:pPr>
        <w:spacing w:after="240" w:line="480" w:lineRule="auto"/>
      </w:pPr>
      <w:r>
        <w:rPr>
          <w:b/>
          <w:bCs/>
        </w:rPr>
        <w:t>Supplementary Tables</w:t>
      </w:r>
    </w:p>
    <w:p w14:paraId="2EC5D95F">
      <w:pPr>
        <w:pStyle w:val="43"/>
        <w:spacing w:before="326"/>
        <w:jc w:val="left"/>
        <w:rPr>
          <w:b/>
          <w:bCs/>
        </w:rPr>
      </w:pPr>
      <w:r>
        <w:rPr>
          <w:rFonts w:ascii="Times New Roman" w:hAnsi="Times New Roman" w:eastAsia="Times New Roman" w:cs="Times New Roman"/>
          <w:kern w:val="0"/>
        </w:rPr>
        <w:t xml:space="preserve">Table </w:t>
      </w:r>
      <w:r>
        <w:rPr>
          <w:b/>
          <w:bCs/>
        </w:rPr>
        <w:t>S</w:t>
      </w:r>
      <w:r>
        <w:rPr>
          <w:rFonts w:hint="eastAsia" w:eastAsia="宋体"/>
          <w:b/>
          <w:bCs/>
        </w:rPr>
        <w:t>1</w:t>
      </w:r>
      <w:r>
        <w:rPr>
          <w:rFonts w:hint="eastAsia" w:eastAsia="宋体"/>
          <w:b/>
          <w:bCs/>
          <w:lang w:val="en-US" w:eastAsia="zh-CN"/>
        </w:rPr>
        <w:t xml:space="preserve">. </w:t>
      </w:r>
      <w:r>
        <w:rPr>
          <w:rFonts w:hint="eastAsia" w:ascii="Times New Roman" w:hAnsi="Times New Roman" w:cs="Times New Roman"/>
          <w:b w:val="0"/>
          <w:bCs/>
          <w:kern w:val="0"/>
        </w:rPr>
        <w:t>Global topological properties of bacterial–fungal co-occurrence networks in Geyi and Xize.</w:t>
      </w:r>
    </w:p>
    <w:tbl>
      <w:tblPr>
        <w:tblStyle w:val="16"/>
        <w:tblW w:w="9026" w:type="dxa"/>
        <w:jc w:val="center"/>
        <w:tblLayout w:type="autofit"/>
        <w:tblCellMar>
          <w:top w:w="0" w:type="dxa"/>
          <w:left w:w="108" w:type="dxa"/>
          <w:bottom w:w="0" w:type="dxa"/>
          <w:right w:w="108" w:type="dxa"/>
        </w:tblCellMar>
      </w:tblPr>
      <w:tblGrid>
        <w:gridCol w:w="1972"/>
        <w:gridCol w:w="806"/>
        <w:gridCol w:w="1079"/>
        <w:gridCol w:w="1000"/>
        <w:gridCol w:w="1079"/>
        <w:gridCol w:w="1000"/>
        <w:gridCol w:w="1045"/>
        <w:gridCol w:w="1045"/>
      </w:tblGrid>
      <w:tr w14:paraId="116CAA16">
        <w:tblPrEx>
          <w:tblCellMar>
            <w:top w:w="0" w:type="dxa"/>
            <w:left w:w="108" w:type="dxa"/>
            <w:bottom w:w="0" w:type="dxa"/>
            <w:right w:w="108" w:type="dxa"/>
          </w:tblCellMar>
        </w:tblPrEx>
        <w:trPr>
          <w:trHeight w:val="276" w:hRule="atLeast"/>
          <w:jc w:val="center"/>
        </w:trPr>
        <w:tc>
          <w:tcPr>
            <w:tcW w:w="1928" w:type="dxa"/>
            <w:tcBorders>
              <w:top w:val="single" w:color="000000" w:sz="12" w:space="0"/>
              <w:left w:val="nil"/>
              <w:bottom w:val="single" w:color="000000" w:sz="4" w:space="0"/>
              <w:right w:val="nil"/>
              <w:tl2br w:val="nil"/>
            </w:tcBorders>
            <w:shd w:val="clear" w:color="auto" w:fill="FFFFFF"/>
            <w:noWrap/>
            <w:vAlign w:val="center"/>
          </w:tcPr>
          <w:p w14:paraId="7730D3F8">
            <w:pPr>
              <w:widowControl/>
              <w:jc w:val="center"/>
              <w:textAlignment w:val="center"/>
              <w:rPr>
                <w:rFonts w:hint="default" w:eastAsia="宋体"/>
                <w:color w:val="000000"/>
                <w:sz w:val="22"/>
                <w:szCs w:val="22"/>
                <w:lang w:val="en-US" w:eastAsia="zh-CN"/>
              </w:rPr>
            </w:pPr>
            <w:r>
              <w:rPr>
                <w:rFonts w:eastAsia="宋体"/>
                <w:color w:val="000000"/>
                <w:sz w:val="22"/>
                <w:szCs w:val="22"/>
              </w:rPr>
              <w:t>Treatment</w:t>
            </w:r>
            <w:r>
              <w:rPr>
                <w:rFonts w:hint="eastAsia" w:eastAsia="宋体"/>
                <w:color w:val="000000"/>
                <w:sz w:val="22"/>
                <w:szCs w:val="22"/>
              </w:rPr>
              <w:t>s</w:t>
            </w:r>
          </w:p>
        </w:tc>
        <w:tc>
          <w:tcPr>
            <w:tcW w:w="770" w:type="dxa"/>
            <w:tcBorders>
              <w:top w:val="single" w:color="000000" w:sz="12" w:space="0"/>
              <w:left w:val="nil"/>
              <w:bottom w:val="single" w:color="000000" w:sz="4" w:space="0"/>
              <w:right w:val="nil"/>
            </w:tcBorders>
            <w:shd w:val="clear" w:color="auto" w:fill="FFFFFF"/>
          </w:tcPr>
          <w:p w14:paraId="2740D5B8">
            <w:pPr>
              <w:widowControl/>
              <w:jc w:val="center"/>
              <w:textAlignment w:val="center"/>
              <w:rPr>
                <w:rFonts w:eastAsia="宋体"/>
                <w:color w:val="000000"/>
                <w:sz w:val="22"/>
                <w:szCs w:val="22"/>
                <w:lang w:bidi="ar"/>
              </w:rPr>
            </w:pPr>
            <w:r>
              <w:rPr>
                <w:bCs/>
                <w:color w:val="000000"/>
              </w:rPr>
              <w:t>G</w:t>
            </w:r>
            <w:r>
              <w:rPr>
                <w:rFonts w:hint="eastAsia" w:eastAsia="宋体"/>
                <w:bCs/>
                <w:color w:val="000000"/>
              </w:rPr>
              <w:t>e</w:t>
            </w:r>
            <w:r>
              <w:rPr>
                <w:bCs/>
                <w:color w:val="000000"/>
              </w:rPr>
              <w:t>yi</w:t>
            </w:r>
          </w:p>
        </w:tc>
        <w:tc>
          <w:tcPr>
            <w:tcW w:w="1093" w:type="dxa"/>
            <w:tcBorders>
              <w:top w:val="single" w:color="000000" w:sz="12" w:space="0"/>
              <w:left w:val="nil"/>
              <w:bottom w:val="single" w:color="000000" w:sz="4" w:space="0"/>
              <w:right w:val="nil"/>
            </w:tcBorders>
            <w:shd w:val="clear" w:color="auto" w:fill="FFFFFF"/>
            <w:noWrap/>
            <w:vAlign w:val="center"/>
          </w:tcPr>
          <w:p w14:paraId="7D53BACC">
            <w:pPr>
              <w:widowControl/>
              <w:jc w:val="center"/>
              <w:textAlignment w:val="center"/>
              <w:rPr>
                <w:rFonts w:eastAsia="宋体"/>
                <w:color w:val="000000"/>
                <w:sz w:val="22"/>
                <w:szCs w:val="22"/>
              </w:rPr>
            </w:pPr>
            <w:r>
              <w:rPr>
                <w:rFonts w:eastAsia="宋体"/>
                <w:color w:val="000000"/>
                <w:sz w:val="22"/>
                <w:szCs w:val="22"/>
                <w:lang w:bidi="ar"/>
              </w:rPr>
              <w:t>GCD</w:t>
            </w:r>
          </w:p>
        </w:tc>
        <w:tc>
          <w:tcPr>
            <w:tcW w:w="1013" w:type="dxa"/>
            <w:tcBorders>
              <w:top w:val="single" w:color="000000" w:sz="12" w:space="0"/>
              <w:left w:val="nil"/>
              <w:bottom w:val="single" w:color="000000" w:sz="4" w:space="0"/>
              <w:right w:val="nil"/>
            </w:tcBorders>
            <w:shd w:val="clear" w:color="auto" w:fill="FFFFFF"/>
            <w:noWrap/>
            <w:vAlign w:val="center"/>
          </w:tcPr>
          <w:p w14:paraId="103224D7">
            <w:pPr>
              <w:widowControl/>
              <w:jc w:val="center"/>
              <w:textAlignment w:val="center"/>
              <w:rPr>
                <w:rFonts w:eastAsia="宋体"/>
                <w:color w:val="000000"/>
                <w:sz w:val="22"/>
                <w:szCs w:val="22"/>
              </w:rPr>
            </w:pPr>
            <w:r>
              <w:rPr>
                <w:rFonts w:eastAsia="宋体"/>
                <w:color w:val="000000"/>
                <w:sz w:val="22"/>
                <w:szCs w:val="22"/>
                <w:lang w:bidi="ar"/>
              </w:rPr>
              <w:t>GWD</w:t>
            </w:r>
          </w:p>
        </w:tc>
        <w:tc>
          <w:tcPr>
            <w:tcW w:w="1093" w:type="dxa"/>
            <w:tcBorders>
              <w:top w:val="single" w:color="000000" w:sz="12" w:space="0"/>
              <w:left w:val="nil"/>
              <w:bottom w:val="single" w:color="000000" w:sz="4" w:space="0"/>
              <w:right w:val="nil"/>
            </w:tcBorders>
            <w:shd w:val="clear" w:color="auto" w:fill="FFFFFF"/>
            <w:noWrap/>
            <w:vAlign w:val="center"/>
          </w:tcPr>
          <w:p w14:paraId="6EBC01FA">
            <w:pPr>
              <w:widowControl/>
              <w:jc w:val="center"/>
              <w:textAlignment w:val="center"/>
              <w:rPr>
                <w:rFonts w:eastAsia="宋体"/>
                <w:color w:val="000000"/>
                <w:sz w:val="22"/>
                <w:szCs w:val="22"/>
              </w:rPr>
            </w:pPr>
            <w:r>
              <w:rPr>
                <w:rFonts w:eastAsia="宋体"/>
                <w:color w:val="000000"/>
                <w:sz w:val="22"/>
                <w:szCs w:val="22"/>
                <w:lang w:bidi="ar"/>
              </w:rPr>
              <w:t>GHLB</w:t>
            </w:r>
          </w:p>
        </w:tc>
        <w:tc>
          <w:tcPr>
            <w:tcW w:w="1013" w:type="dxa"/>
            <w:tcBorders>
              <w:top w:val="single" w:color="000000" w:sz="12" w:space="0"/>
              <w:left w:val="nil"/>
              <w:bottom w:val="single" w:color="000000" w:sz="4" w:space="0"/>
              <w:right w:val="nil"/>
            </w:tcBorders>
            <w:shd w:val="clear" w:color="auto" w:fill="FFFFFF"/>
            <w:noWrap/>
            <w:vAlign w:val="center"/>
          </w:tcPr>
          <w:p w14:paraId="3DA4C4AA">
            <w:pPr>
              <w:widowControl/>
              <w:jc w:val="center"/>
              <w:textAlignment w:val="center"/>
              <w:rPr>
                <w:rFonts w:eastAsia="宋体"/>
                <w:color w:val="000000"/>
                <w:sz w:val="22"/>
                <w:szCs w:val="22"/>
              </w:rPr>
            </w:pPr>
            <w:r>
              <w:rPr>
                <w:rFonts w:eastAsia="宋体"/>
                <w:color w:val="000000"/>
                <w:sz w:val="22"/>
                <w:szCs w:val="22"/>
                <w:lang w:bidi="ar"/>
              </w:rPr>
              <w:t>GLB</w:t>
            </w:r>
          </w:p>
        </w:tc>
        <w:tc>
          <w:tcPr>
            <w:tcW w:w="1058" w:type="dxa"/>
            <w:tcBorders>
              <w:top w:val="single" w:color="000000" w:sz="12" w:space="0"/>
              <w:left w:val="nil"/>
              <w:bottom w:val="single" w:color="000000" w:sz="4" w:space="0"/>
              <w:right w:val="nil"/>
            </w:tcBorders>
            <w:shd w:val="clear" w:color="auto" w:fill="FFFFFF"/>
            <w:noWrap/>
            <w:vAlign w:val="center"/>
          </w:tcPr>
          <w:p w14:paraId="75197683">
            <w:pPr>
              <w:widowControl/>
              <w:jc w:val="center"/>
              <w:textAlignment w:val="center"/>
              <w:rPr>
                <w:rFonts w:eastAsia="宋体"/>
                <w:color w:val="000000"/>
                <w:sz w:val="22"/>
                <w:szCs w:val="22"/>
              </w:rPr>
            </w:pPr>
            <w:r>
              <w:rPr>
                <w:rFonts w:eastAsia="宋体"/>
                <w:color w:val="000000"/>
                <w:sz w:val="22"/>
                <w:szCs w:val="22"/>
                <w:lang w:bidi="ar"/>
              </w:rPr>
              <w:t>GLF</w:t>
            </w:r>
          </w:p>
        </w:tc>
        <w:tc>
          <w:tcPr>
            <w:tcW w:w="1058" w:type="dxa"/>
            <w:tcBorders>
              <w:top w:val="single" w:color="000000" w:sz="12" w:space="0"/>
              <w:left w:val="nil"/>
              <w:bottom w:val="single" w:color="000000" w:sz="4" w:space="0"/>
              <w:right w:val="nil"/>
            </w:tcBorders>
            <w:shd w:val="clear" w:color="auto" w:fill="FFFFFF"/>
            <w:noWrap/>
            <w:vAlign w:val="center"/>
          </w:tcPr>
          <w:p w14:paraId="6CE467BD">
            <w:pPr>
              <w:widowControl/>
              <w:jc w:val="center"/>
              <w:textAlignment w:val="center"/>
              <w:rPr>
                <w:rFonts w:eastAsia="宋体"/>
                <w:color w:val="000000"/>
                <w:sz w:val="22"/>
                <w:szCs w:val="22"/>
              </w:rPr>
            </w:pPr>
            <w:r>
              <w:rPr>
                <w:rFonts w:eastAsia="宋体"/>
                <w:color w:val="000000"/>
                <w:sz w:val="22"/>
                <w:szCs w:val="22"/>
                <w:lang w:bidi="ar"/>
              </w:rPr>
              <w:t>GMC</w:t>
            </w:r>
          </w:p>
        </w:tc>
      </w:tr>
      <w:tr w14:paraId="16677821">
        <w:tblPrEx>
          <w:tblCellMar>
            <w:top w:w="0" w:type="dxa"/>
            <w:left w:w="108" w:type="dxa"/>
            <w:bottom w:w="0" w:type="dxa"/>
            <w:right w:w="108" w:type="dxa"/>
          </w:tblCellMar>
        </w:tblPrEx>
        <w:trPr>
          <w:trHeight w:val="276" w:hRule="atLeast"/>
          <w:jc w:val="center"/>
        </w:trPr>
        <w:tc>
          <w:tcPr>
            <w:tcW w:w="0" w:type="auto"/>
            <w:tcBorders>
              <w:top w:val="single" w:color="000000" w:sz="4" w:space="0"/>
              <w:left w:val="nil"/>
              <w:bottom w:val="nil"/>
              <w:right w:val="nil"/>
            </w:tcBorders>
            <w:shd w:val="clear" w:color="auto" w:fill="FFFFFF"/>
            <w:noWrap/>
            <w:vAlign w:val="center"/>
          </w:tcPr>
          <w:p w14:paraId="10C5BB2D">
            <w:pPr>
              <w:widowControl/>
              <w:jc w:val="center"/>
              <w:textAlignment w:val="center"/>
              <w:rPr>
                <w:rFonts w:eastAsia="宋体"/>
                <w:color w:val="000000"/>
                <w:sz w:val="22"/>
                <w:szCs w:val="22"/>
              </w:rPr>
            </w:pPr>
            <w:r>
              <w:rPr>
                <w:rFonts w:eastAsia="宋体"/>
                <w:color w:val="000000"/>
                <w:sz w:val="22"/>
                <w:szCs w:val="22"/>
                <w:lang w:bidi="ar"/>
              </w:rPr>
              <w:t>Nodes</w:t>
            </w:r>
          </w:p>
        </w:tc>
        <w:tc>
          <w:tcPr>
            <w:tcW w:w="0" w:type="auto"/>
            <w:tcBorders>
              <w:top w:val="single" w:color="000000" w:sz="4" w:space="0"/>
              <w:left w:val="nil"/>
              <w:bottom w:val="nil"/>
              <w:right w:val="nil"/>
            </w:tcBorders>
            <w:shd w:val="clear" w:color="auto" w:fill="FFFFFF"/>
          </w:tcPr>
          <w:p w14:paraId="0CAA7522">
            <w:pPr>
              <w:widowControl/>
              <w:jc w:val="center"/>
              <w:textAlignment w:val="center"/>
              <w:rPr>
                <w:rFonts w:eastAsia="宋体"/>
                <w:color w:val="000000"/>
                <w:sz w:val="22"/>
                <w:szCs w:val="22"/>
                <w:lang w:bidi="ar"/>
              </w:rPr>
            </w:pPr>
            <w:r>
              <w:rPr>
                <w:rFonts w:eastAsia="宋体"/>
                <w:color w:val="000000"/>
                <w:lang w:bidi="ar"/>
              </w:rPr>
              <w:t>3596</w:t>
            </w:r>
          </w:p>
        </w:tc>
        <w:tc>
          <w:tcPr>
            <w:tcW w:w="0" w:type="auto"/>
            <w:tcBorders>
              <w:top w:val="single" w:color="000000" w:sz="4" w:space="0"/>
              <w:left w:val="nil"/>
              <w:bottom w:val="nil"/>
              <w:right w:val="nil"/>
            </w:tcBorders>
            <w:shd w:val="clear" w:color="auto" w:fill="FFFFFF"/>
            <w:noWrap/>
            <w:vAlign w:val="center"/>
          </w:tcPr>
          <w:p w14:paraId="025C4D48">
            <w:pPr>
              <w:widowControl/>
              <w:jc w:val="center"/>
              <w:textAlignment w:val="center"/>
              <w:rPr>
                <w:rFonts w:eastAsia="宋体"/>
                <w:color w:val="000000"/>
                <w:sz w:val="22"/>
                <w:szCs w:val="22"/>
              </w:rPr>
            </w:pPr>
            <w:r>
              <w:rPr>
                <w:rFonts w:eastAsia="宋体"/>
                <w:color w:val="000000"/>
                <w:sz w:val="22"/>
                <w:szCs w:val="22"/>
                <w:lang w:bidi="ar"/>
              </w:rPr>
              <w:t>142</w:t>
            </w:r>
          </w:p>
        </w:tc>
        <w:tc>
          <w:tcPr>
            <w:tcW w:w="0" w:type="auto"/>
            <w:tcBorders>
              <w:top w:val="single" w:color="000000" w:sz="4" w:space="0"/>
              <w:left w:val="nil"/>
              <w:bottom w:val="nil"/>
              <w:right w:val="nil"/>
            </w:tcBorders>
            <w:shd w:val="clear" w:color="auto" w:fill="FFFFFF"/>
            <w:noWrap/>
            <w:vAlign w:val="center"/>
          </w:tcPr>
          <w:p w14:paraId="2A0D71EA">
            <w:pPr>
              <w:widowControl/>
              <w:jc w:val="center"/>
              <w:textAlignment w:val="center"/>
              <w:rPr>
                <w:rFonts w:eastAsia="宋体"/>
                <w:color w:val="000000"/>
                <w:sz w:val="22"/>
                <w:szCs w:val="22"/>
              </w:rPr>
            </w:pPr>
            <w:r>
              <w:rPr>
                <w:rFonts w:eastAsia="宋体"/>
                <w:color w:val="000000"/>
                <w:sz w:val="22"/>
                <w:szCs w:val="22"/>
                <w:lang w:bidi="ar"/>
              </w:rPr>
              <w:t>144</w:t>
            </w:r>
          </w:p>
        </w:tc>
        <w:tc>
          <w:tcPr>
            <w:tcW w:w="0" w:type="auto"/>
            <w:tcBorders>
              <w:top w:val="single" w:color="000000" w:sz="4" w:space="0"/>
              <w:left w:val="nil"/>
              <w:bottom w:val="nil"/>
              <w:right w:val="nil"/>
            </w:tcBorders>
            <w:shd w:val="clear" w:color="auto" w:fill="FFFFFF"/>
            <w:noWrap/>
            <w:vAlign w:val="center"/>
          </w:tcPr>
          <w:p w14:paraId="60D7DEAC">
            <w:pPr>
              <w:widowControl/>
              <w:jc w:val="center"/>
              <w:textAlignment w:val="center"/>
              <w:rPr>
                <w:rFonts w:eastAsia="宋体"/>
                <w:color w:val="000000"/>
                <w:sz w:val="22"/>
                <w:szCs w:val="22"/>
              </w:rPr>
            </w:pPr>
            <w:r>
              <w:rPr>
                <w:rFonts w:eastAsia="宋体"/>
                <w:color w:val="000000"/>
                <w:sz w:val="22"/>
                <w:szCs w:val="22"/>
                <w:lang w:bidi="ar"/>
              </w:rPr>
              <w:t>137</w:t>
            </w:r>
          </w:p>
        </w:tc>
        <w:tc>
          <w:tcPr>
            <w:tcW w:w="0" w:type="auto"/>
            <w:tcBorders>
              <w:top w:val="single" w:color="000000" w:sz="4" w:space="0"/>
              <w:left w:val="nil"/>
              <w:bottom w:val="nil"/>
              <w:right w:val="nil"/>
            </w:tcBorders>
            <w:shd w:val="clear" w:color="auto" w:fill="FFFFFF"/>
            <w:noWrap/>
            <w:vAlign w:val="center"/>
          </w:tcPr>
          <w:p w14:paraId="548653F6">
            <w:pPr>
              <w:widowControl/>
              <w:jc w:val="center"/>
              <w:textAlignment w:val="center"/>
              <w:rPr>
                <w:rFonts w:eastAsia="宋体"/>
                <w:color w:val="000000"/>
                <w:sz w:val="22"/>
                <w:szCs w:val="22"/>
              </w:rPr>
            </w:pPr>
            <w:r>
              <w:rPr>
                <w:rFonts w:eastAsia="宋体"/>
                <w:color w:val="000000"/>
                <w:sz w:val="22"/>
                <w:szCs w:val="22"/>
                <w:lang w:bidi="ar"/>
              </w:rPr>
              <w:t>169</w:t>
            </w:r>
          </w:p>
        </w:tc>
        <w:tc>
          <w:tcPr>
            <w:tcW w:w="0" w:type="auto"/>
            <w:tcBorders>
              <w:top w:val="single" w:color="000000" w:sz="4" w:space="0"/>
              <w:left w:val="nil"/>
              <w:bottom w:val="nil"/>
              <w:right w:val="nil"/>
            </w:tcBorders>
            <w:shd w:val="clear" w:color="auto" w:fill="FFFFFF"/>
            <w:noWrap/>
            <w:vAlign w:val="center"/>
          </w:tcPr>
          <w:p w14:paraId="404FD84A">
            <w:pPr>
              <w:widowControl/>
              <w:jc w:val="center"/>
              <w:textAlignment w:val="center"/>
              <w:rPr>
                <w:rFonts w:eastAsia="宋体"/>
                <w:color w:val="000000"/>
                <w:sz w:val="22"/>
                <w:szCs w:val="22"/>
              </w:rPr>
            </w:pPr>
            <w:r>
              <w:rPr>
                <w:rFonts w:eastAsia="宋体"/>
                <w:color w:val="000000"/>
                <w:sz w:val="22"/>
                <w:szCs w:val="22"/>
                <w:lang w:bidi="ar"/>
              </w:rPr>
              <w:t>170</w:t>
            </w:r>
          </w:p>
        </w:tc>
        <w:tc>
          <w:tcPr>
            <w:tcW w:w="0" w:type="auto"/>
            <w:tcBorders>
              <w:top w:val="single" w:color="000000" w:sz="4" w:space="0"/>
              <w:left w:val="nil"/>
              <w:bottom w:val="nil"/>
              <w:right w:val="nil"/>
            </w:tcBorders>
            <w:shd w:val="clear" w:color="auto" w:fill="FFFFFF"/>
            <w:noWrap/>
            <w:vAlign w:val="center"/>
          </w:tcPr>
          <w:p w14:paraId="52295324">
            <w:pPr>
              <w:widowControl/>
              <w:jc w:val="center"/>
              <w:textAlignment w:val="center"/>
              <w:rPr>
                <w:rFonts w:eastAsia="宋体"/>
                <w:color w:val="000000"/>
                <w:sz w:val="22"/>
                <w:szCs w:val="22"/>
              </w:rPr>
            </w:pPr>
            <w:r>
              <w:rPr>
                <w:rFonts w:eastAsia="宋体"/>
                <w:color w:val="000000"/>
                <w:sz w:val="22"/>
                <w:szCs w:val="22"/>
                <w:lang w:bidi="ar"/>
              </w:rPr>
              <w:t>151</w:t>
            </w:r>
          </w:p>
        </w:tc>
      </w:tr>
      <w:tr w14:paraId="311AB819">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1A783A9F">
            <w:pPr>
              <w:widowControl/>
              <w:jc w:val="center"/>
              <w:textAlignment w:val="center"/>
              <w:rPr>
                <w:rFonts w:eastAsia="宋体"/>
                <w:color w:val="000000"/>
                <w:sz w:val="22"/>
                <w:szCs w:val="22"/>
              </w:rPr>
            </w:pPr>
            <w:r>
              <w:rPr>
                <w:rFonts w:eastAsia="宋体"/>
                <w:color w:val="000000"/>
                <w:sz w:val="22"/>
                <w:szCs w:val="22"/>
                <w:lang w:bidi="ar"/>
              </w:rPr>
              <w:t>Edges</w:t>
            </w:r>
          </w:p>
        </w:tc>
        <w:tc>
          <w:tcPr>
            <w:tcW w:w="0" w:type="auto"/>
            <w:tcBorders>
              <w:top w:val="nil"/>
              <w:left w:val="nil"/>
              <w:bottom w:val="nil"/>
              <w:right w:val="nil"/>
            </w:tcBorders>
            <w:shd w:val="clear" w:color="auto" w:fill="FFFFFF"/>
          </w:tcPr>
          <w:p w14:paraId="116D94D2">
            <w:pPr>
              <w:widowControl/>
              <w:jc w:val="center"/>
              <w:textAlignment w:val="center"/>
              <w:rPr>
                <w:rFonts w:eastAsia="宋体"/>
                <w:color w:val="000000"/>
                <w:sz w:val="22"/>
                <w:szCs w:val="22"/>
                <w:lang w:bidi="ar"/>
              </w:rPr>
            </w:pPr>
            <w:r>
              <w:rPr>
                <w:rFonts w:eastAsia="宋体"/>
                <w:color w:val="000000"/>
                <w:lang w:bidi="ar"/>
              </w:rPr>
              <w:t>71818</w:t>
            </w:r>
          </w:p>
        </w:tc>
        <w:tc>
          <w:tcPr>
            <w:tcW w:w="0" w:type="auto"/>
            <w:tcBorders>
              <w:top w:val="nil"/>
              <w:left w:val="nil"/>
              <w:bottom w:val="nil"/>
              <w:right w:val="nil"/>
            </w:tcBorders>
            <w:shd w:val="clear" w:color="auto" w:fill="FFFFFF"/>
            <w:noWrap/>
            <w:vAlign w:val="center"/>
          </w:tcPr>
          <w:p w14:paraId="33F2F277">
            <w:pPr>
              <w:widowControl/>
              <w:jc w:val="center"/>
              <w:textAlignment w:val="center"/>
              <w:rPr>
                <w:rFonts w:eastAsia="宋体"/>
                <w:color w:val="000000"/>
                <w:sz w:val="22"/>
                <w:szCs w:val="22"/>
              </w:rPr>
            </w:pPr>
            <w:r>
              <w:rPr>
                <w:rFonts w:eastAsia="宋体"/>
                <w:color w:val="000000"/>
                <w:sz w:val="22"/>
                <w:szCs w:val="22"/>
                <w:lang w:bidi="ar"/>
              </w:rPr>
              <w:t>111</w:t>
            </w:r>
          </w:p>
        </w:tc>
        <w:tc>
          <w:tcPr>
            <w:tcW w:w="0" w:type="auto"/>
            <w:tcBorders>
              <w:top w:val="nil"/>
              <w:left w:val="nil"/>
              <w:bottom w:val="nil"/>
              <w:right w:val="nil"/>
            </w:tcBorders>
            <w:shd w:val="clear" w:color="auto" w:fill="FFFFFF"/>
            <w:noWrap/>
            <w:vAlign w:val="center"/>
          </w:tcPr>
          <w:p w14:paraId="0A4C7F39">
            <w:pPr>
              <w:widowControl/>
              <w:jc w:val="center"/>
              <w:textAlignment w:val="center"/>
              <w:rPr>
                <w:rFonts w:eastAsia="宋体"/>
                <w:color w:val="000000"/>
                <w:sz w:val="22"/>
                <w:szCs w:val="22"/>
              </w:rPr>
            </w:pPr>
            <w:r>
              <w:rPr>
                <w:rFonts w:eastAsia="宋体"/>
                <w:color w:val="000000"/>
                <w:sz w:val="22"/>
                <w:szCs w:val="22"/>
                <w:lang w:bidi="ar"/>
              </w:rPr>
              <w:t>140</w:t>
            </w:r>
          </w:p>
        </w:tc>
        <w:tc>
          <w:tcPr>
            <w:tcW w:w="0" w:type="auto"/>
            <w:tcBorders>
              <w:top w:val="nil"/>
              <w:left w:val="nil"/>
              <w:bottom w:val="nil"/>
              <w:right w:val="nil"/>
            </w:tcBorders>
            <w:shd w:val="clear" w:color="auto" w:fill="FFFFFF"/>
            <w:noWrap/>
            <w:vAlign w:val="center"/>
          </w:tcPr>
          <w:p w14:paraId="33B965D4">
            <w:pPr>
              <w:widowControl/>
              <w:jc w:val="center"/>
              <w:textAlignment w:val="center"/>
              <w:rPr>
                <w:rFonts w:eastAsia="宋体"/>
                <w:color w:val="000000"/>
                <w:sz w:val="22"/>
                <w:szCs w:val="22"/>
              </w:rPr>
            </w:pPr>
            <w:r>
              <w:rPr>
                <w:rFonts w:eastAsia="宋体"/>
                <w:color w:val="000000"/>
                <w:sz w:val="22"/>
                <w:szCs w:val="22"/>
                <w:lang w:bidi="ar"/>
              </w:rPr>
              <w:t>120</w:t>
            </w:r>
          </w:p>
        </w:tc>
        <w:tc>
          <w:tcPr>
            <w:tcW w:w="0" w:type="auto"/>
            <w:tcBorders>
              <w:top w:val="nil"/>
              <w:left w:val="nil"/>
              <w:bottom w:val="nil"/>
              <w:right w:val="nil"/>
            </w:tcBorders>
            <w:shd w:val="clear" w:color="auto" w:fill="FFFFFF"/>
            <w:noWrap/>
            <w:vAlign w:val="center"/>
          </w:tcPr>
          <w:p w14:paraId="6A8451BA">
            <w:pPr>
              <w:widowControl/>
              <w:jc w:val="center"/>
              <w:textAlignment w:val="center"/>
              <w:rPr>
                <w:rFonts w:eastAsia="宋体"/>
                <w:color w:val="000000"/>
                <w:sz w:val="22"/>
                <w:szCs w:val="22"/>
              </w:rPr>
            </w:pPr>
            <w:r>
              <w:rPr>
                <w:rFonts w:eastAsia="宋体"/>
                <w:color w:val="000000"/>
                <w:sz w:val="22"/>
                <w:szCs w:val="22"/>
                <w:lang w:bidi="ar"/>
              </w:rPr>
              <w:t>253</w:t>
            </w:r>
          </w:p>
        </w:tc>
        <w:tc>
          <w:tcPr>
            <w:tcW w:w="0" w:type="auto"/>
            <w:tcBorders>
              <w:top w:val="nil"/>
              <w:left w:val="nil"/>
              <w:bottom w:val="nil"/>
              <w:right w:val="nil"/>
            </w:tcBorders>
            <w:shd w:val="clear" w:color="auto" w:fill="FFFFFF"/>
            <w:noWrap/>
            <w:vAlign w:val="center"/>
          </w:tcPr>
          <w:p w14:paraId="714032FF">
            <w:pPr>
              <w:widowControl/>
              <w:jc w:val="center"/>
              <w:textAlignment w:val="center"/>
              <w:rPr>
                <w:rFonts w:eastAsia="宋体"/>
                <w:color w:val="000000"/>
                <w:sz w:val="22"/>
                <w:szCs w:val="22"/>
              </w:rPr>
            </w:pPr>
            <w:r>
              <w:rPr>
                <w:rFonts w:eastAsia="宋体"/>
                <w:color w:val="000000"/>
                <w:sz w:val="22"/>
                <w:szCs w:val="22"/>
                <w:lang w:bidi="ar"/>
              </w:rPr>
              <w:t>190</w:t>
            </w:r>
          </w:p>
        </w:tc>
        <w:tc>
          <w:tcPr>
            <w:tcW w:w="0" w:type="auto"/>
            <w:tcBorders>
              <w:top w:val="nil"/>
              <w:left w:val="nil"/>
              <w:bottom w:val="nil"/>
              <w:right w:val="nil"/>
            </w:tcBorders>
            <w:shd w:val="clear" w:color="auto" w:fill="FFFFFF"/>
            <w:noWrap/>
            <w:vAlign w:val="center"/>
          </w:tcPr>
          <w:p w14:paraId="46F14617">
            <w:pPr>
              <w:widowControl/>
              <w:jc w:val="center"/>
              <w:textAlignment w:val="center"/>
              <w:rPr>
                <w:rFonts w:eastAsia="宋体"/>
                <w:color w:val="000000"/>
                <w:sz w:val="22"/>
                <w:szCs w:val="22"/>
              </w:rPr>
            </w:pPr>
            <w:r>
              <w:rPr>
                <w:rFonts w:eastAsia="宋体"/>
                <w:color w:val="000000"/>
                <w:sz w:val="22"/>
                <w:szCs w:val="22"/>
                <w:lang w:bidi="ar"/>
              </w:rPr>
              <w:t>111</w:t>
            </w:r>
          </w:p>
        </w:tc>
      </w:tr>
      <w:tr w14:paraId="625491C7">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69156574">
            <w:pPr>
              <w:widowControl/>
              <w:jc w:val="center"/>
              <w:textAlignment w:val="center"/>
              <w:rPr>
                <w:rFonts w:eastAsia="宋体"/>
                <w:color w:val="000000"/>
                <w:sz w:val="22"/>
                <w:szCs w:val="22"/>
              </w:rPr>
            </w:pPr>
            <w:r>
              <w:rPr>
                <w:rFonts w:eastAsia="宋体"/>
                <w:color w:val="000000"/>
                <w:sz w:val="22"/>
                <w:szCs w:val="22"/>
                <w:lang w:bidi="ar"/>
              </w:rPr>
              <w:t>Average degree</w:t>
            </w:r>
          </w:p>
        </w:tc>
        <w:tc>
          <w:tcPr>
            <w:tcW w:w="0" w:type="auto"/>
            <w:tcBorders>
              <w:top w:val="nil"/>
              <w:left w:val="nil"/>
              <w:bottom w:val="nil"/>
              <w:right w:val="nil"/>
            </w:tcBorders>
            <w:shd w:val="clear" w:color="auto" w:fill="FFFFFF"/>
          </w:tcPr>
          <w:p w14:paraId="74E21331">
            <w:pPr>
              <w:widowControl/>
              <w:jc w:val="center"/>
              <w:textAlignment w:val="center"/>
              <w:rPr>
                <w:rFonts w:eastAsia="宋体"/>
                <w:color w:val="000000"/>
                <w:sz w:val="22"/>
                <w:szCs w:val="22"/>
                <w:lang w:bidi="ar"/>
              </w:rPr>
            </w:pPr>
            <w:r>
              <w:rPr>
                <w:rFonts w:eastAsia="宋体"/>
                <w:color w:val="000000"/>
                <w:lang w:bidi="ar"/>
              </w:rPr>
              <w:t>39.94</w:t>
            </w:r>
          </w:p>
        </w:tc>
        <w:tc>
          <w:tcPr>
            <w:tcW w:w="0" w:type="auto"/>
            <w:tcBorders>
              <w:top w:val="nil"/>
              <w:left w:val="nil"/>
              <w:bottom w:val="nil"/>
              <w:right w:val="nil"/>
            </w:tcBorders>
            <w:shd w:val="clear" w:color="auto" w:fill="FFFFFF"/>
            <w:noWrap/>
            <w:vAlign w:val="center"/>
          </w:tcPr>
          <w:p w14:paraId="200728E7">
            <w:pPr>
              <w:widowControl/>
              <w:jc w:val="center"/>
              <w:textAlignment w:val="center"/>
              <w:rPr>
                <w:rFonts w:eastAsia="宋体"/>
                <w:color w:val="000000"/>
                <w:sz w:val="22"/>
                <w:szCs w:val="22"/>
              </w:rPr>
            </w:pPr>
            <w:r>
              <w:rPr>
                <w:rFonts w:eastAsia="宋体"/>
                <w:color w:val="000000"/>
                <w:sz w:val="22"/>
                <w:szCs w:val="22"/>
                <w:lang w:bidi="ar"/>
              </w:rPr>
              <w:t>1.57</w:t>
            </w:r>
          </w:p>
        </w:tc>
        <w:tc>
          <w:tcPr>
            <w:tcW w:w="0" w:type="auto"/>
            <w:tcBorders>
              <w:top w:val="nil"/>
              <w:left w:val="nil"/>
              <w:bottom w:val="nil"/>
              <w:right w:val="nil"/>
            </w:tcBorders>
            <w:shd w:val="clear" w:color="auto" w:fill="FFFFFF"/>
            <w:noWrap/>
            <w:vAlign w:val="center"/>
          </w:tcPr>
          <w:p w14:paraId="4DB8E130">
            <w:pPr>
              <w:widowControl/>
              <w:jc w:val="center"/>
              <w:textAlignment w:val="center"/>
              <w:rPr>
                <w:rFonts w:eastAsia="宋体"/>
                <w:color w:val="000000"/>
                <w:sz w:val="22"/>
                <w:szCs w:val="22"/>
              </w:rPr>
            </w:pPr>
            <w:r>
              <w:rPr>
                <w:rFonts w:eastAsia="宋体"/>
                <w:color w:val="000000"/>
                <w:sz w:val="22"/>
                <w:szCs w:val="22"/>
                <w:lang w:bidi="ar"/>
              </w:rPr>
              <w:t>1.95</w:t>
            </w:r>
          </w:p>
        </w:tc>
        <w:tc>
          <w:tcPr>
            <w:tcW w:w="0" w:type="auto"/>
            <w:tcBorders>
              <w:top w:val="nil"/>
              <w:left w:val="nil"/>
              <w:bottom w:val="nil"/>
              <w:right w:val="nil"/>
            </w:tcBorders>
            <w:shd w:val="clear" w:color="auto" w:fill="FFFFFF"/>
            <w:noWrap/>
            <w:vAlign w:val="center"/>
          </w:tcPr>
          <w:p w14:paraId="48A3BBEA">
            <w:pPr>
              <w:widowControl/>
              <w:jc w:val="center"/>
              <w:textAlignment w:val="center"/>
              <w:rPr>
                <w:rFonts w:eastAsia="宋体"/>
                <w:color w:val="000000"/>
                <w:sz w:val="22"/>
                <w:szCs w:val="22"/>
              </w:rPr>
            </w:pPr>
            <w:r>
              <w:rPr>
                <w:rFonts w:eastAsia="宋体"/>
                <w:color w:val="000000"/>
                <w:sz w:val="22"/>
                <w:szCs w:val="22"/>
                <w:lang w:bidi="ar"/>
              </w:rPr>
              <w:t>1.72</w:t>
            </w:r>
          </w:p>
        </w:tc>
        <w:tc>
          <w:tcPr>
            <w:tcW w:w="0" w:type="auto"/>
            <w:tcBorders>
              <w:top w:val="nil"/>
              <w:left w:val="nil"/>
              <w:bottom w:val="nil"/>
              <w:right w:val="nil"/>
            </w:tcBorders>
            <w:shd w:val="clear" w:color="auto" w:fill="FFFFFF"/>
            <w:noWrap/>
            <w:vAlign w:val="center"/>
          </w:tcPr>
          <w:p w14:paraId="4C6CD2CE">
            <w:pPr>
              <w:widowControl/>
              <w:jc w:val="center"/>
              <w:textAlignment w:val="center"/>
              <w:rPr>
                <w:rFonts w:eastAsia="宋体"/>
                <w:color w:val="000000"/>
                <w:sz w:val="22"/>
                <w:szCs w:val="22"/>
              </w:rPr>
            </w:pPr>
            <w:r>
              <w:rPr>
                <w:rFonts w:eastAsia="宋体"/>
                <w:color w:val="000000"/>
                <w:sz w:val="22"/>
                <w:szCs w:val="22"/>
                <w:lang w:bidi="ar"/>
              </w:rPr>
              <w:t>2.94</w:t>
            </w:r>
          </w:p>
        </w:tc>
        <w:tc>
          <w:tcPr>
            <w:tcW w:w="0" w:type="auto"/>
            <w:tcBorders>
              <w:top w:val="nil"/>
              <w:left w:val="nil"/>
              <w:bottom w:val="nil"/>
              <w:right w:val="nil"/>
            </w:tcBorders>
            <w:shd w:val="clear" w:color="auto" w:fill="FFFFFF"/>
            <w:noWrap/>
            <w:vAlign w:val="center"/>
          </w:tcPr>
          <w:p w14:paraId="05DFF7AA">
            <w:pPr>
              <w:widowControl/>
              <w:jc w:val="center"/>
              <w:textAlignment w:val="center"/>
              <w:rPr>
                <w:rFonts w:eastAsia="宋体"/>
                <w:color w:val="000000"/>
                <w:sz w:val="22"/>
                <w:szCs w:val="22"/>
              </w:rPr>
            </w:pPr>
            <w:r>
              <w:rPr>
                <w:rFonts w:eastAsia="宋体"/>
                <w:color w:val="000000"/>
                <w:sz w:val="22"/>
                <w:szCs w:val="22"/>
                <w:lang w:bidi="ar"/>
              </w:rPr>
              <w:t>2.23</w:t>
            </w:r>
          </w:p>
        </w:tc>
        <w:tc>
          <w:tcPr>
            <w:tcW w:w="0" w:type="auto"/>
            <w:tcBorders>
              <w:top w:val="nil"/>
              <w:left w:val="nil"/>
              <w:bottom w:val="nil"/>
              <w:right w:val="nil"/>
            </w:tcBorders>
            <w:shd w:val="clear" w:color="auto" w:fill="FFFFFF"/>
            <w:noWrap/>
            <w:vAlign w:val="center"/>
          </w:tcPr>
          <w:p w14:paraId="7C2CEB87">
            <w:pPr>
              <w:widowControl/>
              <w:jc w:val="center"/>
              <w:textAlignment w:val="center"/>
              <w:rPr>
                <w:rFonts w:eastAsia="宋体"/>
                <w:color w:val="000000"/>
                <w:sz w:val="22"/>
                <w:szCs w:val="22"/>
              </w:rPr>
            </w:pPr>
            <w:r>
              <w:rPr>
                <w:rFonts w:eastAsia="宋体"/>
                <w:color w:val="000000"/>
                <w:sz w:val="22"/>
                <w:szCs w:val="22"/>
                <w:lang w:bidi="ar"/>
              </w:rPr>
              <w:t>1.47</w:t>
            </w:r>
          </w:p>
        </w:tc>
      </w:tr>
      <w:tr w14:paraId="7D396B17">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61696352">
            <w:pPr>
              <w:widowControl/>
              <w:jc w:val="center"/>
              <w:textAlignment w:val="center"/>
              <w:rPr>
                <w:rFonts w:eastAsia="宋体"/>
                <w:color w:val="000000"/>
                <w:sz w:val="22"/>
                <w:szCs w:val="22"/>
              </w:rPr>
            </w:pPr>
            <w:r>
              <w:rPr>
                <w:rFonts w:eastAsia="宋体"/>
                <w:color w:val="000000"/>
                <w:sz w:val="22"/>
                <w:szCs w:val="22"/>
                <w:lang w:bidi="ar"/>
              </w:rPr>
              <w:t>Average path length</w:t>
            </w:r>
          </w:p>
        </w:tc>
        <w:tc>
          <w:tcPr>
            <w:tcW w:w="0" w:type="auto"/>
            <w:tcBorders>
              <w:top w:val="nil"/>
              <w:left w:val="nil"/>
              <w:bottom w:val="nil"/>
              <w:right w:val="nil"/>
            </w:tcBorders>
            <w:shd w:val="clear" w:color="auto" w:fill="FFFFFF"/>
          </w:tcPr>
          <w:p w14:paraId="23142D70">
            <w:pPr>
              <w:widowControl/>
              <w:jc w:val="center"/>
              <w:textAlignment w:val="center"/>
              <w:rPr>
                <w:rFonts w:eastAsia="宋体"/>
                <w:color w:val="000000"/>
                <w:sz w:val="22"/>
                <w:szCs w:val="22"/>
                <w:lang w:bidi="ar"/>
              </w:rPr>
            </w:pPr>
            <w:r>
              <w:rPr>
                <w:rFonts w:eastAsia="宋体"/>
                <w:color w:val="000000"/>
                <w:lang w:bidi="ar"/>
              </w:rPr>
              <w:t>5.24</w:t>
            </w:r>
          </w:p>
        </w:tc>
        <w:tc>
          <w:tcPr>
            <w:tcW w:w="0" w:type="auto"/>
            <w:tcBorders>
              <w:top w:val="nil"/>
              <w:left w:val="nil"/>
              <w:bottom w:val="nil"/>
              <w:right w:val="nil"/>
            </w:tcBorders>
            <w:shd w:val="clear" w:color="auto" w:fill="FFFFFF"/>
            <w:noWrap/>
            <w:vAlign w:val="center"/>
          </w:tcPr>
          <w:p w14:paraId="581FE3B3">
            <w:pPr>
              <w:widowControl/>
              <w:jc w:val="center"/>
              <w:textAlignment w:val="center"/>
              <w:rPr>
                <w:rFonts w:eastAsia="宋体"/>
                <w:color w:val="000000"/>
                <w:sz w:val="22"/>
                <w:szCs w:val="22"/>
              </w:rPr>
            </w:pPr>
            <w:r>
              <w:rPr>
                <w:rFonts w:eastAsia="宋体"/>
                <w:color w:val="000000"/>
                <w:sz w:val="22"/>
                <w:szCs w:val="22"/>
                <w:lang w:bidi="ar"/>
              </w:rPr>
              <w:t>3.64</w:t>
            </w:r>
          </w:p>
        </w:tc>
        <w:tc>
          <w:tcPr>
            <w:tcW w:w="0" w:type="auto"/>
            <w:tcBorders>
              <w:top w:val="nil"/>
              <w:left w:val="nil"/>
              <w:bottom w:val="nil"/>
              <w:right w:val="nil"/>
            </w:tcBorders>
            <w:shd w:val="clear" w:color="auto" w:fill="FFFFFF"/>
            <w:noWrap/>
            <w:vAlign w:val="center"/>
          </w:tcPr>
          <w:p w14:paraId="5A6F24D7">
            <w:pPr>
              <w:widowControl/>
              <w:jc w:val="center"/>
              <w:textAlignment w:val="center"/>
              <w:rPr>
                <w:rFonts w:eastAsia="宋体"/>
                <w:color w:val="000000"/>
                <w:sz w:val="22"/>
                <w:szCs w:val="22"/>
              </w:rPr>
            </w:pPr>
            <w:r>
              <w:rPr>
                <w:rFonts w:eastAsia="宋体"/>
                <w:color w:val="000000"/>
                <w:sz w:val="22"/>
                <w:szCs w:val="22"/>
                <w:lang w:bidi="ar"/>
              </w:rPr>
              <w:t>4.06</w:t>
            </w:r>
          </w:p>
        </w:tc>
        <w:tc>
          <w:tcPr>
            <w:tcW w:w="0" w:type="auto"/>
            <w:tcBorders>
              <w:top w:val="nil"/>
              <w:left w:val="nil"/>
              <w:bottom w:val="nil"/>
              <w:right w:val="nil"/>
            </w:tcBorders>
            <w:shd w:val="clear" w:color="auto" w:fill="FFFFFF"/>
            <w:noWrap/>
            <w:vAlign w:val="center"/>
          </w:tcPr>
          <w:p w14:paraId="74E52BA3">
            <w:pPr>
              <w:widowControl/>
              <w:jc w:val="center"/>
              <w:textAlignment w:val="center"/>
              <w:rPr>
                <w:rFonts w:eastAsia="宋体"/>
                <w:color w:val="000000"/>
                <w:sz w:val="22"/>
                <w:szCs w:val="22"/>
              </w:rPr>
            </w:pPr>
            <w:r>
              <w:rPr>
                <w:rFonts w:eastAsia="宋体"/>
                <w:color w:val="000000"/>
                <w:sz w:val="22"/>
                <w:szCs w:val="22"/>
                <w:lang w:bidi="ar"/>
              </w:rPr>
              <w:t>4.2</w:t>
            </w:r>
          </w:p>
        </w:tc>
        <w:tc>
          <w:tcPr>
            <w:tcW w:w="0" w:type="auto"/>
            <w:tcBorders>
              <w:top w:val="nil"/>
              <w:left w:val="nil"/>
              <w:bottom w:val="nil"/>
              <w:right w:val="nil"/>
            </w:tcBorders>
            <w:shd w:val="clear" w:color="auto" w:fill="FFFFFF"/>
            <w:noWrap/>
            <w:vAlign w:val="center"/>
          </w:tcPr>
          <w:p w14:paraId="16C7FCC3">
            <w:pPr>
              <w:widowControl/>
              <w:jc w:val="center"/>
              <w:textAlignment w:val="center"/>
              <w:rPr>
                <w:rFonts w:eastAsia="宋体"/>
                <w:color w:val="000000"/>
                <w:sz w:val="22"/>
                <w:szCs w:val="22"/>
              </w:rPr>
            </w:pPr>
            <w:r>
              <w:rPr>
                <w:rFonts w:eastAsia="宋体"/>
                <w:color w:val="000000"/>
                <w:sz w:val="22"/>
                <w:szCs w:val="22"/>
                <w:lang w:bidi="ar"/>
              </w:rPr>
              <w:t>3.54</w:t>
            </w:r>
          </w:p>
        </w:tc>
        <w:tc>
          <w:tcPr>
            <w:tcW w:w="0" w:type="auto"/>
            <w:tcBorders>
              <w:top w:val="nil"/>
              <w:left w:val="nil"/>
              <w:bottom w:val="nil"/>
              <w:right w:val="nil"/>
            </w:tcBorders>
            <w:shd w:val="clear" w:color="auto" w:fill="FFFFFF"/>
            <w:noWrap/>
            <w:vAlign w:val="center"/>
          </w:tcPr>
          <w:p w14:paraId="113871BA">
            <w:pPr>
              <w:widowControl/>
              <w:jc w:val="center"/>
              <w:textAlignment w:val="center"/>
              <w:rPr>
                <w:rFonts w:eastAsia="宋体"/>
                <w:color w:val="000000"/>
                <w:sz w:val="22"/>
                <w:szCs w:val="22"/>
              </w:rPr>
            </w:pPr>
            <w:r>
              <w:rPr>
                <w:rFonts w:eastAsia="宋体"/>
                <w:color w:val="000000"/>
                <w:sz w:val="22"/>
                <w:szCs w:val="22"/>
                <w:lang w:bidi="ar"/>
              </w:rPr>
              <w:t>3.77</w:t>
            </w:r>
          </w:p>
        </w:tc>
        <w:tc>
          <w:tcPr>
            <w:tcW w:w="0" w:type="auto"/>
            <w:tcBorders>
              <w:top w:val="nil"/>
              <w:left w:val="nil"/>
              <w:bottom w:val="nil"/>
              <w:right w:val="nil"/>
            </w:tcBorders>
            <w:shd w:val="clear" w:color="auto" w:fill="FFFFFF"/>
            <w:noWrap/>
            <w:vAlign w:val="center"/>
          </w:tcPr>
          <w:p w14:paraId="3D6F987B">
            <w:pPr>
              <w:widowControl/>
              <w:jc w:val="center"/>
              <w:textAlignment w:val="center"/>
              <w:rPr>
                <w:rFonts w:eastAsia="宋体"/>
                <w:color w:val="000000"/>
                <w:sz w:val="22"/>
                <w:szCs w:val="22"/>
              </w:rPr>
            </w:pPr>
            <w:r>
              <w:rPr>
                <w:rFonts w:eastAsia="宋体"/>
                <w:color w:val="000000"/>
                <w:sz w:val="22"/>
                <w:szCs w:val="22"/>
                <w:lang w:bidi="ar"/>
              </w:rPr>
              <w:t>3.54</w:t>
            </w:r>
          </w:p>
        </w:tc>
      </w:tr>
      <w:tr w14:paraId="3F9A5C5B">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1ECE4B57">
            <w:pPr>
              <w:widowControl/>
              <w:jc w:val="center"/>
              <w:textAlignment w:val="center"/>
              <w:rPr>
                <w:rFonts w:eastAsia="宋体"/>
                <w:color w:val="000000"/>
                <w:sz w:val="22"/>
                <w:szCs w:val="22"/>
              </w:rPr>
            </w:pPr>
            <w:r>
              <w:rPr>
                <w:rFonts w:eastAsia="宋体"/>
                <w:color w:val="000000"/>
                <w:sz w:val="22"/>
                <w:szCs w:val="22"/>
                <w:lang w:bidi="ar"/>
              </w:rPr>
              <w:t>Diameter</w:t>
            </w:r>
          </w:p>
        </w:tc>
        <w:tc>
          <w:tcPr>
            <w:tcW w:w="0" w:type="auto"/>
            <w:tcBorders>
              <w:top w:val="nil"/>
              <w:left w:val="nil"/>
              <w:bottom w:val="nil"/>
              <w:right w:val="nil"/>
            </w:tcBorders>
            <w:shd w:val="clear" w:color="auto" w:fill="FFFFFF"/>
          </w:tcPr>
          <w:p w14:paraId="6B2D175A">
            <w:pPr>
              <w:widowControl/>
              <w:jc w:val="center"/>
              <w:textAlignment w:val="center"/>
              <w:rPr>
                <w:rFonts w:eastAsia="宋体"/>
                <w:color w:val="000000"/>
                <w:sz w:val="22"/>
                <w:szCs w:val="22"/>
                <w:lang w:bidi="ar"/>
              </w:rPr>
            </w:pPr>
            <w:r>
              <w:rPr>
                <w:rFonts w:eastAsia="宋体"/>
                <w:color w:val="000000"/>
                <w:lang w:bidi="ar"/>
              </w:rPr>
              <w:t>18.53</w:t>
            </w:r>
          </w:p>
        </w:tc>
        <w:tc>
          <w:tcPr>
            <w:tcW w:w="0" w:type="auto"/>
            <w:tcBorders>
              <w:top w:val="nil"/>
              <w:left w:val="nil"/>
              <w:bottom w:val="nil"/>
              <w:right w:val="nil"/>
            </w:tcBorders>
            <w:shd w:val="clear" w:color="auto" w:fill="FFFFFF"/>
            <w:noWrap/>
            <w:vAlign w:val="center"/>
          </w:tcPr>
          <w:p w14:paraId="3BE5D43A">
            <w:pPr>
              <w:widowControl/>
              <w:jc w:val="center"/>
              <w:textAlignment w:val="center"/>
              <w:rPr>
                <w:rFonts w:eastAsia="宋体"/>
                <w:color w:val="000000"/>
                <w:sz w:val="22"/>
                <w:szCs w:val="22"/>
              </w:rPr>
            </w:pPr>
            <w:r>
              <w:rPr>
                <w:rFonts w:eastAsia="宋体"/>
                <w:color w:val="000000"/>
                <w:sz w:val="22"/>
                <w:szCs w:val="22"/>
                <w:lang w:bidi="ar"/>
              </w:rPr>
              <w:t>8.47</w:t>
            </w:r>
          </w:p>
        </w:tc>
        <w:tc>
          <w:tcPr>
            <w:tcW w:w="0" w:type="auto"/>
            <w:tcBorders>
              <w:top w:val="nil"/>
              <w:left w:val="nil"/>
              <w:bottom w:val="nil"/>
              <w:right w:val="nil"/>
            </w:tcBorders>
            <w:shd w:val="clear" w:color="auto" w:fill="FFFFFF"/>
            <w:noWrap/>
            <w:vAlign w:val="center"/>
          </w:tcPr>
          <w:p w14:paraId="7B0B8AB6">
            <w:pPr>
              <w:widowControl/>
              <w:jc w:val="center"/>
              <w:textAlignment w:val="center"/>
              <w:rPr>
                <w:rFonts w:eastAsia="宋体"/>
                <w:color w:val="000000"/>
                <w:sz w:val="22"/>
                <w:szCs w:val="22"/>
              </w:rPr>
            </w:pPr>
            <w:r>
              <w:rPr>
                <w:rFonts w:eastAsia="宋体"/>
                <w:color w:val="000000"/>
                <w:sz w:val="22"/>
                <w:szCs w:val="22"/>
                <w:lang w:bidi="ar"/>
              </w:rPr>
              <w:t>9.73</w:t>
            </w:r>
          </w:p>
        </w:tc>
        <w:tc>
          <w:tcPr>
            <w:tcW w:w="0" w:type="auto"/>
            <w:tcBorders>
              <w:top w:val="nil"/>
              <w:left w:val="nil"/>
              <w:bottom w:val="nil"/>
              <w:right w:val="nil"/>
            </w:tcBorders>
            <w:shd w:val="clear" w:color="auto" w:fill="FFFFFF"/>
            <w:noWrap/>
            <w:vAlign w:val="center"/>
          </w:tcPr>
          <w:p w14:paraId="04D55990">
            <w:pPr>
              <w:widowControl/>
              <w:jc w:val="center"/>
              <w:textAlignment w:val="center"/>
              <w:rPr>
                <w:rFonts w:eastAsia="宋体"/>
                <w:color w:val="000000"/>
                <w:sz w:val="22"/>
                <w:szCs w:val="22"/>
              </w:rPr>
            </w:pPr>
            <w:r>
              <w:rPr>
                <w:rFonts w:eastAsia="宋体"/>
                <w:color w:val="000000"/>
                <w:sz w:val="22"/>
                <w:szCs w:val="22"/>
                <w:lang w:bidi="ar"/>
              </w:rPr>
              <w:t>10.26</w:t>
            </w:r>
          </w:p>
        </w:tc>
        <w:tc>
          <w:tcPr>
            <w:tcW w:w="0" w:type="auto"/>
            <w:tcBorders>
              <w:top w:val="nil"/>
              <w:left w:val="nil"/>
              <w:bottom w:val="nil"/>
              <w:right w:val="nil"/>
            </w:tcBorders>
            <w:shd w:val="clear" w:color="auto" w:fill="FFFFFF"/>
            <w:noWrap/>
            <w:vAlign w:val="center"/>
          </w:tcPr>
          <w:p w14:paraId="07D99D17">
            <w:pPr>
              <w:widowControl/>
              <w:jc w:val="center"/>
              <w:textAlignment w:val="center"/>
              <w:rPr>
                <w:rFonts w:eastAsia="宋体"/>
                <w:color w:val="000000"/>
                <w:sz w:val="22"/>
                <w:szCs w:val="22"/>
              </w:rPr>
            </w:pPr>
            <w:r>
              <w:rPr>
                <w:rFonts w:eastAsia="宋体"/>
                <w:color w:val="000000"/>
                <w:sz w:val="22"/>
                <w:szCs w:val="22"/>
                <w:lang w:bidi="ar"/>
              </w:rPr>
              <w:t>8.54</w:t>
            </w:r>
          </w:p>
        </w:tc>
        <w:tc>
          <w:tcPr>
            <w:tcW w:w="0" w:type="auto"/>
            <w:tcBorders>
              <w:top w:val="nil"/>
              <w:left w:val="nil"/>
              <w:bottom w:val="nil"/>
              <w:right w:val="nil"/>
            </w:tcBorders>
            <w:shd w:val="clear" w:color="auto" w:fill="FFFFFF"/>
            <w:noWrap/>
            <w:vAlign w:val="center"/>
          </w:tcPr>
          <w:p w14:paraId="426C428A">
            <w:pPr>
              <w:widowControl/>
              <w:jc w:val="center"/>
              <w:textAlignment w:val="center"/>
              <w:rPr>
                <w:rFonts w:eastAsia="宋体"/>
                <w:color w:val="000000"/>
                <w:sz w:val="22"/>
                <w:szCs w:val="22"/>
              </w:rPr>
            </w:pPr>
            <w:r>
              <w:rPr>
                <w:rFonts w:eastAsia="宋体"/>
                <w:color w:val="000000"/>
                <w:sz w:val="22"/>
                <w:szCs w:val="22"/>
                <w:lang w:bidi="ar"/>
              </w:rPr>
              <w:t>8.84</w:t>
            </w:r>
          </w:p>
        </w:tc>
        <w:tc>
          <w:tcPr>
            <w:tcW w:w="0" w:type="auto"/>
            <w:tcBorders>
              <w:top w:val="nil"/>
              <w:left w:val="nil"/>
              <w:bottom w:val="nil"/>
              <w:right w:val="nil"/>
            </w:tcBorders>
            <w:shd w:val="clear" w:color="auto" w:fill="FFFFFF"/>
            <w:noWrap/>
            <w:vAlign w:val="center"/>
          </w:tcPr>
          <w:p w14:paraId="4E41710A">
            <w:pPr>
              <w:widowControl/>
              <w:jc w:val="center"/>
              <w:textAlignment w:val="center"/>
              <w:rPr>
                <w:rFonts w:eastAsia="宋体"/>
                <w:color w:val="000000"/>
                <w:sz w:val="22"/>
                <w:szCs w:val="22"/>
              </w:rPr>
            </w:pPr>
            <w:r>
              <w:rPr>
                <w:rFonts w:eastAsia="宋体"/>
                <w:color w:val="000000"/>
                <w:sz w:val="22"/>
                <w:szCs w:val="22"/>
                <w:lang w:bidi="ar"/>
              </w:rPr>
              <w:t>7.91</w:t>
            </w:r>
          </w:p>
        </w:tc>
      </w:tr>
      <w:tr w14:paraId="7BCAA47B">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1FD5F317">
            <w:pPr>
              <w:widowControl/>
              <w:jc w:val="center"/>
              <w:textAlignment w:val="center"/>
              <w:rPr>
                <w:rFonts w:eastAsia="宋体"/>
                <w:color w:val="000000"/>
                <w:sz w:val="22"/>
                <w:szCs w:val="22"/>
              </w:rPr>
            </w:pPr>
            <w:r>
              <w:rPr>
                <w:rFonts w:eastAsia="宋体"/>
                <w:color w:val="000000"/>
                <w:sz w:val="22"/>
                <w:szCs w:val="22"/>
                <w:lang w:bidi="ar"/>
              </w:rPr>
              <w:t>Modularity</w:t>
            </w:r>
          </w:p>
        </w:tc>
        <w:tc>
          <w:tcPr>
            <w:tcW w:w="0" w:type="auto"/>
            <w:tcBorders>
              <w:top w:val="nil"/>
              <w:left w:val="nil"/>
              <w:bottom w:val="nil"/>
              <w:right w:val="nil"/>
            </w:tcBorders>
            <w:shd w:val="clear" w:color="auto" w:fill="FFFFFF"/>
          </w:tcPr>
          <w:p w14:paraId="6DDB7FA3">
            <w:pPr>
              <w:widowControl/>
              <w:jc w:val="center"/>
              <w:textAlignment w:val="center"/>
              <w:rPr>
                <w:rFonts w:eastAsia="宋体"/>
                <w:color w:val="000000"/>
                <w:sz w:val="22"/>
                <w:szCs w:val="22"/>
                <w:lang w:bidi="ar"/>
              </w:rPr>
            </w:pPr>
            <w:r>
              <w:rPr>
                <w:rFonts w:eastAsia="宋体"/>
                <w:color w:val="000000"/>
                <w:lang w:bidi="ar"/>
              </w:rPr>
              <w:t>0.83</w:t>
            </w:r>
          </w:p>
        </w:tc>
        <w:tc>
          <w:tcPr>
            <w:tcW w:w="0" w:type="auto"/>
            <w:tcBorders>
              <w:top w:val="nil"/>
              <w:left w:val="nil"/>
              <w:bottom w:val="nil"/>
              <w:right w:val="nil"/>
            </w:tcBorders>
            <w:shd w:val="clear" w:color="auto" w:fill="FFFFFF"/>
            <w:noWrap/>
            <w:vAlign w:val="center"/>
          </w:tcPr>
          <w:p w14:paraId="18BC7898">
            <w:pPr>
              <w:widowControl/>
              <w:jc w:val="center"/>
              <w:textAlignment w:val="center"/>
              <w:rPr>
                <w:rFonts w:eastAsia="宋体"/>
                <w:color w:val="000000"/>
                <w:sz w:val="22"/>
                <w:szCs w:val="22"/>
              </w:rPr>
            </w:pPr>
            <w:r>
              <w:rPr>
                <w:rFonts w:eastAsia="宋体"/>
                <w:color w:val="000000"/>
                <w:sz w:val="22"/>
                <w:szCs w:val="22"/>
                <w:lang w:bidi="ar"/>
              </w:rPr>
              <w:t>0.77</w:t>
            </w:r>
          </w:p>
        </w:tc>
        <w:tc>
          <w:tcPr>
            <w:tcW w:w="0" w:type="auto"/>
            <w:tcBorders>
              <w:top w:val="nil"/>
              <w:left w:val="nil"/>
              <w:bottom w:val="nil"/>
              <w:right w:val="nil"/>
            </w:tcBorders>
            <w:shd w:val="clear" w:color="auto" w:fill="FFFFFF"/>
            <w:noWrap/>
            <w:vAlign w:val="center"/>
          </w:tcPr>
          <w:p w14:paraId="116B13BF">
            <w:pPr>
              <w:widowControl/>
              <w:jc w:val="center"/>
              <w:textAlignment w:val="center"/>
              <w:rPr>
                <w:rFonts w:eastAsia="宋体"/>
                <w:color w:val="000000"/>
                <w:sz w:val="22"/>
                <w:szCs w:val="22"/>
              </w:rPr>
            </w:pPr>
            <w:r>
              <w:rPr>
                <w:rFonts w:eastAsia="宋体"/>
                <w:color w:val="000000"/>
                <w:sz w:val="22"/>
                <w:szCs w:val="22"/>
                <w:lang w:bidi="ar"/>
              </w:rPr>
              <w:t>0.72</w:t>
            </w:r>
          </w:p>
        </w:tc>
        <w:tc>
          <w:tcPr>
            <w:tcW w:w="0" w:type="auto"/>
            <w:tcBorders>
              <w:top w:val="nil"/>
              <w:left w:val="nil"/>
              <w:bottom w:val="nil"/>
              <w:right w:val="nil"/>
            </w:tcBorders>
            <w:shd w:val="clear" w:color="auto" w:fill="FFFFFF"/>
            <w:noWrap/>
            <w:vAlign w:val="center"/>
          </w:tcPr>
          <w:p w14:paraId="53E14686">
            <w:pPr>
              <w:widowControl/>
              <w:jc w:val="center"/>
              <w:textAlignment w:val="center"/>
              <w:rPr>
                <w:rFonts w:eastAsia="宋体"/>
                <w:color w:val="000000"/>
                <w:sz w:val="22"/>
                <w:szCs w:val="22"/>
              </w:rPr>
            </w:pPr>
            <w:r>
              <w:rPr>
                <w:rFonts w:eastAsia="宋体"/>
                <w:color w:val="000000"/>
                <w:sz w:val="22"/>
                <w:szCs w:val="22"/>
                <w:lang w:bidi="ar"/>
              </w:rPr>
              <w:t>0.75</w:t>
            </w:r>
          </w:p>
        </w:tc>
        <w:tc>
          <w:tcPr>
            <w:tcW w:w="0" w:type="auto"/>
            <w:tcBorders>
              <w:top w:val="nil"/>
              <w:left w:val="nil"/>
              <w:bottom w:val="nil"/>
              <w:right w:val="nil"/>
            </w:tcBorders>
            <w:shd w:val="clear" w:color="auto" w:fill="FFFFFF"/>
            <w:noWrap/>
            <w:vAlign w:val="center"/>
          </w:tcPr>
          <w:p w14:paraId="045B6F1B">
            <w:pPr>
              <w:widowControl/>
              <w:jc w:val="center"/>
              <w:textAlignment w:val="center"/>
              <w:rPr>
                <w:rFonts w:eastAsia="宋体"/>
                <w:color w:val="000000"/>
                <w:sz w:val="22"/>
                <w:szCs w:val="22"/>
              </w:rPr>
            </w:pPr>
            <w:r>
              <w:rPr>
                <w:rFonts w:eastAsia="宋体"/>
                <w:color w:val="000000"/>
                <w:sz w:val="22"/>
                <w:szCs w:val="22"/>
                <w:lang w:bidi="ar"/>
              </w:rPr>
              <w:t>0.61</w:t>
            </w:r>
          </w:p>
        </w:tc>
        <w:tc>
          <w:tcPr>
            <w:tcW w:w="0" w:type="auto"/>
            <w:tcBorders>
              <w:top w:val="nil"/>
              <w:left w:val="nil"/>
              <w:bottom w:val="nil"/>
              <w:right w:val="nil"/>
            </w:tcBorders>
            <w:shd w:val="clear" w:color="auto" w:fill="FFFFFF"/>
            <w:noWrap/>
            <w:vAlign w:val="center"/>
          </w:tcPr>
          <w:p w14:paraId="42C20BEA">
            <w:pPr>
              <w:widowControl/>
              <w:jc w:val="center"/>
              <w:textAlignment w:val="center"/>
              <w:rPr>
                <w:rFonts w:eastAsia="宋体"/>
                <w:color w:val="000000"/>
                <w:sz w:val="22"/>
                <w:szCs w:val="22"/>
              </w:rPr>
            </w:pPr>
            <w:r>
              <w:rPr>
                <w:rFonts w:eastAsia="宋体"/>
                <w:color w:val="000000"/>
                <w:sz w:val="22"/>
                <w:szCs w:val="22"/>
                <w:lang w:bidi="ar"/>
              </w:rPr>
              <w:t>0.66</w:t>
            </w:r>
          </w:p>
        </w:tc>
        <w:tc>
          <w:tcPr>
            <w:tcW w:w="0" w:type="auto"/>
            <w:tcBorders>
              <w:top w:val="nil"/>
              <w:left w:val="nil"/>
              <w:bottom w:val="nil"/>
              <w:right w:val="nil"/>
            </w:tcBorders>
            <w:shd w:val="clear" w:color="auto" w:fill="FFFFFF"/>
            <w:noWrap/>
            <w:vAlign w:val="center"/>
          </w:tcPr>
          <w:p w14:paraId="294FF730">
            <w:pPr>
              <w:widowControl/>
              <w:jc w:val="center"/>
              <w:textAlignment w:val="center"/>
              <w:rPr>
                <w:rFonts w:eastAsia="宋体"/>
                <w:color w:val="000000"/>
                <w:sz w:val="22"/>
                <w:szCs w:val="22"/>
              </w:rPr>
            </w:pPr>
            <w:r>
              <w:rPr>
                <w:rFonts w:eastAsia="宋体"/>
                <w:color w:val="000000"/>
                <w:sz w:val="22"/>
                <w:szCs w:val="22"/>
                <w:lang w:bidi="ar"/>
              </w:rPr>
              <w:t>0.79</w:t>
            </w:r>
          </w:p>
        </w:tc>
      </w:tr>
      <w:tr w14:paraId="2DFEBFDC">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2814FDCB">
            <w:pPr>
              <w:widowControl/>
              <w:jc w:val="center"/>
              <w:textAlignment w:val="center"/>
              <w:rPr>
                <w:rFonts w:eastAsia="宋体"/>
                <w:color w:val="000000"/>
                <w:sz w:val="22"/>
                <w:szCs w:val="22"/>
              </w:rPr>
            </w:pPr>
            <w:r>
              <w:rPr>
                <w:rFonts w:eastAsia="宋体"/>
                <w:color w:val="000000"/>
                <w:sz w:val="22"/>
                <w:szCs w:val="22"/>
                <w:lang w:bidi="ar"/>
              </w:rPr>
              <w:t>RM</w:t>
            </w:r>
          </w:p>
        </w:tc>
        <w:tc>
          <w:tcPr>
            <w:tcW w:w="0" w:type="auto"/>
            <w:tcBorders>
              <w:top w:val="nil"/>
              <w:left w:val="nil"/>
              <w:bottom w:val="nil"/>
              <w:right w:val="nil"/>
            </w:tcBorders>
            <w:shd w:val="clear" w:color="auto" w:fill="FFFFFF"/>
          </w:tcPr>
          <w:p w14:paraId="48591901">
            <w:pPr>
              <w:widowControl/>
              <w:jc w:val="center"/>
              <w:textAlignment w:val="center"/>
              <w:rPr>
                <w:rFonts w:eastAsia="宋体"/>
                <w:color w:val="000000"/>
                <w:sz w:val="22"/>
                <w:szCs w:val="22"/>
                <w:lang w:bidi="ar"/>
              </w:rPr>
            </w:pPr>
            <w:r>
              <w:rPr>
                <w:rFonts w:eastAsia="宋体"/>
                <w:color w:val="000000"/>
                <w:lang w:bidi="ar"/>
              </w:rPr>
              <w:t>0.</w:t>
            </w:r>
            <w:r>
              <w:rPr>
                <w:rFonts w:hint="eastAsia" w:eastAsia="宋体"/>
                <w:color w:val="000000"/>
                <w:lang w:bidi="ar"/>
              </w:rPr>
              <w:t>2</w:t>
            </w:r>
            <w:r>
              <w:rPr>
                <w:rFonts w:eastAsia="宋体"/>
                <w:color w:val="000000"/>
                <w:lang w:bidi="ar"/>
              </w:rPr>
              <w:t>9</w:t>
            </w:r>
          </w:p>
        </w:tc>
        <w:tc>
          <w:tcPr>
            <w:tcW w:w="0" w:type="auto"/>
            <w:tcBorders>
              <w:top w:val="nil"/>
              <w:left w:val="nil"/>
              <w:bottom w:val="nil"/>
              <w:right w:val="nil"/>
            </w:tcBorders>
            <w:shd w:val="clear" w:color="auto" w:fill="FFFFFF"/>
            <w:noWrap/>
            <w:vAlign w:val="center"/>
          </w:tcPr>
          <w:p w14:paraId="1D21276A">
            <w:pPr>
              <w:widowControl/>
              <w:jc w:val="center"/>
              <w:textAlignment w:val="center"/>
              <w:rPr>
                <w:rFonts w:eastAsia="宋体"/>
                <w:color w:val="000000"/>
                <w:sz w:val="22"/>
                <w:szCs w:val="22"/>
              </w:rPr>
            </w:pPr>
            <w:r>
              <w:rPr>
                <w:rFonts w:eastAsia="宋体"/>
                <w:color w:val="000000"/>
                <w:sz w:val="22"/>
                <w:szCs w:val="22"/>
                <w:lang w:bidi="ar"/>
              </w:rPr>
              <w:t>0.23</w:t>
            </w:r>
          </w:p>
        </w:tc>
        <w:tc>
          <w:tcPr>
            <w:tcW w:w="0" w:type="auto"/>
            <w:tcBorders>
              <w:top w:val="nil"/>
              <w:left w:val="nil"/>
              <w:bottom w:val="nil"/>
              <w:right w:val="nil"/>
            </w:tcBorders>
            <w:shd w:val="clear" w:color="auto" w:fill="FFFFFF"/>
            <w:noWrap/>
            <w:vAlign w:val="center"/>
          </w:tcPr>
          <w:p w14:paraId="1BF1BE24">
            <w:pPr>
              <w:widowControl/>
              <w:jc w:val="center"/>
              <w:textAlignment w:val="center"/>
              <w:rPr>
                <w:rFonts w:eastAsia="宋体"/>
                <w:color w:val="000000"/>
                <w:sz w:val="22"/>
                <w:szCs w:val="22"/>
              </w:rPr>
            </w:pPr>
            <w:r>
              <w:rPr>
                <w:rFonts w:eastAsia="宋体"/>
                <w:color w:val="000000"/>
                <w:sz w:val="22"/>
                <w:szCs w:val="22"/>
                <w:lang w:bidi="ar"/>
              </w:rPr>
              <w:t>0.28</w:t>
            </w:r>
          </w:p>
        </w:tc>
        <w:tc>
          <w:tcPr>
            <w:tcW w:w="0" w:type="auto"/>
            <w:tcBorders>
              <w:top w:val="nil"/>
              <w:left w:val="nil"/>
              <w:bottom w:val="nil"/>
              <w:right w:val="nil"/>
            </w:tcBorders>
            <w:shd w:val="clear" w:color="auto" w:fill="FFFFFF"/>
            <w:noWrap/>
            <w:vAlign w:val="center"/>
          </w:tcPr>
          <w:p w14:paraId="24181A23">
            <w:pPr>
              <w:widowControl/>
              <w:jc w:val="center"/>
              <w:textAlignment w:val="center"/>
              <w:rPr>
                <w:rFonts w:eastAsia="宋体"/>
                <w:color w:val="000000"/>
                <w:sz w:val="22"/>
                <w:szCs w:val="22"/>
              </w:rPr>
            </w:pPr>
            <w:r>
              <w:rPr>
                <w:rFonts w:eastAsia="宋体"/>
                <w:color w:val="000000"/>
                <w:sz w:val="22"/>
                <w:szCs w:val="22"/>
                <w:lang w:bidi="ar"/>
              </w:rPr>
              <w:t>0.25</w:t>
            </w:r>
          </w:p>
        </w:tc>
        <w:tc>
          <w:tcPr>
            <w:tcW w:w="0" w:type="auto"/>
            <w:tcBorders>
              <w:top w:val="nil"/>
              <w:left w:val="nil"/>
              <w:bottom w:val="nil"/>
              <w:right w:val="nil"/>
            </w:tcBorders>
            <w:shd w:val="clear" w:color="auto" w:fill="FFFFFF"/>
            <w:noWrap/>
            <w:vAlign w:val="center"/>
          </w:tcPr>
          <w:p w14:paraId="4BAF66E3">
            <w:pPr>
              <w:widowControl/>
              <w:jc w:val="center"/>
              <w:textAlignment w:val="center"/>
              <w:rPr>
                <w:rFonts w:eastAsia="宋体"/>
                <w:color w:val="000000"/>
                <w:sz w:val="22"/>
                <w:szCs w:val="22"/>
              </w:rPr>
            </w:pPr>
            <w:r>
              <w:rPr>
                <w:rFonts w:eastAsia="宋体"/>
                <w:color w:val="000000"/>
                <w:sz w:val="22"/>
                <w:szCs w:val="22"/>
                <w:lang w:bidi="ar"/>
              </w:rPr>
              <w:t>0.49</w:t>
            </w:r>
          </w:p>
        </w:tc>
        <w:tc>
          <w:tcPr>
            <w:tcW w:w="0" w:type="auto"/>
            <w:tcBorders>
              <w:top w:val="nil"/>
              <w:left w:val="nil"/>
              <w:bottom w:val="nil"/>
              <w:right w:val="nil"/>
            </w:tcBorders>
            <w:shd w:val="clear" w:color="auto" w:fill="FFFFFF"/>
            <w:noWrap/>
            <w:vAlign w:val="center"/>
          </w:tcPr>
          <w:p w14:paraId="230AF8D2">
            <w:pPr>
              <w:widowControl/>
              <w:jc w:val="center"/>
              <w:textAlignment w:val="center"/>
              <w:rPr>
                <w:rFonts w:eastAsia="宋体"/>
                <w:color w:val="000000"/>
                <w:sz w:val="22"/>
                <w:szCs w:val="22"/>
              </w:rPr>
            </w:pPr>
            <w:r>
              <w:rPr>
                <w:rFonts w:eastAsia="宋体"/>
                <w:color w:val="000000"/>
                <w:sz w:val="22"/>
                <w:szCs w:val="22"/>
                <w:lang w:bidi="ar"/>
              </w:rPr>
              <w:t>0.33</w:t>
            </w:r>
          </w:p>
        </w:tc>
        <w:tc>
          <w:tcPr>
            <w:tcW w:w="0" w:type="auto"/>
            <w:tcBorders>
              <w:top w:val="nil"/>
              <w:left w:val="nil"/>
              <w:bottom w:val="nil"/>
              <w:right w:val="nil"/>
            </w:tcBorders>
            <w:shd w:val="clear" w:color="auto" w:fill="FFFFFF"/>
            <w:noWrap/>
            <w:vAlign w:val="center"/>
          </w:tcPr>
          <w:p w14:paraId="76F84868">
            <w:pPr>
              <w:widowControl/>
              <w:jc w:val="center"/>
              <w:textAlignment w:val="center"/>
              <w:rPr>
                <w:rFonts w:eastAsia="宋体"/>
                <w:color w:val="000000"/>
                <w:sz w:val="22"/>
                <w:szCs w:val="22"/>
              </w:rPr>
            </w:pPr>
            <w:r>
              <w:rPr>
                <w:rFonts w:eastAsia="宋体"/>
                <w:color w:val="000000"/>
                <w:sz w:val="22"/>
                <w:szCs w:val="22"/>
                <w:lang w:bidi="ar"/>
              </w:rPr>
              <w:t>0.19</w:t>
            </w:r>
          </w:p>
        </w:tc>
      </w:tr>
      <w:tr w14:paraId="76A0CAE1">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21131AFD">
            <w:pPr>
              <w:widowControl/>
              <w:jc w:val="center"/>
              <w:textAlignment w:val="center"/>
              <w:rPr>
                <w:rFonts w:eastAsia="宋体"/>
                <w:color w:val="000000"/>
                <w:sz w:val="22"/>
                <w:szCs w:val="22"/>
              </w:rPr>
            </w:pPr>
            <w:r>
              <w:rPr>
                <w:rFonts w:eastAsia="宋体"/>
                <w:color w:val="000000"/>
                <w:sz w:val="22"/>
                <w:szCs w:val="22"/>
                <w:lang w:bidi="ar"/>
              </w:rPr>
              <w:t>Average CC</w:t>
            </w:r>
          </w:p>
        </w:tc>
        <w:tc>
          <w:tcPr>
            <w:tcW w:w="0" w:type="auto"/>
            <w:tcBorders>
              <w:top w:val="nil"/>
              <w:left w:val="nil"/>
              <w:bottom w:val="nil"/>
              <w:right w:val="nil"/>
            </w:tcBorders>
            <w:shd w:val="clear" w:color="auto" w:fill="FFFFFF"/>
          </w:tcPr>
          <w:p w14:paraId="74FF1AFF">
            <w:pPr>
              <w:widowControl/>
              <w:jc w:val="center"/>
              <w:textAlignment w:val="center"/>
              <w:rPr>
                <w:rFonts w:eastAsia="宋体"/>
                <w:color w:val="000000"/>
                <w:sz w:val="22"/>
                <w:szCs w:val="22"/>
                <w:lang w:bidi="ar"/>
              </w:rPr>
            </w:pPr>
            <w:r>
              <w:rPr>
                <w:rFonts w:hint="eastAsia" w:eastAsia="宋体"/>
                <w:color w:val="000000"/>
                <w:lang w:bidi="ar"/>
              </w:rPr>
              <w:t>0.7</w:t>
            </w:r>
          </w:p>
        </w:tc>
        <w:tc>
          <w:tcPr>
            <w:tcW w:w="0" w:type="auto"/>
            <w:tcBorders>
              <w:top w:val="nil"/>
              <w:left w:val="nil"/>
              <w:bottom w:val="nil"/>
              <w:right w:val="nil"/>
            </w:tcBorders>
            <w:shd w:val="clear" w:color="auto" w:fill="FFFFFF"/>
            <w:noWrap/>
            <w:vAlign w:val="center"/>
          </w:tcPr>
          <w:p w14:paraId="79BBA697">
            <w:pPr>
              <w:widowControl/>
              <w:jc w:val="center"/>
              <w:textAlignment w:val="center"/>
              <w:rPr>
                <w:rFonts w:eastAsia="宋体"/>
                <w:color w:val="000000"/>
                <w:sz w:val="22"/>
                <w:szCs w:val="22"/>
              </w:rPr>
            </w:pPr>
            <w:r>
              <w:rPr>
                <w:rFonts w:eastAsia="宋体"/>
                <w:color w:val="000000"/>
                <w:sz w:val="22"/>
                <w:szCs w:val="22"/>
                <w:lang w:bidi="ar"/>
              </w:rPr>
              <w:t>0.57</w:t>
            </w:r>
          </w:p>
        </w:tc>
        <w:tc>
          <w:tcPr>
            <w:tcW w:w="0" w:type="auto"/>
            <w:tcBorders>
              <w:top w:val="nil"/>
              <w:left w:val="nil"/>
              <w:bottom w:val="nil"/>
              <w:right w:val="nil"/>
            </w:tcBorders>
            <w:shd w:val="clear" w:color="auto" w:fill="FFFFFF"/>
            <w:noWrap/>
            <w:vAlign w:val="center"/>
          </w:tcPr>
          <w:p w14:paraId="2EF2D5BC">
            <w:pPr>
              <w:widowControl/>
              <w:jc w:val="center"/>
              <w:textAlignment w:val="center"/>
              <w:rPr>
                <w:rFonts w:eastAsia="宋体"/>
                <w:color w:val="000000"/>
                <w:sz w:val="22"/>
                <w:szCs w:val="22"/>
              </w:rPr>
            </w:pPr>
            <w:r>
              <w:rPr>
                <w:rFonts w:eastAsia="宋体"/>
                <w:color w:val="000000"/>
                <w:sz w:val="22"/>
                <w:szCs w:val="22"/>
                <w:lang w:bidi="ar"/>
              </w:rPr>
              <w:t>0.49</w:t>
            </w:r>
          </w:p>
        </w:tc>
        <w:tc>
          <w:tcPr>
            <w:tcW w:w="0" w:type="auto"/>
            <w:tcBorders>
              <w:top w:val="nil"/>
              <w:left w:val="nil"/>
              <w:bottom w:val="nil"/>
              <w:right w:val="nil"/>
            </w:tcBorders>
            <w:shd w:val="clear" w:color="auto" w:fill="FFFFFF"/>
            <w:noWrap/>
            <w:vAlign w:val="center"/>
          </w:tcPr>
          <w:p w14:paraId="34FE4FE9">
            <w:pPr>
              <w:widowControl/>
              <w:jc w:val="center"/>
              <w:textAlignment w:val="center"/>
              <w:rPr>
                <w:rFonts w:eastAsia="宋体"/>
                <w:color w:val="000000"/>
                <w:sz w:val="22"/>
                <w:szCs w:val="22"/>
              </w:rPr>
            </w:pPr>
            <w:r>
              <w:rPr>
                <w:rFonts w:eastAsia="宋体"/>
                <w:color w:val="000000"/>
                <w:sz w:val="22"/>
                <w:szCs w:val="22"/>
                <w:lang w:bidi="ar"/>
              </w:rPr>
              <w:t>0.5</w:t>
            </w:r>
          </w:p>
        </w:tc>
        <w:tc>
          <w:tcPr>
            <w:tcW w:w="0" w:type="auto"/>
            <w:tcBorders>
              <w:top w:val="nil"/>
              <w:left w:val="nil"/>
              <w:bottom w:val="nil"/>
              <w:right w:val="nil"/>
            </w:tcBorders>
            <w:shd w:val="clear" w:color="auto" w:fill="FFFFFF"/>
            <w:noWrap/>
            <w:vAlign w:val="center"/>
          </w:tcPr>
          <w:p w14:paraId="1B4C637B">
            <w:pPr>
              <w:widowControl/>
              <w:jc w:val="center"/>
              <w:textAlignment w:val="center"/>
              <w:rPr>
                <w:rFonts w:eastAsia="宋体"/>
                <w:color w:val="000000"/>
                <w:sz w:val="22"/>
                <w:szCs w:val="22"/>
              </w:rPr>
            </w:pPr>
            <w:r>
              <w:rPr>
                <w:rFonts w:eastAsia="宋体"/>
                <w:color w:val="000000"/>
                <w:sz w:val="22"/>
                <w:szCs w:val="22"/>
                <w:lang w:bidi="ar"/>
              </w:rPr>
              <w:t>0.42</w:t>
            </w:r>
          </w:p>
        </w:tc>
        <w:tc>
          <w:tcPr>
            <w:tcW w:w="0" w:type="auto"/>
            <w:tcBorders>
              <w:top w:val="nil"/>
              <w:left w:val="nil"/>
              <w:bottom w:val="nil"/>
              <w:right w:val="nil"/>
            </w:tcBorders>
            <w:shd w:val="clear" w:color="auto" w:fill="FFFFFF"/>
            <w:noWrap/>
            <w:vAlign w:val="center"/>
          </w:tcPr>
          <w:p w14:paraId="5C91243F">
            <w:pPr>
              <w:widowControl/>
              <w:jc w:val="center"/>
              <w:textAlignment w:val="center"/>
              <w:rPr>
                <w:rFonts w:eastAsia="宋体"/>
                <w:color w:val="000000"/>
                <w:sz w:val="22"/>
                <w:szCs w:val="22"/>
              </w:rPr>
            </w:pPr>
            <w:r>
              <w:rPr>
                <w:rFonts w:eastAsia="宋体"/>
                <w:color w:val="000000"/>
                <w:sz w:val="22"/>
                <w:szCs w:val="22"/>
                <w:lang w:bidi="ar"/>
              </w:rPr>
              <w:t>0.48</w:t>
            </w:r>
          </w:p>
        </w:tc>
        <w:tc>
          <w:tcPr>
            <w:tcW w:w="0" w:type="auto"/>
            <w:tcBorders>
              <w:top w:val="nil"/>
              <w:left w:val="nil"/>
              <w:bottom w:val="nil"/>
              <w:right w:val="nil"/>
            </w:tcBorders>
            <w:shd w:val="clear" w:color="auto" w:fill="FFFFFF"/>
            <w:noWrap/>
            <w:vAlign w:val="center"/>
          </w:tcPr>
          <w:p w14:paraId="4728786D">
            <w:pPr>
              <w:widowControl/>
              <w:jc w:val="center"/>
              <w:textAlignment w:val="center"/>
              <w:rPr>
                <w:rFonts w:eastAsia="宋体"/>
                <w:color w:val="000000"/>
                <w:sz w:val="22"/>
                <w:szCs w:val="22"/>
              </w:rPr>
            </w:pPr>
            <w:r>
              <w:rPr>
                <w:rFonts w:eastAsia="宋体"/>
                <w:color w:val="000000"/>
                <w:sz w:val="22"/>
                <w:szCs w:val="22"/>
                <w:lang w:bidi="ar"/>
              </w:rPr>
              <w:t>0.63</w:t>
            </w:r>
          </w:p>
        </w:tc>
      </w:tr>
      <w:tr w14:paraId="17DB9AB0">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11941F6A">
            <w:pPr>
              <w:widowControl/>
              <w:jc w:val="center"/>
              <w:textAlignment w:val="center"/>
              <w:rPr>
                <w:rFonts w:eastAsia="宋体"/>
                <w:color w:val="000000"/>
                <w:sz w:val="22"/>
                <w:szCs w:val="22"/>
              </w:rPr>
            </w:pPr>
            <w:r>
              <w:rPr>
                <w:rFonts w:eastAsia="宋体"/>
                <w:color w:val="000000"/>
                <w:sz w:val="22"/>
                <w:szCs w:val="22"/>
              </w:rPr>
              <w:t>Treatment</w:t>
            </w:r>
            <w:r>
              <w:rPr>
                <w:rFonts w:hint="eastAsia" w:eastAsia="宋体"/>
                <w:color w:val="000000"/>
                <w:sz w:val="22"/>
                <w:szCs w:val="22"/>
              </w:rPr>
              <w:t>s</w:t>
            </w:r>
          </w:p>
        </w:tc>
        <w:tc>
          <w:tcPr>
            <w:tcW w:w="0" w:type="auto"/>
            <w:tcBorders>
              <w:top w:val="nil"/>
              <w:left w:val="nil"/>
              <w:bottom w:val="nil"/>
              <w:right w:val="nil"/>
            </w:tcBorders>
            <w:shd w:val="clear" w:color="auto" w:fill="FFFFFF"/>
          </w:tcPr>
          <w:p w14:paraId="7A85DAC7">
            <w:pPr>
              <w:widowControl/>
              <w:jc w:val="center"/>
              <w:textAlignment w:val="center"/>
              <w:rPr>
                <w:rFonts w:eastAsia="宋体"/>
                <w:color w:val="000000"/>
                <w:sz w:val="22"/>
                <w:szCs w:val="22"/>
                <w:lang w:bidi="ar"/>
              </w:rPr>
            </w:pPr>
            <w:r>
              <w:rPr>
                <w:bCs/>
                <w:color w:val="000000"/>
              </w:rPr>
              <w:t>Xize</w:t>
            </w:r>
          </w:p>
        </w:tc>
        <w:tc>
          <w:tcPr>
            <w:tcW w:w="0" w:type="auto"/>
            <w:tcBorders>
              <w:top w:val="nil"/>
              <w:left w:val="nil"/>
              <w:bottom w:val="nil"/>
              <w:right w:val="nil"/>
            </w:tcBorders>
            <w:shd w:val="clear" w:color="auto" w:fill="FFFFFF"/>
            <w:noWrap/>
            <w:vAlign w:val="center"/>
          </w:tcPr>
          <w:p w14:paraId="7C270A1D">
            <w:pPr>
              <w:widowControl/>
              <w:jc w:val="center"/>
              <w:textAlignment w:val="center"/>
              <w:rPr>
                <w:rFonts w:eastAsia="宋体"/>
                <w:color w:val="000000"/>
                <w:sz w:val="22"/>
                <w:szCs w:val="22"/>
              </w:rPr>
            </w:pPr>
            <w:r>
              <w:rPr>
                <w:rFonts w:eastAsia="宋体"/>
                <w:color w:val="000000"/>
                <w:sz w:val="22"/>
                <w:szCs w:val="22"/>
                <w:lang w:bidi="ar"/>
              </w:rPr>
              <w:t>XCD</w:t>
            </w:r>
          </w:p>
        </w:tc>
        <w:tc>
          <w:tcPr>
            <w:tcW w:w="0" w:type="auto"/>
            <w:tcBorders>
              <w:top w:val="nil"/>
              <w:left w:val="nil"/>
              <w:bottom w:val="nil"/>
              <w:right w:val="nil"/>
            </w:tcBorders>
            <w:shd w:val="clear" w:color="auto" w:fill="FFFFFF"/>
            <w:noWrap/>
            <w:vAlign w:val="center"/>
          </w:tcPr>
          <w:p w14:paraId="00BBE443">
            <w:pPr>
              <w:widowControl/>
              <w:jc w:val="center"/>
              <w:textAlignment w:val="center"/>
              <w:rPr>
                <w:rFonts w:eastAsia="宋体"/>
                <w:color w:val="000000"/>
                <w:sz w:val="22"/>
                <w:szCs w:val="22"/>
              </w:rPr>
            </w:pPr>
            <w:r>
              <w:rPr>
                <w:rFonts w:eastAsia="宋体"/>
                <w:color w:val="000000"/>
                <w:sz w:val="22"/>
                <w:szCs w:val="22"/>
                <w:lang w:bidi="ar"/>
              </w:rPr>
              <w:t>XWD</w:t>
            </w:r>
          </w:p>
        </w:tc>
        <w:tc>
          <w:tcPr>
            <w:tcW w:w="0" w:type="auto"/>
            <w:tcBorders>
              <w:top w:val="nil"/>
              <w:left w:val="nil"/>
              <w:bottom w:val="nil"/>
              <w:right w:val="nil"/>
            </w:tcBorders>
            <w:shd w:val="clear" w:color="auto" w:fill="FFFFFF"/>
            <w:noWrap/>
            <w:vAlign w:val="center"/>
          </w:tcPr>
          <w:p w14:paraId="43309D34">
            <w:pPr>
              <w:widowControl/>
              <w:jc w:val="center"/>
              <w:textAlignment w:val="center"/>
              <w:rPr>
                <w:rFonts w:eastAsia="宋体"/>
                <w:color w:val="000000"/>
                <w:sz w:val="22"/>
                <w:szCs w:val="22"/>
              </w:rPr>
            </w:pPr>
            <w:r>
              <w:rPr>
                <w:rFonts w:eastAsia="宋体"/>
                <w:color w:val="000000"/>
                <w:sz w:val="22"/>
                <w:szCs w:val="22"/>
                <w:lang w:bidi="ar"/>
              </w:rPr>
              <w:t>XHLB</w:t>
            </w:r>
          </w:p>
        </w:tc>
        <w:tc>
          <w:tcPr>
            <w:tcW w:w="0" w:type="auto"/>
            <w:tcBorders>
              <w:top w:val="nil"/>
              <w:left w:val="nil"/>
              <w:bottom w:val="nil"/>
              <w:right w:val="nil"/>
            </w:tcBorders>
            <w:shd w:val="clear" w:color="auto" w:fill="FFFFFF"/>
            <w:noWrap/>
            <w:vAlign w:val="center"/>
          </w:tcPr>
          <w:p w14:paraId="3B0BBCF1">
            <w:pPr>
              <w:widowControl/>
              <w:jc w:val="center"/>
              <w:textAlignment w:val="center"/>
              <w:rPr>
                <w:rFonts w:eastAsia="宋体"/>
                <w:color w:val="000000"/>
                <w:sz w:val="22"/>
                <w:szCs w:val="22"/>
              </w:rPr>
            </w:pPr>
            <w:r>
              <w:rPr>
                <w:rFonts w:eastAsia="宋体"/>
                <w:color w:val="000000"/>
                <w:sz w:val="22"/>
                <w:szCs w:val="22"/>
                <w:lang w:bidi="ar"/>
              </w:rPr>
              <w:t>XLB</w:t>
            </w:r>
          </w:p>
        </w:tc>
        <w:tc>
          <w:tcPr>
            <w:tcW w:w="0" w:type="auto"/>
            <w:tcBorders>
              <w:top w:val="nil"/>
              <w:left w:val="nil"/>
              <w:bottom w:val="nil"/>
              <w:right w:val="nil"/>
            </w:tcBorders>
            <w:shd w:val="clear" w:color="auto" w:fill="FFFFFF"/>
            <w:noWrap/>
            <w:vAlign w:val="center"/>
          </w:tcPr>
          <w:p w14:paraId="4C5C41D1">
            <w:pPr>
              <w:widowControl/>
              <w:jc w:val="center"/>
              <w:textAlignment w:val="center"/>
              <w:rPr>
                <w:rFonts w:eastAsia="宋体"/>
                <w:color w:val="000000"/>
                <w:sz w:val="22"/>
                <w:szCs w:val="22"/>
              </w:rPr>
            </w:pPr>
            <w:r>
              <w:rPr>
                <w:rFonts w:eastAsia="宋体"/>
                <w:color w:val="000000"/>
                <w:sz w:val="22"/>
                <w:szCs w:val="22"/>
                <w:lang w:bidi="ar"/>
              </w:rPr>
              <w:t>XLF</w:t>
            </w:r>
          </w:p>
        </w:tc>
        <w:tc>
          <w:tcPr>
            <w:tcW w:w="0" w:type="auto"/>
            <w:tcBorders>
              <w:top w:val="nil"/>
              <w:left w:val="nil"/>
              <w:bottom w:val="nil"/>
              <w:right w:val="nil"/>
            </w:tcBorders>
            <w:shd w:val="clear" w:color="auto" w:fill="FFFFFF"/>
            <w:noWrap/>
            <w:vAlign w:val="center"/>
          </w:tcPr>
          <w:p w14:paraId="0A55C7B8">
            <w:pPr>
              <w:widowControl/>
              <w:jc w:val="center"/>
              <w:textAlignment w:val="center"/>
              <w:rPr>
                <w:rFonts w:eastAsia="宋体"/>
                <w:color w:val="000000"/>
                <w:sz w:val="22"/>
                <w:szCs w:val="22"/>
              </w:rPr>
            </w:pPr>
            <w:r>
              <w:rPr>
                <w:rFonts w:eastAsia="宋体"/>
                <w:color w:val="000000"/>
                <w:sz w:val="22"/>
                <w:szCs w:val="22"/>
                <w:lang w:bidi="ar"/>
              </w:rPr>
              <w:t>XMC</w:t>
            </w:r>
          </w:p>
        </w:tc>
      </w:tr>
      <w:tr w14:paraId="32F5D125">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5ECA184B">
            <w:pPr>
              <w:widowControl/>
              <w:jc w:val="center"/>
              <w:textAlignment w:val="center"/>
              <w:rPr>
                <w:rFonts w:eastAsia="宋体"/>
                <w:color w:val="000000"/>
                <w:sz w:val="22"/>
                <w:szCs w:val="22"/>
              </w:rPr>
            </w:pPr>
            <w:r>
              <w:rPr>
                <w:rFonts w:eastAsia="宋体"/>
                <w:color w:val="000000"/>
                <w:sz w:val="22"/>
                <w:szCs w:val="22"/>
                <w:lang w:bidi="ar"/>
              </w:rPr>
              <w:t>Nodes</w:t>
            </w:r>
          </w:p>
        </w:tc>
        <w:tc>
          <w:tcPr>
            <w:tcW w:w="0" w:type="auto"/>
            <w:tcBorders>
              <w:top w:val="nil"/>
              <w:left w:val="nil"/>
              <w:bottom w:val="nil"/>
              <w:right w:val="nil"/>
            </w:tcBorders>
            <w:shd w:val="clear" w:color="auto" w:fill="FFFFFF"/>
          </w:tcPr>
          <w:p w14:paraId="0A12E498">
            <w:pPr>
              <w:widowControl/>
              <w:jc w:val="center"/>
              <w:textAlignment w:val="center"/>
              <w:rPr>
                <w:rFonts w:eastAsia="宋体"/>
                <w:color w:val="000000"/>
                <w:sz w:val="22"/>
                <w:szCs w:val="22"/>
                <w:lang w:bidi="ar"/>
              </w:rPr>
            </w:pPr>
            <w:r>
              <w:rPr>
                <w:rFonts w:eastAsia="宋体"/>
                <w:color w:val="000000"/>
                <w:lang w:bidi="ar"/>
              </w:rPr>
              <w:t>2720</w:t>
            </w:r>
          </w:p>
        </w:tc>
        <w:tc>
          <w:tcPr>
            <w:tcW w:w="0" w:type="auto"/>
            <w:tcBorders>
              <w:top w:val="nil"/>
              <w:left w:val="nil"/>
              <w:bottom w:val="nil"/>
              <w:right w:val="nil"/>
            </w:tcBorders>
            <w:shd w:val="clear" w:color="auto" w:fill="FFFFFF"/>
            <w:noWrap/>
            <w:vAlign w:val="center"/>
          </w:tcPr>
          <w:p w14:paraId="11D84B8D">
            <w:pPr>
              <w:widowControl/>
              <w:jc w:val="center"/>
              <w:textAlignment w:val="center"/>
              <w:rPr>
                <w:rFonts w:eastAsia="宋体"/>
                <w:color w:val="000000"/>
                <w:sz w:val="22"/>
                <w:szCs w:val="22"/>
              </w:rPr>
            </w:pPr>
            <w:r>
              <w:rPr>
                <w:rFonts w:eastAsia="宋体"/>
                <w:color w:val="000000"/>
                <w:sz w:val="22"/>
                <w:szCs w:val="22"/>
                <w:lang w:bidi="ar"/>
              </w:rPr>
              <w:t>185</w:t>
            </w:r>
          </w:p>
        </w:tc>
        <w:tc>
          <w:tcPr>
            <w:tcW w:w="0" w:type="auto"/>
            <w:tcBorders>
              <w:top w:val="nil"/>
              <w:left w:val="nil"/>
              <w:bottom w:val="nil"/>
              <w:right w:val="nil"/>
            </w:tcBorders>
            <w:shd w:val="clear" w:color="auto" w:fill="FFFFFF"/>
            <w:noWrap/>
            <w:vAlign w:val="center"/>
          </w:tcPr>
          <w:p w14:paraId="31D719C5">
            <w:pPr>
              <w:widowControl/>
              <w:jc w:val="center"/>
              <w:textAlignment w:val="center"/>
              <w:rPr>
                <w:rFonts w:eastAsia="宋体"/>
                <w:color w:val="000000"/>
                <w:sz w:val="22"/>
                <w:szCs w:val="22"/>
              </w:rPr>
            </w:pPr>
            <w:r>
              <w:rPr>
                <w:rFonts w:eastAsia="宋体"/>
                <w:color w:val="000000"/>
                <w:sz w:val="22"/>
                <w:szCs w:val="22"/>
                <w:lang w:bidi="ar"/>
              </w:rPr>
              <w:t>224</w:t>
            </w:r>
          </w:p>
        </w:tc>
        <w:tc>
          <w:tcPr>
            <w:tcW w:w="0" w:type="auto"/>
            <w:tcBorders>
              <w:top w:val="nil"/>
              <w:left w:val="nil"/>
              <w:bottom w:val="nil"/>
              <w:right w:val="nil"/>
            </w:tcBorders>
            <w:shd w:val="clear" w:color="auto" w:fill="FFFFFF"/>
            <w:noWrap/>
            <w:vAlign w:val="center"/>
          </w:tcPr>
          <w:p w14:paraId="2404613A">
            <w:pPr>
              <w:widowControl/>
              <w:jc w:val="center"/>
              <w:textAlignment w:val="center"/>
              <w:rPr>
                <w:rFonts w:eastAsia="宋体"/>
                <w:color w:val="000000"/>
                <w:sz w:val="22"/>
                <w:szCs w:val="22"/>
              </w:rPr>
            </w:pPr>
            <w:r>
              <w:rPr>
                <w:rFonts w:eastAsia="宋体"/>
                <w:color w:val="000000"/>
                <w:sz w:val="22"/>
                <w:szCs w:val="22"/>
                <w:lang w:bidi="ar"/>
              </w:rPr>
              <w:t>225</w:t>
            </w:r>
          </w:p>
        </w:tc>
        <w:tc>
          <w:tcPr>
            <w:tcW w:w="0" w:type="auto"/>
            <w:tcBorders>
              <w:top w:val="nil"/>
              <w:left w:val="nil"/>
              <w:bottom w:val="nil"/>
              <w:right w:val="nil"/>
            </w:tcBorders>
            <w:shd w:val="clear" w:color="auto" w:fill="FFFFFF"/>
            <w:noWrap/>
            <w:vAlign w:val="center"/>
          </w:tcPr>
          <w:p w14:paraId="5712AC8F">
            <w:pPr>
              <w:widowControl/>
              <w:jc w:val="center"/>
              <w:textAlignment w:val="center"/>
              <w:rPr>
                <w:rFonts w:eastAsia="宋体"/>
                <w:color w:val="000000"/>
                <w:sz w:val="22"/>
                <w:szCs w:val="22"/>
              </w:rPr>
            </w:pPr>
            <w:r>
              <w:rPr>
                <w:rFonts w:eastAsia="宋体"/>
                <w:color w:val="000000"/>
                <w:sz w:val="22"/>
                <w:szCs w:val="22"/>
                <w:lang w:bidi="ar"/>
              </w:rPr>
              <w:t>205</w:t>
            </w:r>
          </w:p>
        </w:tc>
        <w:tc>
          <w:tcPr>
            <w:tcW w:w="0" w:type="auto"/>
            <w:tcBorders>
              <w:top w:val="nil"/>
              <w:left w:val="nil"/>
              <w:bottom w:val="nil"/>
              <w:right w:val="nil"/>
            </w:tcBorders>
            <w:shd w:val="clear" w:color="auto" w:fill="FFFFFF"/>
            <w:noWrap/>
            <w:vAlign w:val="center"/>
          </w:tcPr>
          <w:p w14:paraId="0272D686">
            <w:pPr>
              <w:widowControl/>
              <w:jc w:val="center"/>
              <w:textAlignment w:val="center"/>
              <w:rPr>
                <w:rFonts w:eastAsia="宋体"/>
                <w:color w:val="000000"/>
                <w:sz w:val="22"/>
                <w:szCs w:val="22"/>
              </w:rPr>
            </w:pPr>
            <w:r>
              <w:rPr>
                <w:rFonts w:eastAsia="宋体"/>
                <w:color w:val="000000"/>
                <w:sz w:val="22"/>
                <w:szCs w:val="22"/>
                <w:lang w:bidi="ar"/>
              </w:rPr>
              <w:t>203</w:t>
            </w:r>
          </w:p>
        </w:tc>
        <w:tc>
          <w:tcPr>
            <w:tcW w:w="0" w:type="auto"/>
            <w:tcBorders>
              <w:top w:val="nil"/>
              <w:left w:val="nil"/>
              <w:bottom w:val="nil"/>
              <w:right w:val="nil"/>
            </w:tcBorders>
            <w:shd w:val="clear" w:color="auto" w:fill="FFFFFF"/>
            <w:noWrap/>
            <w:vAlign w:val="center"/>
          </w:tcPr>
          <w:p w14:paraId="0A9C8DBA">
            <w:pPr>
              <w:widowControl/>
              <w:jc w:val="center"/>
              <w:textAlignment w:val="center"/>
              <w:rPr>
                <w:rFonts w:eastAsia="宋体"/>
                <w:color w:val="000000"/>
                <w:sz w:val="22"/>
                <w:szCs w:val="22"/>
              </w:rPr>
            </w:pPr>
            <w:r>
              <w:rPr>
                <w:rFonts w:eastAsia="宋体"/>
                <w:color w:val="000000"/>
                <w:sz w:val="22"/>
                <w:szCs w:val="22"/>
                <w:lang w:bidi="ar"/>
              </w:rPr>
              <w:t>213</w:t>
            </w:r>
          </w:p>
        </w:tc>
      </w:tr>
      <w:tr w14:paraId="4D482B96">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1B65483C">
            <w:pPr>
              <w:widowControl/>
              <w:jc w:val="center"/>
              <w:textAlignment w:val="center"/>
              <w:rPr>
                <w:rFonts w:eastAsia="宋体"/>
                <w:color w:val="000000"/>
                <w:sz w:val="22"/>
                <w:szCs w:val="22"/>
              </w:rPr>
            </w:pPr>
            <w:r>
              <w:rPr>
                <w:rFonts w:eastAsia="宋体"/>
                <w:color w:val="000000"/>
                <w:sz w:val="22"/>
                <w:szCs w:val="22"/>
                <w:lang w:bidi="ar"/>
              </w:rPr>
              <w:t>Edges</w:t>
            </w:r>
          </w:p>
        </w:tc>
        <w:tc>
          <w:tcPr>
            <w:tcW w:w="0" w:type="auto"/>
            <w:tcBorders>
              <w:top w:val="nil"/>
              <w:left w:val="nil"/>
              <w:bottom w:val="nil"/>
              <w:right w:val="nil"/>
            </w:tcBorders>
            <w:shd w:val="clear" w:color="auto" w:fill="FFFFFF"/>
          </w:tcPr>
          <w:p w14:paraId="1790DB30">
            <w:pPr>
              <w:widowControl/>
              <w:jc w:val="center"/>
              <w:textAlignment w:val="center"/>
              <w:rPr>
                <w:rFonts w:eastAsia="宋体"/>
                <w:color w:val="000000"/>
                <w:sz w:val="22"/>
                <w:szCs w:val="22"/>
                <w:lang w:bidi="ar"/>
              </w:rPr>
            </w:pPr>
            <w:r>
              <w:rPr>
                <w:rFonts w:eastAsia="宋体"/>
                <w:color w:val="000000"/>
                <w:lang w:bidi="ar"/>
              </w:rPr>
              <w:t>36841</w:t>
            </w:r>
          </w:p>
        </w:tc>
        <w:tc>
          <w:tcPr>
            <w:tcW w:w="0" w:type="auto"/>
            <w:tcBorders>
              <w:top w:val="nil"/>
              <w:left w:val="nil"/>
              <w:bottom w:val="nil"/>
              <w:right w:val="nil"/>
            </w:tcBorders>
            <w:shd w:val="clear" w:color="auto" w:fill="FFFFFF"/>
            <w:noWrap/>
            <w:vAlign w:val="center"/>
          </w:tcPr>
          <w:p w14:paraId="2B3570CE">
            <w:pPr>
              <w:widowControl/>
              <w:jc w:val="center"/>
              <w:textAlignment w:val="center"/>
              <w:rPr>
                <w:rFonts w:eastAsia="宋体"/>
                <w:color w:val="000000"/>
                <w:sz w:val="22"/>
                <w:szCs w:val="22"/>
              </w:rPr>
            </w:pPr>
            <w:r>
              <w:rPr>
                <w:rFonts w:eastAsia="宋体"/>
                <w:color w:val="000000"/>
                <w:sz w:val="22"/>
                <w:szCs w:val="22"/>
                <w:lang w:bidi="ar"/>
              </w:rPr>
              <w:t>724</w:t>
            </w:r>
          </w:p>
        </w:tc>
        <w:tc>
          <w:tcPr>
            <w:tcW w:w="0" w:type="auto"/>
            <w:tcBorders>
              <w:top w:val="nil"/>
              <w:left w:val="nil"/>
              <w:bottom w:val="nil"/>
              <w:right w:val="nil"/>
            </w:tcBorders>
            <w:shd w:val="clear" w:color="auto" w:fill="FFFFFF"/>
            <w:noWrap/>
            <w:vAlign w:val="center"/>
          </w:tcPr>
          <w:p w14:paraId="3C355F0C">
            <w:pPr>
              <w:widowControl/>
              <w:jc w:val="center"/>
              <w:textAlignment w:val="center"/>
              <w:rPr>
                <w:rFonts w:eastAsia="宋体"/>
                <w:color w:val="000000"/>
                <w:sz w:val="22"/>
                <w:szCs w:val="22"/>
              </w:rPr>
            </w:pPr>
            <w:r>
              <w:rPr>
                <w:rFonts w:eastAsia="宋体"/>
                <w:color w:val="000000"/>
                <w:sz w:val="22"/>
                <w:szCs w:val="22"/>
                <w:lang w:bidi="ar"/>
              </w:rPr>
              <w:t>1058</w:t>
            </w:r>
          </w:p>
        </w:tc>
        <w:tc>
          <w:tcPr>
            <w:tcW w:w="0" w:type="auto"/>
            <w:tcBorders>
              <w:top w:val="nil"/>
              <w:left w:val="nil"/>
              <w:bottom w:val="nil"/>
              <w:right w:val="nil"/>
            </w:tcBorders>
            <w:shd w:val="clear" w:color="auto" w:fill="FFFFFF"/>
            <w:noWrap/>
            <w:vAlign w:val="center"/>
          </w:tcPr>
          <w:p w14:paraId="668C2723">
            <w:pPr>
              <w:widowControl/>
              <w:jc w:val="center"/>
              <w:textAlignment w:val="center"/>
              <w:rPr>
                <w:rFonts w:eastAsia="宋体"/>
                <w:color w:val="000000"/>
                <w:sz w:val="22"/>
                <w:szCs w:val="22"/>
              </w:rPr>
            </w:pPr>
            <w:r>
              <w:rPr>
                <w:rFonts w:eastAsia="宋体"/>
                <w:color w:val="000000"/>
                <w:sz w:val="22"/>
                <w:szCs w:val="22"/>
                <w:lang w:bidi="ar"/>
              </w:rPr>
              <w:t>1156</w:t>
            </w:r>
          </w:p>
        </w:tc>
        <w:tc>
          <w:tcPr>
            <w:tcW w:w="0" w:type="auto"/>
            <w:tcBorders>
              <w:top w:val="nil"/>
              <w:left w:val="nil"/>
              <w:bottom w:val="nil"/>
              <w:right w:val="nil"/>
            </w:tcBorders>
            <w:shd w:val="clear" w:color="auto" w:fill="FFFFFF"/>
            <w:noWrap/>
            <w:vAlign w:val="center"/>
          </w:tcPr>
          <w:p w14:paraId="29C64EB8">
            <w:pPr>
              <w:widowControl/>
              <w:jc w:val="center"/>
              <w:textAlignment w:val="center"/>
              <w:rPr>
                <w:rFonts w:eastAsia="宋体"/>
                <w:color w:val="000000"/>
                <w:sz w:val="22"/>
                <w:szCs w:val="22"/>
              </w:rPr>
            </w:pPr>
            <w:r>
              <w:rPr>
                <w:rFonts w:eastAsia="宋体"/>
                <w:color w:val="000000"/>
                <w:sz w:val="22"/>
                <w:szCs w:val="22"/>
                <w:lang w:bidi="ar"/>
              </w:rPr>
              <w:t>577</w:t>
            </w:r>
          </w:p>
        </w:tc>
        <w:tc>
          <w:tcPr>
            <w:tcW w:w="0" w:type="auto"/>
            <w:tcBorders>
              <w:top w:val="nil"/>
              <w:left w:val="nil"/>
              <w:bottom w:val="nil"/>
              <w:right w:val="nil"/>
            </w:tcBorders>
            <w:shd w:val="clear" w:color="auto" w:fill="FFFFFF"/>
            <w:noWrap/>
            <w:vAlign w:val="center"/>
          </w:tcPr>
          <w:p w14:paraId="37C6BCFD">
            <w:pPr>
              <w:widowControl/>
              <w:jc w:val="center"/>
              <w:textAlignment w:val="center"/>
              <w:rPr>
                <w:rFonts w:eastAsia="宋体"/>
                <w:color w:val="000000"/>
                <w:sz w:val="22"/>
                <w:szCs w:val="22"/>
              </w:rPr>
            </w:pPr>
            <w:r>
              <w:rPr>
                <w:rFonts w:eastAsia="宋体"/>
                <w:color w:val="000000"/>
                <w:sz w:val="22"/>
                <w:szCs w:val="22"/>
                <w:lang w:bidi="ar"/>
              </w:rPr>
              <w:t>903</w:t>
            </w:r>
          </w:p>
        </w:tc>
        <w:tc>
          <w:tcPr>
            <w:tcW w:w="0" w:type="auto"/>
            <w:tcBorders>
              <w:top w:val="nil"/>
              <w:left w:val="nil"/>
              <w:bottom w:val="nil"/>
              <w:right w:val="nil"/>
            </w:tcBorders>
            <w:shd w:val="clear" w:color="auto" w:fill="FFFFFF"/>
            <w:noWrap/>
            <w:vAlign w:val="center"/>
          </w:tcPr>
          <w:p w14:paraId="5E4D0F13">
            <w:pPr>
              <w:widowControl/>
              <w:jc w:val="center"/>
              <w:textAlignment w:val="center"/>
              <w:rPr>
                <w:rFonts w:eastAsia="宋体"/>
                <w:color w:val="000000"/>
                <w:sz w:val="22"/>
                <w:szCs w:val="22"/>
              </w:rPr>
            </w:pPr>
            <w:r>
              <w:rPr>
                <w:rFonts w:eastAsia="宋体"/>
                <w:color w:val="000000"/>
                <w:sz w:val="22"/>
                <w:szCs w:val="22"/>
                <w:lang w:bidi="ar"/>
              </w:rPr>
              <w:t>989</w:t>
            </w:r>
          </w:p>
        </w:tc>
      </w:tr>
      <w:tr w14:paraId="6963DF87">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64BCF19B">
            <w:pPr>
              <w:widowControl/>
              <w:jc w:val="center"/>
              <w:textAlignment w:val="center"/>
              <w:rPr>
                <w:rFonts w:eastAsia="宋体"/>
                <w:color w:val="000000"/>
                <w:sz w:val="22"/>
                <w:szCs w:val="22"/>
              </w:rPr>
            </w:pPr>
            <w:r>
              <w:rPr>
                <w:rFonts w:eastAsia="宋体"/>
                <w:color w:val="000000"/>
                <w:sz w:val="22"/>
                <w:szCs w:val="22"/>
                <w:lang w:bidi="ar"/>
              </w:rPr>
              <w:t>Average degree</w:t>
            </w:r>
          </w:p>
        </w:tc>
        <w:tc>
          <w:tcPr>
            <w:tcW w:w="0" w:type="auto"/>
            <w:tcBorders>
              <w:top w:val="nil"/>
              <w:left w:val="nil"/>
              <w:bottom w:val="nil"/>
              <w:right w:val="nil"/>
            </w:tcBorders>
            <w:shd w:val="clear" w:color="auto" w:fill="FFFFFF"/>
          </w:tcPr>
          <w:p w14:paraId="3F8DB887">
            <w:pPr>
              <w:widowControl/>
              <w:jc w:val="center"/>
              <w:textAlignment w:val="center"/>
              <w:rPr>
                <w:rFonts w:eastAsia="宋体"/>
                <w:color w:val="000000"/>
                <w:sz w:val="22"/>
                <w:szCs w:val="22"/>
                <w:lang w:bidi="ar"/>
              </w:rPr>
            </w:pPr>
            <w:r>
              <w:rPr>
                <w:rFonts w:eastAsia="宋体"/>
                <w:color w:val="000000"/>
                <w:lang w:bidi="ar"/>
              </w:rPr>
              <w:t>27.09</w:t>
            </w:r>
          </w:p>
        </w:tc>
        <w:tc>
          <w:tcPr>
            <w:tcW w:w="0" w:type="auto"/>
            <w:tcBorders>
              <w:top w:val="nil"/>
              <w:left w:val="nil"/>
              <w:bottom w:val="nil"/>
              <w:right w:val="nil"/>
            </w:tcBorders>
            <w:shd w:val="clear" w:color="auto" w:fill="FFFFFF"/>
            <w:noWrap/>
            <w:vAlign w:val="center"/>
          </w:tcPr>
          <w:p w14:paraId="3AECD821">
            <w:pPr>
              <w:widowControl/>
              <w:jc w:val="center"/>
              <w:textAlignment w:val="center"/>
              <w:rPr>
                <w:rFonts w:eastAsia="宋体"/>
                <w:color w:val="000000"/>
                <w:sz w:val="22"/>
                <w:szCs w:val="22"/>
              </w:rPr>
            </w:pPr>
            <w:r>
              <w:rPr>
                <w:rFonts w:eastAsia="宋体"/>
                <w:color w:val="000000"/>
                <w:sz w:val="22"/>
                <w:szCs w:val="22"/>
                <w:lang w:bidi="ar"/>
              </w:rPr>
              <w:t>7.77</w:t>
            </w:r>
          </w:p>
        </w:tc>
        <w:tc>
          <w:tcPr>
            <w:tcW w:w="0" w:type="auto"/>
            <w:tcBorders>
              <w:top w:val="nil"/>
              <w:left w:val="nil"/>
              <w:bottom w:val="nil"/>
              <w:right w:val="nil"/>
            </w:tcBorders>
            <w:shd w:val="clear" w:color="auto" w:fill="FFFFFF"/>
            <w:noWrap/>
            <w:vAlign w:val="center"/>
          </w:tcPr>
          <w:p w14:paraId="2B2C2F99">
            <w:pPr>
              <w:widowControl/>
              <w:jc w:val="center"/>
              <w:textAlignment w:val="center"/>
              <w:rPr>
                <w:rFonts w:eastAsia="宋体"/>
                <w:color w:val="000000"/>
                <w:sz w:val="22"/>
                <w:szCs w:val="22"/>
              </w:rPr>
            </w:pPr>
            <w:r>
              <w:rPr>
                <w:rFonts w:eastAsia="宋体"/>
                <w:color w:val="000000"/>
                <w:sz w:val="22"/>
                <w:szCs w:val="22"/>
                <w:lang w:bidi="ar"/>
              </w:rPr>
              <w:t>9.45</w:t>
            </w:r>
          </w:p>
        </w:tc>
        <w:tc>
          <w:tcPr>
            <w:tcW w:w="0" w:type="auto"/>
            <w:tcBorders>
              <w:top w:val="nil"/>
              <w:left w:val="nil"/>
              <w:bottom w:val="nil"/>
              <w:right w:val="nil"/>
            </w:tcBorders>
            <w:shd w:val="clear" w:color="auto" w:fill="FFFFFF"/>
            <w:noWrap/>
            <w:vAlign w:val="center"/>
          </w:tcPr>
          <w:p w14:paraId="592AD09B">
            <w:pPr>
              <w:widowControl/>
              <w:jc w:val="center"/>
              <w:textAlignment w:val="center"/>
              <w:rPr>
                <w:rFonts w:eastAsia="宋体"/>
                <w:color w:val="000000"/>
                <w:sz w:val="22"/>
                <w:szCs w:val="22"/>
              </w:rPr>
            </w:pPr>
            <w:r>
              <w:rPr>
                <w:rFonts w:eastAsia="宋体"/>
                <w:color w:val="000000"/>
                <w:sz w:val="22"/>
                <w:szCs w:val="22"/>
                <w:lang w:bidi="ar"/>
              </w:rPr>
              <w:t>10.25</w:t>
            </w:r>
          </w:p>
        </w:tc>
        <w:tc>
          <w:tcPr>
            <w:tcW w:w="0" w:type="auto"/>
            <w:tcBorders>
              <w:top w:val="nil"/>
              <w:left w:val="nil"/>
              <w:bottom w:val="nil"/>
              <w:right w:val="nil"/>
            </w:tcBorders>
            <w:shd w:val="clear" w:color="auto" w:fill="FFFFFF"/>
            <w:noWrap/>
            <w:vAlign w:val="center"/>
          </w:tcPr>
          <w:p w14:paraId="5A91A3D9">
            <w:pPr>
              <w:widowControl/>
              <w:jc w:val="center"/>
              <w:textAlignment w:val="center"/>
              <w:rPr>
                <w:rFonts w:eastAsia="宋体"/>
                <w:color w:val="000000"/>
                <w:sz w:val="22"/>
                <w:szCs w:val="22"/>
              </w:rPr>
            </w:pPr>
            <w:r>
              <w:rPr>
                <w:rFonts w:eastAsia="宋体"/>
                <w:color w:val="000000"/>
                <w:sz w:val="22"/>
                <w:szCs w:val="22"/>
                <w:lang w:bidi="ar"/>
              </w:rPr>
              <w:t>5.56</w:t>
            </w:r>
          </w:p>
        </w:tc>
        <w:tc>
          <w:tcPr>
            <w:tcW w:w="0" w:type="auto"/>
            <w:tcBorders>
              <w:top w:val="nil"/>
              <w:left w:val="nil"/>
              <w:bottom w:val="nil"/>
              <w:right w:val="nil"/>
            </w:tcBorders>
            <w:shd w:val="clear" w:color="auto" w:fill="FFFFFF"/>
            <w:noWrap/>
            <w:vAlign w:val="center"/>
          </w:tcPr>
          <w:p w14:paraId="204797FF">
            <w:pPr>
              <w:widowControl/>
              <w:jc w:val="center"/>
              <w:textAlignment w:val="center"/>
              <w:rPr>
                <w:rFonts w:eastAsia="宋体"/>
                <w:color w:val="000000"/>
                <w:sz w:val="22"/>
                <w:szCs w:val="22"/>
              </w:rPr>
            </w:pPr>
            <w:r>
              <w:rPr>
                <w:rFonts w:eastAsia="宋体"/>
                <w:color w:val="000000"/>
                <w:sz w:val="22"/>
                <w:szCs w:val="22"/>
                <w:lang w:bidi="ar"/>
              </w:rPr>
              <w:t>8.92</w:t>
            </w:r>
          </w:p>
        </w:tc>
        <w:tc>
          <w:tcPr>
            <w:tcW w:w="0" w:type="auto"/>
            <w:tcBorders>
              <w:top w:val="nil"/>
              <w:left w:val="nil"/>
              <w:bottom w:val="nil"/>
              <w:right w:val="nil"/>
            </w:tcBorders>
            <w:shd w:val="clear" w:color="auto" w:fill="FFFFFF"/>
            <w:noWrap/>
            <w:vAlign w:val="center"/>
          </w:tcPr>
          <w:p w14:paraId="759ED525">
            <w:pPr>
              <w:widowControl/>
              <w:jc w:val="center"/>
              <w:textAlignment w:val="center"/>
              <w:rPr>
                <w:rFonts w:eastAsia="宋体"/>
                <w:color w:val="000000"/>
                <w:sz w:val="22"/>
                <w:szCs w:val="22"/>
              </w:rPr>
            </w:pPr>
            <w:r>
              <w:rPr>
                <w:rFonts w:eastAsia="宋体"/>
                <w:color w:val="000000"/>
                <w:sz w:val="22"/>
                <w:szCs w:val="22"/>
                <w:lang w:bidi="ar"/>
              </w:rPr>
              <w:t>9.32</w:t>
            </w:r>
          </w:p>
        </w:tc>
      </w:tr>
      <w:tr w14:paraId="5903F1EA">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37833E3F">
            <w:pPr>
              <w:widowControl/>
              <w:jc w:val="center"/>
              <w:textAlignment w:val="center"/>
              <w:rPr>
                <w:rFonts w:eastAsia="宋体"/>
                <w:color w:val="000000"/>
                <w:sz w:val="22"/>
                <w:szCs w:val="22"/>
              </w:rPr>
            </w:pPr>
            <w:r>
              <w:rPr>
                <w:rFonts w:eastAsia="宋体"/>
                <w:color w:val="000000"/>
                <w:sz w:val="22"/>
                <w:szCs w:val="22"/>
                <w:lang w:bidi="ar"/>
              </w:rPr>
              <w:t>Average path length</w:t>
            </w:r>
          </w:p>
        </w:tc>
        <w:tc>
          <w:tcPr>
            <w:tcW w:w="0" w:type="auto"/>
            <w:tcBorders>
              <w:top w:val="nil"/>
              <w:left w:val="nil"/>
              <w:bottom w:val="nil"/>
              <w:right w:val="nil"/>
            </w:tcBorders>
            <w:shd w:val="clear" w:color="auto" w:fill="FFFFFF"/>
          </w:tcPr>
          <w:p w14:paraId="40F7C88F">
            <w:pPr>
              <w:widowControl/>
              <w:jc w:val="center"/>
              <w:textAlignment w:val="center"/>
              <w:rPr>
                <w:rFonts w:eastAsia="宋体"/>
                <w:color w:val="000000"/>
                <w:sz w:val="22"/>
                <w:szCs w:val="22"/>
                <w:lang w:bidi="ar"/>
              </w:rPr>
            </w:pPr>
            <w:r>
              <w:rPr>
                <w:rFonts w:eastAsia="宋体"/>
                <w:color w:val="000000"/>
                <w:lang w:bidi="ar"/>
              </w:rPr>
              <w:t>6.88</w:t>
            </w:r>
          </w:p>
        </w:tc>
        <w:tc>
          <w:tcPr>
            <w:tcW w:w="0" w:type="auto"/>
            <w:tcBorders>
              <w:top w:val="nil"/>
              <w:left w:val="nil"/>
              <w:bottom w:val="nil"/>
              <w:right w:val="nil"/>
            </w:tcBorders>
            <w:shd w:val="clear" w:color="auto" w:fill="FFFFFF"/>
            <w:noWrap/>
            <w:vAlign w:val="center"/>
          </w:tcPr>
          <w:p w14:paraId="7CD5EF56">
            <w:pPr>
              <w:widowControl/>
              <w:jc w:val="center"/>
              <w:textAlignment w:val="center"/>
              <w:rPr>
                <w:rFonts w:eastAsia="宋体"/>
                <w:color w:val="000000"/>
                <w:sz w:val="22"/>
                <w:szCs w:val="22"/>
              </w:rPr>
            </w:pPr>
            <w:r>
              <w:rPr>
                <w:rFonts w:eastAsia="宋体"/>
                <w:color w:val="000000"/>
                <w:sz w:val="22"/>
                <w:szCs w:val="22"/>
                <w:lang w:bidi="ar"/>
              </w:rPr>
              <w:t>3.16</w:t>
            </w:r>
          </w:p>
        </w:tc>
        <w:tc>
          <w:tcPr>
            <w:tcW w:w="0" w:type="auto"/>
            <w:tcBorders>
              <w:top w:val="nil"/>
              <w:left w:val="nil"/>
              <w:bottom w:val="nil"/>
              <w:right w:val="nil"/>
            </w:tcBorders>
            <w:shd w:val="clear" w:color="auto" w:fill="FFFFFF"/>
            <w:noWrap/>
            <w:vAlign w:val="center"/>
          </w:tcPr>
          <w:p w14:paraId="364BAAD5">
            <w:pPr>
              <w:widowControl/>
              <w:jc w:val="center"/>
              <w:textAlignment w:val="center"/>
              <w:rPr>
                <w:rFonts w:eastAsia="宋体"/>
                <w:color w:val="000000"/>
                <w:sz w:val="22"/>
                <w:szCs w:val="22"/>
              </w:rPr>
            </w:pPr>
            <w:r>
              <w:rPr>
                <w:rFonts w:eastAsia="宋体"/>
                <w:color w:val="000000"/>
                <w:sz w:val="22"/>
                <w:szCs w:val="22"/>
                <w:lang w:bidi="ar"/>
              </w:rPr>
              <w:t>4.24</w:t>
            </w:r>
          </w:p>
        </w:tc>
        <w:tc>
          <w:tcPr>
            <w:tcW w:w="0" w:type="auto"/>
            <w:tcBorders>
              <w:top w:val="nil"/>
              <w:left w:val="nil"/>
              <w:bottom w:val="nil"/>
              <w:right w:val="nil"/>
            </w:tcBorders>
            <w:shd w:val="clear" w:color="auto" w:fill="FFFFFF"/>
            <w:noWrap/>
            <w:vAlign w:val="center"/>
          </w:tcPr>
          <w:p w14:paraId="0FE57922">
            <w:pPr>
              <w:widowControl/>
              <w:jc w:val="center"/>
              <w:textAlignment w:val="center"/>
              <w:rPr>
                <w:rFonts w:eastAsia="宋体"/>
                <w:color w:val="000000"/>
                <w:sz w:val="22"/>
                <w:szCs w:val="22"/>
              </w:rPr>
            </w:pPr>
            <w:r>
              <w:rPr>
                <w:rFonts w:eastAsia="宋体"/>
                <w:color w:val="000000"/>
                <w:sz w:val="22"/>
                <w:szCs w:val="22"/>
                <w:lang w:bidi="ar"/>
              </w:rPr>
              <w:t>4.33</w:t>
            </w:r>
          </w:p>
        </w:tc>
        <w:tc>
          <w:tcPr>
            <w:tcW w:w="0" w:type="auto"/>
            <w:tcBorders>
              <w:top w:val="nil"/>
              <w:left w:val="nil"/>
              <w:bottom w:val="nil"/>
              <w:right w:val="nil"/>
            </w:tcBorders>
            <w:shd w:val="clear" w:color="auto" w:fill="FFFFFF"/>
            <w:noWrap/>
            <w:vAlign w:val="center"/>
          </w:tcPr>
          <w:p w14:paraId="7164D953">
            <w:pPr>
              <w:widowControl/>
              <w:jc w:val="center"/>
              <w:textAlignment w:val="center"/>
              <w:rPr>
                <w:rFonts w:eastAsia="宋体"/>
                <w:color w:val="000000"/>
                <w:sz w:val="22"/>
                <w:szCs w:val="22"/>
              </w:rPr>
            </w:pPr>
            <w:r>
              <w:rPr>
                <w:rFonts w:eastAsia="宋体"/>
                <w:color w:val="000000"/>
                <w:sz w:val="22"/>
                <w:szCs w:val="22"/>
                <w:lang w:bidi="ar"/>
              </w:rPr>
              <w:t>4.58</w:t>
            </w:r>
          </w:p>
        </w:tc>
        <w:tc>
          <w:tcPr>
            <w:tcW w:w="0" w:type="auto"/>
            <w:tcBorders>
              <w:top w:val="nil"/>
              <w:left w:val="nil"/>
              <w:bottom w:val="nil"/>
              <w:right w:val="nil"/>
            </w:tcBorders>
            <w:shd w:val="clear" w:color="auto" w:fill="FFFFFF"/>
            <w:noWrap/>
            <w:vAlign w:val="center"/>
          </w:tcPr>
          <w:p w14:paraId="44F24C66">
            <w:pPr>
              <w:widowControl/>
              <w:jc w:val="center"/>
              <w:textAlignment w:val="center"/>
              <w:rPr>
                <w:rFonts w:eastAsia="宋体"/>
                <w:color w:val="000000"/>
                <w:sz w:val="22"/>
                <w:szCs w:val="22"/>
              </w:rPr>
            </w:pPr>
            <w:r>
              <w:rPr>
                <w:rFonts w:eastAsia="宋体"/>
                <w:color w:val="000000"/>
                <w:sz w:val="22"/>
                <w:szCs w:val="22"/>
                <w:lang w:bidi="ar"/>
              </w:rPr>
              <w:t>2.93</w:t>
            </w:r>
          </w:p>
        </w:tc>
        <w:tc>
          <w:tcPr>
            <w:tcW w:w="0" w:type="auto"/>
            <w:tcBorders>
              <w:top w:val="nil"/>
              <w:left w:val="nil"/>
              <w:bottom w:val="nil"/>
              <w:right w:val="nil"/>
            </w:tcBorders>
            <w:shd w:val="clear" w:color="auto" w:fill="FFFFFF"/>
            <w:noWrap/>
            <w:vAlign w:val="center"/>
          </w:tcPr>
          <w:p w14:paraId="1E69B9A7">
            <w:pPr>
              <w:widowControl/>
              <w:jc w:val="center"/>
              <w:textAlignment w:val="center"/>
              <w:rPr>
                <w:rFonts w:eastAsia="宋体"/>
                <w:color w:val="000000"/>
                <w:sz w:val="22"/>
                <w:szCs w:val="22"/>
              </w:rPr>
            </w:pPr>
            <w:r>
              <w:rPr>
                <w:rFonts w:eastAsia="宋体"/>
                <w:color w:val="000000"/>
                <w:sz w:val="22"/>
                <w:szCs w:val="22"/>
                <w:lang w:bidi="ar"/>
              </w:rPr>
              <w:t>3.56</w:t>
            </w:r>
          </w:p>
        </w:tc>
      </w:tr>
      <w:tr w14:paraId="09239F56">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07648B55">
            <w:pPr>
              <w:widowControl/>
              <w:jc w:val="center"/>
              <w:textAlignment w:val="center"/>
              <w:rPr>
                <w:rFonts w:eastAsia="宋体"/>
                <w:color w:val="000000"/>
                <w:sz w:val="22"/>
                <w:szCs w:val="22"/>
              </w:rPr>
            </w:pPr>
            <w:r>
              <w:rPr>
                <w:rFonts w:eastAsia="宋体"/>
                <w:color w:val="000000"/>
                <w:sz w:val="22"/>
                <w:szCs w:val="22"/>
                <w:lang w:bidi="ar"/>
              </w:rPr>
              <w:t>Diameter</w:t>
            </w:r>
          </w:p>
        </w:tc>
        <w:tc>
          <w:tcPr>
            <w:tcW w:w="0" w:type="auto"/>
            <w:tcBorders>
              <w:top w:val="nil"/>
              <w:left w:val="nil"/>
              <w:bottom w:val="nil"/>
              <w:right w:val="nil"/>
            </w:tcBorders>
            <w:shd w:val="clear" w:color="auto" w:fill="FFFFFF"/>
          </w:tcPr>
          <w:p w14:paraId="3741EFE1">
            <w:pPr>
              <w:widowControl/>
              <w:jc w:val="center"/>
              <w:textAlignment w:val="center"/>
              <w:rPr>
                <w:rFonts w:eastAsia="宋体"/>
                <w:color w:val="000000"/>
                <w:sz w:val="22"/>
                <w:szCs w:val="22"/>
                <w:lang w:bidi="ar"/>
              </w:rPr>
            </w:pPr>
            <w:r>
              <w:rPr>
                <w:rFonts w:eastAsia="宋体"/>
                <w:color w:val="000000"/>
                <w:lang w:bidi="ar"/>
              </w:rPr>
              <w:t>18.90</w:t>
            </w:r>
          </w:p>
        </w:tc>
        <w:tc>
          <w:tcPr>
            <w:tcW w:w="0" w:type="auto"/>
            <w:tcBorders>
              <w:top w:val="nil"/>
              <w:left w:val="nil"/>
              <w:bottom w:val="nil"/>
              <w:right w:val="nil"/>
            </w:tcBorders>
            <w:shd w:val="clear" w:color="auto" w:fill="FFFFFF"/>
            <w:noWrap/>
            <w:vAlign w:val="center"/>
          </w:tcPr>
          <w:p w14:paraId="779C66D2">
            <w:pPr>
              <w:widowControl/>
              <w:jc w:val="center"/>
              <w:textAlignment w:val="center"/>
              <w:rPr>
                <w:rFonts w:eastAsia="宋体"/>
                <w:color w:val="000000"/>
                <w:sz w:val="22"/>
                <w:szCs w:val="22"/>
              </w:rPr>
            </w:pPr>
            <w:r>
              <w:rPr>
                <w:rFonts w:eastAsia="宋体"/>
                <w:color w:val="000000"/>
                <w:sz w:val="22"/>
                <w:szCs w:val="22"/>
                <w:lang w:bidi="ar"/>
              </w:rPr>
              <w:t>7.33</w:t>
            </w:r>
          </w:p>
        </w:tc>
        <w:tc>
          <w:tcPr>
            <w:tcW w:w="0" w:type="auto"/>
            <w:tcBorders>
              <w:top w:val="nil"/>
              <w:left w:val="nil"/>
              <w:bottom w:val="nil"/>
              <w:right w:val="nil"/>
            </w:tcBorders>
            <w:shd w:val="clear" w:color="auto" w:fill="FFFFFF"/>
            <w:noWrap/>
            <w:vAlign w:val="center"/>
          </w:tcPr>
          <w:p w14:paraId="46218F8F">
            <w:pPr>
              <w:widowControl/>
              <w:jc w:val="center"/>
              <w:textAlignment w:val="center"/>
              <w:rPr>
                <w:rFonts w:eastAsia="宋体"/>
                <w:color w:val="000000"/>
                <w:sz w:val="22"/>
                <w:szCs w:val="22"/>
              </w:rPr>
            </w:pPr>
            <w:r>
              <w:rPr>
                <w:rFonts w:eastAsia="宋体"/>
                <w:color w:val="000000"/>
                <w:sz w:val="22"/>
                <w:szCs w:val="22"/>
                <w:lang w:bidi="ar"/>
              </w:rPr>
              <w:t>9.96</w:t>
            </w:r>
          </w:p>
        </w:tc>
        <w:tc>
          <w:tcPr>
            <w:tcW w:w="0" w:type="auto"/>
            <w:tcBorders>
              <w:top w:val="nil"/>
              <w:left w:val="nil"/>
              <w:bottom w:val="nil"/>
              <w:right w:val="nil"/>
            </w:tcBorders>
            <w:shd w:val="clear" w:color="auto" w:fill="FFFFFF"/>
            <w:noWrap/>
            <w:vAlign w:val="center"/>
          </w:tcPr>
          <w:p w14:paraId="108D31CD">
            <w:pPr>
              <w:widowControl/>
              <w:jc w:val="center"/>
              <w:textAlignment w:val="center"/>
              <w:rPr>
                <w:rFonts w:eastAsia="宋体"/>
                <w:color w:val="000000"/>
                <w:sz w:val="22"/>
                <w:szCs w:val="22"/>
              </w:rPr>
            </w:pPr>
            <w:r>
              <w:rPr>
                <w:rFonts w:eastAsia="宋体"/>
                <w:color w:val="000000"/>
                <w:sz w:val="22"/>
                <w:szCs w:val="22"/>
                <w:lang w:bidi="ar"/>
              </w:rPr>
              <w:t>10.84</w:t>
            </w:r>
          </w:p>
        </w:tc>
        <w:tc>
          <w:tcPr>
            <w:tcW w:w="0" w:type="auto"/>
            <w:tcBorders>
              <w:top w:val="nil"/>
              <w:left w:val="nil"/>
              <w:bottom w:val="nil"/>
              <w:right w:val="nil"/>
            </w:tcBorders>
            <w:shd w:val="clear" w:color="auto" w:fill="FFFFFF"/>
            <w:noWrap/>
            <w:vAlign w:val="center"/>
          </w:tcPr>
          <w:p w14:paraId="13BC3894">
            <w:pPr>
              <w:widowControl/>
              <w:jc w:val="center"/>
              <w:textAlignment w:val="center"/>
              <w:rPr>
                <w:rFonts w:eastAsia="宋体"/>
                <w:color w:val="000000"/>
                <w:sz w:val="22"/>
                <w:szCs w:val="22"/>
              </w:rPr>
            </w:pPr>
            <w:r>
              <w:rPr>
                <w:rFonts w:eastAsia="宋体"/>
                <w:color w:val="000000"/>
                <w:sz w:val="22"/>
                <w:szCs w:val="22"/>
                <w:lang w:bidi="ar"/>
              </w:rPr>
              <w:t>11.74</w:t>
            </w:r>
          </w:p>
        </w:tc>
        <w:tc>
          <w:tcPr>
            <w:tcW w:w="0" w:type="auto"/>
            <w:tcBorders>
              <w:top w:val="nil"/>
              <w:left w:val="nil"/>
              <w:bottom w:val="nil"/>
              <w:right w:val="nil"/>
            </w:tcBorders>
            <w:shd w:val="clear" w:color="auto" w:fill="FFFFFF"/>
            <w:noWrap/>
            <w:vAlign w:val="center"/>
          </w:tcPr>
          <w:p w14:paraId="36D33499">
            <w:pPr>
              <w:widowControl/>
              <w:jc w:val="center"/>
              <w:textAlignment w:val="center"/>
              <w:rPr>
                <w:rFonts w:eastAsia="宋体"/>
                <w:color w:val="000000"/>
                <w:sz w:val="22"/>
                <w:szCs w:val="22"/>
              </w:rPr>
            </w:pPr>
            <w:r>
              <w:rPr>
                <w:rFonts w:eastAsia="宋体"/>
                <w:color w:val="000000"/>
                <w:sz w:val="22"/>
                <w:szCs w:val="22"/>
                <w:lang w:bidi="ar"/>
              </w:rPr>
              <w:t>7.04</w:t>
            </w:r>
          </w:p>
        </w:tc>
        <w:tc>
          <w:tcPr>
            <w:tcW w:w="0" w:type="auto"/>
            <w:tcBorders>
              <w:top w:val="nil"/>
              <w:left w:val="nil"/>
              <w:bottom w:val="nil"/>
              <w:right w:val="nil"/>
            </w:tcBorders>
            <w:shd w:val="clear" w:color="auto" w:fill="FFFFFF"/>
            <w:noWrap/>
            <w:vAlign w:val="center"/>
          </w:tcPr>
          <w:p w14:paraId="5F959936">
            <w:pPr>
              <w:widowControl/>
              <w:jc w:val="center"/>
              <w:textAlignment w:val="center"/>
              <w:rPr>
                <w:rFonts w:eastAsia="宋体"/>
                <w:color w:val="000000"/>
                <w:sz w:val="22"/>
                <w:szCs w:val="22"/>
              </w:rPr>
            </w:pPr>
            <w:r>
              <w:rPr>
                <w:rFonts w:eastAsia="宋体"/>
                <w:color w:val="000000"/>
                <w:sz w:val="22"/>
                <w:szCs w:val="22"/>
                <w:lang w:bidi="ar"/>
              </w:rPr>
              <w:t>8.46</w:t>
            </w:r>
          </w:p>
        </w:tc>
      </w:tr>
      <w:tr w14:paraId="6FB9420B">
        <w:tblPrEx>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FFFFFF"/>
            <w:noWrap/>
            <w:vAlign w:val="center"/>
          </w:tcPr>
          <w:p w14:paraId="36A45D3E">
            <w:pPr>
              <w:widowControl/>
              <w:jc w:val="center"/>
              <w:textAlignment w:val="center"/>
              <w:rPr>
                <w:rFonts w:eastAsia="宋体"/>
                <w:color w:val="000000"/>
                <w:sz w:val="22"/>
                <w:szCs w:val="22"/>
              </w:rPr>
            </w:pPr>
            <w:r>
              <w:rPr>
                <w:rFonts w:eastAsia="宋体"/>
                <w:color w:val="000000"/>
                <w:sz w:val="22"/>
                <w:szCs w:val="22"/>
                <w:lang w:bidi="ar"/>
              </w:rPr>
              <w:t>Modularity</w:t>
            </w:r>
          </w:p>
        </w:tc>
        <w:tc>
          <w:tcPr>
            <w:tcW w:w="0" w:type="auto"/>
            <w:tcBorders>
              <w:top w:val="nil"/>
              <w:left w:val="nil"/>
              <w:bottom w:val="nil"/>
              <w:right w:val="nil"/>
            </w:tcBorders>
            <w:shd w:val="clear" w:color="auto" w:fill="FFFFFF"/>
          </w:tcPr>
          <w:p w14:paraId="5A99D370">
            <w:pPr>
              <w:widowControl/>
              <w:jc w:val="center"/>
              <w:textAlignment w:val="center"/>
              <w:rPr>
                <w:rFonts w:eastAsia="宋体"/>
                <w:color w:val="000000"/>
                <w:sz w:val="22"/>
                <w:szCs w:val="22"/>
                <w:lang w:bidi="ar"/>
              </w:rPr>
            </w:pPr>
            <w:r>
              <w:rPr>
                <w:rFonts w:eastAsia="宋体"/>
                <w:color w:val="000000"/>
                <w:lang w:bidi="ar"/>
              </w:rPr>
              <w:t>0.94</w:t>
            </w:r>
          </w:p>
        </w:tc>
        <w:tc>
          <w:tcPr>
            <w:tcW w:w="0" w:type="auto"/>
            <w:tcBorders>
              <w:top w:val="nil"/>
              <w:left w:val="nil"/>
              <w:bottom w:val="nil"/>
              <w:right w:val="nil"/>
            </w:tcBorders>
            <w:shd w:val="clear" w:color="auto" w:fill="FFFFFF"/>
            <w:noWrap/>
            <w:vAlign w:val="center"/>
          </w:tcPr>
          <w:p w14:paraId="5A514734">
            <w:pPr>
              <w:widowControl/>
              <w:jc w:val="center"/>
              <w:textAlignment w:val="center"/>
              <w:rPr>
                <w:rFonts w:eastAsia="宋体"/>
                <w:color w:val="000000"/>
                <w:sz w:val="22"/>
                <w:szCs w:val="22"/>
              </w:rPr>
            </w:pPr>
            <w:r>
              <w:rPr>
                <w:rFonts w:eastAsia="宋体"/>
                <w:color w:val="000000"/>
                <w:sz w:val="22"/>
                <w:szCs w:val="22"/>
                <w:lang w:bidi="ar"/>
              </w:rPr>
              <w:t>0.48</w:t>
            </w:r>
          </w:p>
        </w:tc>
        <w:tc>
          <w:tcPr>
            <w:tcW w:w="0" w:type="auto"/>
            <w:tcBorders>
              <w:top w:val="nil"/>
              <w:left w:val="nil"/>
              <w:bottom w:val="nil"/>
              <w:right w:val="nil"/>
            </w:tcBorders>
            <w:shd w:val="clear" w:color="auto" w:fill="FFFFFF"/>
            <w:noWrap/>
            <w:vAlign w:val="center"/>
          </w:tcPr>
          <w:p w14:paraId="7B2575B8">
            <w:pPr>
              <w:widowControl/>
              <w:jc w:val="center"/>
              <w:textAlignment w:val="center"/>
              <w:rPr>
                <w:rFonts w:eastAsia="宋体"/>
                <w:color w:val="000000"/>
                <w:sz w:val="22"/>
                <w:szCs w:val="22"/>
              </w:rPr>
            </w:pPr>
            <w:r>
              <w:rPr>
                <w:rFonts w:eastAsia="宋体"/>
                <w:color w:val="000000"/>
                <w:sz w:val="22"/>
                <w:szCs w:val="22"/>
                <w:lang w:bidi="ar"/>
              </w:rPr>
              <w:t>0.41</w:t>
            </w:r>
          </w:p>
        </w:tc>
        <w:tc>
          <w:tcPr>
            <w:tcW w:w="0" w:type="auto"/>
            <w:tcBorders>
              <w:top w:val="nil"/>
              <w:left w:val="nil"/>
              <w:bottom w:val="nil"/>
              <w:right w:val="nil"/>
            </w:tcBorders>
            <w:shd w:val="clear" w:color="auto" w:fill="FFFFFF"/>
            <w:noWrap/>
            <w:vAlign w:val="center"/>
          </w:tcPr>
          <w:p w14:paraId="67222042">
            <w:pPr>
              <w:widowControl/>
              <w:jc w:val="center"/>
              <w:textAlignment w:val="center"/>
              <w:rPr>
                <w:rFonts w:eastAsia="宋体"/>
                <w:color w:val="000000"/>
                <w:sz w:val="22"/>
                <w:szCs w:val="22"/>
              </w:rPr>
            </w:pPr>
            <w:r>
              <w:rPr>
                <w:rFonts w:eastAsia="宋体"/>
                <w:color w:val="000000"/>
                <w:sz w:val="22"/>
                <w:szCs w:val="22"/>
                <w:lang w:bidi="ar"/>
              </w:rPr>
              <w:t>0.38</w:t>
            </w:r>
          </w:p>
        </w:tc>
        <w:tc>
          <w:tcPr>
            <w:tcW w:w="0" w:type="auto"/>
            <w:tcBorders>
              <w:top w:val="nil"/>
              <w:left w:val="nil"/>
              <w:bottom w:val="nil"/>
              <w:right w:val="nil"/>
            </w:tcBorders>
            <w:shd w:val="clear" w:color="auto" w:fill="FFFFFF"/>
            <w:noWrap/>
            <w:vAlign w:val="center"/>
          </w:tcPr>
          <w:p w14:paraId="233C6D1A">
            <w:pPr>
              <w:widowControl/>
              <w:jc w:val="center"/>
              <w:textAlignment w:val="center"/>
              <w:rPr>
                <w:rFonts w:eastAsia="宋体"/>
                <w:color w:val="000000"/>
                <w:sz w:val="22"/>
                <w:szCs w:val="22"/>
              </w:rPr>
            </w:pPr>
            <w:r>
              <w:rPr>
                <w:rFonts w:eastAsia="宋体"/>
                <w:color w:val="000000"/>
                <w:sz w:val="22"/>
                <w:szCs w:val="22"/>
                <w:lang w:bidi="ar"/>
              </w:rPr>
              <w:t>0.6</w:t>
            </w:r>
          </w:p>
        </w:tc>
        <w:tc>
          <w:tcPr>
            <w:tcW w:w="0" w:type="auto"/>
            <w:tcBorders>
              <w:top w:val="nil"/>
              <w:left w:val="nil"/>
              <w:bottom w:val="nil"/>
              <w:right w:val="nil"/>
            </w:tcBorders>
            <w:shd w:val="clear" w:color="auto" w:fill="FFFFFF"/>
            <w:noWrap/>
            <w:vAlign w:val="center"/>
          </w:tcPr>
          <w:p w14:paraId="60325237">
            <w:pPr>
              <w:widowControl/>
              <w:jc w:val="center"/>
              <w:textAlignment w:val="center"/>
              <w:rPr>
                <w:rFonts w:eastAsia="宋体"/>
                <w:color w:val="000000"/>
                <w:sz w:val="22"/>
                <w:szCs w:val="22"/>
              </w:rPr>
            </w:pPr>
            <w:r>
              <w:rPr>
                <w:rFonts w:eastAsia="宋体"/>
                <w:color w:val="000000"/>
                <w:sz w:val="22"/>
                <w:szCs w:val="22"/>
                <w:lang w:bidi="ar"/>
              </w:rPr>
              <w:t>0.37</w:t>
            </w:r>
          </w:p>
        </w:tc>
        <w:tc>
          <w:tcPr>
            <w:tcW w:w="0" w:type="auto"/>
            <w:tcBorders>
              <w:top w:val="nil"/>
              <w:left w:val="nil"/>
              <w:bottom w:val="nil"/>
              <w:right w:val="nil"/>
            </w:tcBorders>
            <w:shd w:val="clear" w:color="auto" w:fill="FFFFFF"/>
            <w:noWrap/>
            <w:vAlign w:val="center"/>
          </w:tcPr>
          <w:p w14:paraId="0588E4AC">
            <w:pPr>
              <w:widowControl/>
              <w:jc w:val="center"/>
              <w:textAlignment w:val="center"/>
              <w:rPr>
                <w:rFonts w:eastAsia="宋体"/>
                <w:color w:val="000000"/>
                <w:sz w:val="22"/>
                <w:szCs w:val="22"/>
              </w:rPr>
            </w:pPr>
            <w:r>
              <w:rPr>
                <w:rFonts w:eastAsia="宋体"/>
                <w:color w:val="000000"/>
                <w:sz w:val="22"/>
                <w:szCs w:val="22"/>
                <w:lang w:bidi="ar"/>
              </w:rPr>
              <w:t>0.42</w:t>
            </w:r>
          </w:p>
        </w:tc>
      </w:tr>
      <w:tr w14:paraId="5F812320">
        <w:tblPrEx>
          <w:tblCellMar>
            <w:top w:w="0" w:type="dxa"/>
            <w:left w:w="108" w:type="dxa"/>
            <w:bottom w:w="0" w:type="dxa"/>
            <w:right w:w="108" w:type="dxa"/>
          </w:tblCellMar>
        </w:tblPrEx>
        <w:trPr>
          <w:trHeight w:val="276" w:hRule="atLeast"/>
          <w:jc w:val="center"/>
        </w:trPr>
        <w:tc>
          <w:tcPr>
            <w:tcW w:w="0" w:type="auto"/>
            <w:tcBorders>
              <w:top w:val="nil"/>
              <w:left w:val="nil"/>
              <w:right w:val="nil"/>
            </w:tcBorders>
            <w:shd w:val="clear" w:color="auto" w:fill="FFFFFF"/>
            <w:noWrap/>
            <w:vAlign w:val="center"/>
          </w:tcPr>
          <w:p w14:paraId="31279C9A">
            <w:pPr>
              <w:widowControl/>
              <w:jc w:val="center"/>
              <w:textAlignment w:val="center"/>
              <w:rPr>
                <w:rFonts w:eastAsia="宋体"/>
                <w:color w:val="000000"/>
                <w:sz w:val="22"/>
                <w:szCs w:val="22"/>
              </w:rPr>
            </w:pPr>
            <w:r>
              <w:rPr>
                <w:rFonts w:eastAsia="宋体"/>
                <w:color w:val="000000"/>
                <w:sz w:val="22"/>
                <w:szCs w:val="22"/>
                <w:lang w:bidi="ar"/>
              </w:rPr>
              <w:t>RM</w:t>
            </w:r>
          </w:p>
        </w:tc>
        <w:tc>
          <w:tcPr>
            <w:tcW w:w="0" w:type="auto"/>
            <w:tcBorders>
              <w:top w:val="nil"/>
              <w:left w:val="nil"/>
              <w:right w:val="nil"/>
            </w:tcBorders>
            <w:shd w:val="clear" w:color="auto" w:fill="FFFFFF"/>
          </w:tcPr>
          <w:p w14:paraId="57AF9C7B">
            <w:pPr>
              <w:widowControl/>
              <w:jc w:val="center"/>
              <w:textAlignment w:val="center"/>
              <w:rPr>
                <w:rFonts w:eastAsia="宋体"/>
                <w:color w:val="000000"/>
                <w:sz w:val="22"/>
                <w:szCs w:val="22"/>
                <w:lang w:bidi="ar"/>
              </w:rPr>
            </w:pPr>
            <w:r>
              <w:rPr>
                <w:rFonts w:eastAsia="宋体"/>
                <w:color w:val="000000"/>
                <w:lang w:bidi="ar"/>
              </w:rPr>
              <w:t>0.</w:t>
            </w:r>
            <w:r>
              <w:rPr>
                <w:rFonts w:hint="eastAsia" w:eastAsia="宋体"/>
                <w:color w:val="000000"/>
                <w:lang w:bidi="ar"/>
              </w:rPr>
              <w:t>8</w:t>
            </w:r>
            <w:r>
              <w:rPr>
                <w:rFonts w:eastAsia="宋体"/>
                <w:color w:val="000000"/>
                <w:lang w:bidi="ar"/>
              </w:rPr>
              <w:t>4</w:t>
            </w:r>
          </w:p>
        </w:tc>
        <w:tc>
          <w:tcPr>
            <w:tcW w:w="0" w:type="auto"/>
            <w:tcBorders>
              <w:top w:val="nil"/>
              <w:left w:val="nil"/>
              <w:right w:val="nil"/>
            </w:tcBorders>
            <w:shd w:val="clear" w:color="auto" w:fill="FFFFFF"/>
            <w:noWrap/>
            <w:vAlign w:val="center"/>
          </w:tcPr>
          <w:p w14:paraId="0713010A">
            <w:pPr>
              <w:widowControl/>
              <w:jc w:val="center"/>
              <w:textAlignment w:val="center"/>
              <w:rPr>
                <w:rFonts w:eastAsia="宋体"/>
                <w:color w:val="000000"/>
                <w:sz w:val="22"/>
                <w:szCs w:val="22"/>
              </w:rPr>
            </w:pPr>
            <w:r>
              <w:rPr>
                <w:rFonts w:eastAsia="宋体"/>
                <w:color w:val="000000"/>
                <w:sz w:val="22"/>
                <w:szCs w:val="22"/>
                <w:lang w:bidi="ar"/>
              </w:rPr>
              <w:t>0.8</w:t>
            </w:r>
          </w:p>
        </w:tc>
        <w:tc>
          <w:tcPr>
            <w:tcW w:w="0" w:type="auto"/>
            <w:tcBorders>
              <w:top w:val="nil"/>
              <w:left w:val="nil"/>
              <w:right w:val="nil"/>
            </w:tcBorders>
            <w:shd w:val="clear" w:color="auto" w:fill="FFFFFF"/>
            <w:noWrap/>
            <w:vAlign w:val="center"/>
          </w:tcPr>
          <w:p w14:paraId="7F1B94C0">
            <w:pPr>
              <w:widowControl/>
              <w:jc w:val="center"/>
              <w:textAlignment w:val="center"/>
              <w:rPr>
                <w:rFonts w:eastAsia="宋体"/>
                <w:color w:val="000000"/>
                <w:sz w:val="22"/>
                <w:szCs w:val="22"/>
              </w:rPr>
            </w:pPr>
            <w:r>
              <w:rPr>
                <w:rFonts w:eastAsia="宋体"/>
                <w:color w:val="000000"/>
                <w:sz w:val="22"/>
                <w:szCs w:val="22"/>
                <w:lang w:bidi="ar"/>
              </w:rPr>
              <w:t>0.84</w:t>
            </w:r>
          </w:p>
        </w:tc>
        <w:tc>
          <w:tcPr>
            <w:tcW w:w="0" w:type="auto"/>
            <w:tcBorders>
              <w:top w:val="nil"/>
              <w:left w:val="nil"/>
              <w:right w:val="nil"/>
            </w:tcBorders>
            <w:shd w:val="clear" w:color="auto" w:fill="FFFFFF"/>
            <w:noWrap/>
            <w:vAlign w:val="center"/>
          </w:tcPr>
          <w:p w14:paraId="60268BD3">
            <w:pPr>
              <w:widowControl/>
              <w:jc w:val="center"/>
              <w:textAlignment w:val="center"/>
              <w:rPr>
                <w:rFonts w:eastAsia="宋体"/>
                <w:color w:val="000000"/>
                <w:sz w:val="22"/>
                <w:szCs w:val="22"/>
              </w:rPr>
            </w:pPr>
            <w:r>
              <w:rPr>
                <w:rFonts w:eastAsia="宋体"/>
                <w:color w:val="000000"/>
                <w:sz w:val="22"/>
                <w:szCs w:val="22"/>
                <w:lang w:bidi="ar"/>
              </w:rPr>
              <w:t>0.86</w:t>
            </w:r>
          </w:p>
        </w:tc>
        <w:tc>
          <w:tcPr>
            <w:tcW w:w="0" w:type="auto"/>
            <w:tcBorders>
              <w:top w:val="nil"/>
              <w:left w:val="nil"/>
              <w:right w:val="nil"/>
            </w:tcBorders>
            <w:shd w:val="clear" w:color="auto" w:fill="FFFFFF"/>
            <w:noWrap/>
            <w:vAlign w:val="center"/>
          </w:tcPr>
          <w:p w14:paraId="41CF0414">
            <w:pPr>
              <w:widowControl/>
              <w:jc w:val="center"/>
              <w:textAlignment w:val="center"/>
              <w:rPr>
                <w:rFonts w:eastAsia="宋体"/>
                <w:color w:val="000000"/>
                <w:sz w:val="22"/>
                <w:szCs w:val="22"/>
              </w:rPr>
            </w:pPr>
            <w:r>
              <w:rPr>
                <w:rFonts w:eastAsia="宋体"/>
                <w:color w:val="000000"/>
                <w:sz w:val="22"/>
                <w:szCs w:val="22"/>
                <w:lang w:bidi="ar"/>
              </w:rPr>
              <w:t>0.74</w:t>
            </w:r>
          </w:p>
        </w:tc>
        <w:tc>
          <w:tcPr>
            <w:tcW w:w="0" w:type="auto"/>
            <w:tcBorders>
              <w:top w:val="nil"/>
              <w:left w:val="nil"/>
              <w:right w:val="nil"/>
            </w:tcBorders>
            <w:shd w:val="clear" w:color="auto" w:fill="FFFFFF"/>
            <w:noWrap/>
            <w:vAlign w:val="center"/>
          </w:tcPr>
          <w:p w14:paraId="3DDC58B8">
            <w:pPr>
              <w:widowControl/>
              <w:jc w:val="center"/>
              <w:textAlignment w:val="center"/>
              <w:rPr>
                <w:rFonts w:eastAsia="宋体"/>
                <w:color w:val="000000"/>
                <w:sz w:val="22"/>
                <w:szCs w:val="22"/>
              </w:rPr>
            </w:pPr>
            <w:r>
              <w:rPr>
                <w:rFonts w:eastAsia="宋体"/>
                <w:color w:val="000000"/>
                <w:sz w:val="22"/>
                <w:szCs w:val="22"/>
                <w:lang w:bidi="ar"/>
              </w:rPr>
              <w:t>0.87</w:t>
            </w:r>
          </w:p>
        </w:tc>
        <w:tc>
          <w:tcPr>
            <w:tcW w:w="0" w:type="auto"/>
            <w:tcBorders>
              <w:top w:val="nil"/>
              <w:left w:val="nil"/>
              <w:right w:val="nil"/>
            </w:tcBorders>
            <w:shd w:val="clear" w:color="auto" w:fill="FFFFFF"/>
            <w:noWrap/>
            <w:vAlign w:val="center"/>
          </w:tcPr>
          <w:p w14:paraId="4944626F">
            <w:pPr>
              <w:widowControl/>
              <w:jc w:val="center"/>
              <w:textAlignment w:val="center"/>
              <w:rPr>
                <w:rFonts w:eastAsia="宋体"/>
                <w:color w:val="000000"/>
                <w:sz w:val="22"/>
                <w:szCs w:val="22"/>
              </w:rPr>
            </w:pPr>
            <w:r>
              <w:rPr>
                <w:rFonts w:eastAsia="宋体"/>
                <w:color w:val="000000"/>
                <w:sz w:val="22"/>
                <w:szCs w:val="22"/>
                <w:lang w:bidi="ar"/>
              </w:rPr>
              <w:t>0.84</w:t>
            </w:r>
          </w:p>
        </w:tc>
      </w:tr>
      <w:tr w14:paraId="665EB47B">
        <w:tblPrEx>
          <w:tblCellMar>
            <w:top w:w="0" w:type="dxa"/>
            <w:left w:w="108" w:type="dxa"/>
            <w:bottom w:w="0" w:type="dxa"/>
            <w:right w:w="108" w:type="dxa"/>
          </w:tblCellMar>
        </w:tblPrEx>
        <w:trPr>
          <w:trHeight w:val="276" w:hRule="atLeast"/>
          <w:jc w:val="center"/>
        </w:trPr>
        <w:tc>
          <w:tcPr>
            <w:tcW w:w="0" w:type="auto"/>
            <w:tcBorders>
              <w:top w:val="nil"/>
              <w:left w:val="nil"/>
              <w:bottom w:val="single" w:color="auto" w:sz="8" w:space="0"/>
              <w:right w:val="nil"/>
            </w:tcBorders>
            <w:shd w:val="clear" w:color="auto" w:fill="FFFFFF"/>
            <w:noWrap/>
            <w:vAlign w:val="center"/>
          </w:tcPr>
          <w:p w14:paraId="782D648E">
            <w:pPr>
              <w:widowControl/>
              <w:jc w:val="center"/>
              <w:textAlignment w:val="center"/>
              <w:rPr>
                <w:rFonts w:eastAsia="宋体"/>
                <w:color w:val="000000"/>
                <w:sz w:val="22"/>
                <w:szCs w:val="22"/>
              </w:rPr>
            </w:pPr>
            <w:r>
              <w:rPr>
                <w:rFonts w:eastAsia="宋体"/>
                <w:color w:val="000000"/>
                <w:sz w:val="22"/>
                <w:szCs w:val="22"/>
                <w:lang w:bidi="ar"/>
              </w:rPr>
              <w:t>Average CC</w:t>
            </w:r>
          </w:p>
        </w:tc>
        <w:tc>
          <w:tcPr>
            <w:tcW w:w="0" w:type="auto"/>
            <w:tcBorders>
              <w:top w:val="nil"/>
              <w:left w:val="nil"/>
              <w:bottom w:val="single" w:color="auto" w:sz="8" w:space="0"/>
              <w:right w:val="nil"/>
            </w:tcBorders>
            <w:shd w:val="clear" w:color="auto" w:fill="FFFFFF"/>
          </w:tcPr>
          <w:p w14:paraId="007784F0">
            <w:pPr>
              <w:widowControl/>
              <w:jc w:val="center"/>
              <w:textAlignment w:val="center"/>
              <w:rPr>
                <w:rFonts w:eastAsia="宋体"/>
                <w:color w:val="000000"/>
                <w:sz w:val="22"/>
                <w:szCs w:val="22"/>
                <w:lang w:bidi="ar"/>
              </w:rPr>
            </w:pPr>
            <w:r>
              <w:rPr>
                <w:rFonts w:hint="eastAsia" w:eastAsia="宋体"/>
                <w:color w:val="000000"/>
                <w:lang w:bidi="ar"/>
              </w:rPr>
              <w:t>0.5</w:t>
            </w:r>
          </w:p>
        </w:tc>
        <w:tc>
          <w:tcPr>
            <w:tcW w:w="0" w:type="auto"/>
            <w:tcBorders>
              <w:top w:val="nil"/>
              <w:left w:val="nil"/>
              <w:bottom w:val="single" w:color="auto" w:sz="8" w:space="0"/>
              <w:right w:val="nil"/>
            </w:tcBorders>
            <w:shd w:val="clear" w:color="auto" w:fill="FFFFFF"/>
            <w:noWrap/>
            <w:vAlign w:val="center"/>
          </w:tcPr>
          <w:p w14:paraId="0433ADA7">
            <w:pPr>
              <w:widowControl/>
              <w:jc w:val="center"/>
              <w:textAlignment w:val="center"/>
              <w:rPr>
                <w:rFonts w:eastAsia="宋体"/>
                <w:color w:val="000000"/>
                <w:sz w:val="22"/>
                <w:szCs w:val="22"/>
              </w:rPr>
            </w:pPr>
            <w:r>
              <w:rPr>
                <w:rFonts w:eastAsia="宋体"/>
                <w:color w:val="000000"/>
                <w:sz w:val="22"/>
                <w:szCs w:val="22"/>
                <w:lang w:bidi="ar"/>
              </w:rPr>
              <w:t>0.53</w:t>
            </w:r>
          </w:p>
        </w:tc>
        <w:tc>
          <w:tcPr>
            <w:tcW w:w="0" w:type="auto"/>
            <w:tcBorders>
              <w:top w:val="nil"/>
              <w:left w:val="nil"/>
              <w:bottom w:val="single" w:color="auto" w:sz="8" w:space="0"/>
              <w:right w:val="nil"/>
            </w:tcBorders>
            <w:shd w:val="clear" w:color="auto" w:fill="FFFFFF"/>
            <w:noWrap/>
            <w:vAlign w:val="center"/>
          </w:tcPr>
          <w:p w14:paraId="4D999791">
            <w:pPr>
              <w:widowControl/>
              <w:jc w:val="center"/>
              <w:textAlignment w:val="center"/>
              <w:rPr>
                <w:rFonts w:eastAsia="宋体"/>
                <w:color w:val="000000"/>
                <w:sz w:val="22"/>
                <w:szCs w:val="22"/>
              </w:rPr>
            </w:pPr>
            <w:r>
              <w:rPr>
                <w:rFonts w:eastAsia="宋体"/>
                <w:color w:val="000000"/>
                <w:sz w:val="22"/>
                <w:szCs w:val="22"/>
                <w:lang w:bidi="ar"/>
              </w:rPr>
              <w:t>0.53</w:t>
            </w:r>
          </w:p>
        </w:tc>
        <w:tc>
          <w:tcPr>
            <w:tcW w:w="0" w:type="auto"/>
            <w:tcBorders>
              <w:top w:val="nil"/>
              <w:left w:val="nil"/>
              <w:bottom w:val="single" w:color="auto" w:sz="8" w:space="0"/>
              <w:right w:val="nil"/>
            </w:tcBorders>
            <w:shd w:val="clear" w:color="auto" w:fill="FFFFFF"/>
            <w:noWrap/>
            <w:vAlign w:val="center"/>
          </w:tcPr>
          <w:p w14:paraId="185867FC">
            <w:pPr>
              <w:widowControl/>
              <w:jc w:val="center"/>
              <w:textAlignment w:val="center"/>
              <w:rPr>
                <w:rFonts w:eastAsia="宋体"/>
                <w:color w:val="000000"/>
                <w:sz w:val="22"/>
                <w:szCs w:val="22"/>
              </w:rPr>
            </w:pPr>
            <w:r>
              <w:rPr>
                <w:rFonts w:eastAsia="宋体"/>
                <w:color w:val="000000"/>
                <w:sz w:val="22"/>
                <w:szCs w:val="22"/>
                <w:lang w:bidi="ar"/>
              </w:rPr>
              <w:t>0.55</w:t>
            </w:r>
          </w:p>
        </w:tc>
        <w:tc>
          <w:tcPr>
            <w:tcW w:w="0" w:type="auto"/>
            <w:tcBorders>
              <w:top w:val="nil"/>
              <w:left w:val="nil"/>
              <w:bottom w:val="single" w:color="auto" w:sz="8" w:space="0"/>
              <w:right w:val="nil"/>
            </w:tcBorders>
            <w:shd w:val="clear" w:color="auto" w:fill="FFFFFF"/>
            <w:noWrap/>
            <w:vAlign w:val="center"/>
          </w:tcPr>
          <w:p w14:paraId="1299DBA8">
            <w:pPr>
              <w:widowControl/>
              <w:jc w:val="center"/>
              <w:textAlignment w:val="center"/>
              <w:rPr>
                <w:rFonts w:eastAsia="宋体"/>
                <w:color w:val="000000"/>
                <w:sz w:val="22"/>
                <w:szCs w:val="22"/>
              </w:rPr>
            </w:pPr>
            <w:r>
              <w:rPr>
                <w:rFonts w:eastAsia="宋体"/>
                <w:color w:val="000000"/>
                <w:sz w:val="22"/>
                <w:szCs w:val="22"/>
                <w:lang w:bidi="ar"/>
              </w:rPr>
              <w:t>0.53</w:t>
            </w:r>
          </w:p>
        </w:tc>
        <w:tc>
          <w:tcPr>
            <w:tcW w:w="0" w:type="auto"/>
            <w:tcBorders>
              <w:top w:val="nil"/>
              <w:left w:val="nil"/>
              <w:bottom w:val="single" w:color="auto" w:sz="8" w:space="0"/>
              <w:right w:val="nil"/>
            </w:tcBorders>
            <w:shd w:val="clear" w:color="auto" w:fill="FFFFFF"/>
            <w:noWrap/>
            <w:vAlign w:val="center"/>
          </w:tcPr>
          <w:p w14:paraId="338C7CD8">
            <w:pPr>
              <w:widowControl/>
              <w:jc w:val="center"/>
              <w:textAlignment w:val="center"/>
              <w:rPr>
                <w:rFonts w:eastAsia="宋体"/>
                <w:color w:val="000000"/>
                <w:sz w:val="22"/>
                <w:szCs w:val="22"/>
              </w:rPr>
            </w:pPr>
            <w:r>
              <w:rPr>
                <w:rFonts w:eastAsia="宋体"/>
                <w:color w:val="000000"/>
                <w:sz w:val="22"/>
                <w:szCs w:val="22"/>
                <w:lang w:bidi="ar"/>
              </w:rPr>
              <w:t>0.63</w:t>
            </w:r>
          </w:p>
        </w:tc>
        <w:tc>
          <w:tcPr>
            <w:tcW w:w="0" w:type="auto"/>
            <w:tcBorders>
              <w:top w:val="nil"/>
              <w:left w:val="nil"/>
              <w:bottom w:val="single" w:color="auto" w:sz="8" w:space="0"/>
              <w:right w:val="nil"/>
            </w:tcBorders>
            <w:shd w:val="clear" w:color="auto" w:fill="FFFFFF"/>
            <w:noWrap/>
            <w:vAlign w:val="center"/>
          </w:tcPr>
          <w:p w14:paraId="2F9E48E1">
            <w:pPr>
              <w:widowControl/>
              <w:jc w:val="center"/>
              <w:textAlignment w:val="center"/>
              <w:rPr>
                <w:rFonts w:eastAsia="宋体"/>
                <w:color w:val="000000"/>
                <w:sz w:val="22"/>
                <w:szCs w:val="22"/>
              </w:rPr>
            </w:pPr>
            <w:r>
              <w:rPr>
                <w:rFonts w:eastAsia="宋体"/>
                <w:color w:val="000000"/>
                <w:sz w:val="22"/>
                <w:szCs w:val="22"/>
                <w:lang w:bidi="ar"/>
              </w:rPr>
              <w:t>0.55</w:t>
            </w:r>
          </w:p>
        </w:tc>
      </w:tr>
    </w:tbl>
    <w:p w14:paraId="454AF7F1">
      <w:pPr>
        <w:pStyle w:val="46"/>
        <w:spacing w:after="326"/>
        <w:jc w:val="left"/>
        <w:rPr>
          <w:rFonts w:hint="eastAsia"/>
        </w:rPr>
      </w:pPr>
      <w:r>
        <w:t>RM, relative modularity; CC, clustering coefficient.</w:t>
      </w:r>
      <w:r>
        <w:rPr>
          <w:rFonts w:hint="eastAsia"/>
          <w:lang w:val="en-US" w:eastAsia="zh-CN"/>
        </w:rPr>
        <w:t xml:space="preserve"> </w:t>
      </w:r>
      <w:r>
        <w:rPr>
          <w:rFonts w:hint="eastAsia"/>
        </w:rPr>
        <w:t>LB, tobacco–radish; HLB, tobacco–carrot; WD, tobacco–pea; CD, tobacco–faba bean; MC, ryegrass; LF, smooth vetch. The prefixes G and X indicate treatments from the Geyi and Xize areas, respectively.</w:t>
      </w:r>
    </w:p>
    <w:p w14:paraId="70C61B1F">
      <w:pPr>
        <w:pStyle w:val="46"/>
        <w:spacing w:after="326"/>
        <w:jc w:val="left"/>
        <w:rPr>
          <w:rFonts w:hint="eastAsia"/>
        </w:rPr>
      </w:pPr>
    </w:p>
    <w:p w14:paraId="02BCDBE0">
      <w:pPr>
        <w:pStyle w:val="46"/>
        <w:spacing w:after="326"/>
        <w:jc w:val="left"/>
        <w:rPr>
          <w:rFonts w:hint="eastAsia"/>
        </w:rPr>
      </w:pPr>
    </w:p>
    <w:p w14:paraId="2FD09695">
      <w:pPr>
        <w:pStyle w:val="46"/>
        <w:spacing w:after="326"/>
        <w:jc w:val="left"/>
        <w:rPr>
          <w:rFonts w:hint="eastAsia"/>
        </w:rPr>
      </w:pPr>
    </w:p>
    <w:p w14:paraId="68065AAB">
      <w:pPr>
        <w:pStyle w:val="43"/>
        <w:spacing w:before="326"/>
        <w:jc w:val="left"/>
        <w:rPr>
          <w:b/>
          <w:bCs/>
        </w:rPr>
      </w:pPr>
    </w:p>
    <w:p w14:paraId="3AC96DBF">
      <w:pPr>
        <w:pStyle w:val="43"/>
        <w:spacing w:before="326"/>
        <w:jc w:val="left"/>
        <w:rPr>
          <w:b/>
          <w:bCs/>
        </w:rPr>
      </w:pPr>
    </w:p>
    <w:p w14:paraId="27CD8E06">
      <w:pPr>
        <w:pStyle w:val="43"/>
        <w:spacing w:before="326"/>
        <w:jc w:val="left"/>
        <w:rPr>
          <w:b/>
          <w:bCs/>
        </w:rPr>
      </w:pPr>
    </w:p>
    <w:p w14:paraId="3AED81C6">
      <w:pPr>
        <w:pStyle w:val="43"/>
        <w:spacing w:before="326"/>
        <w:jc w:val="left"/>
        <w:rPr>
          <w:rFonts w:hint="eastAsia" w:ascii="Times New Roman" w:hAnsi="Times New Roman" w:eastAsia="Times New Roman" w:cs="Times New Roman"/>
          <w:kern w:val="0"/>
        </w:rPr>
      </w:pPr>
      <w:r>
        <w:rPr>
          <w:b/>
          <w:bCs/>
        </w:rPr>
        <w:t>Table S</w:t>
      </w:r>
      <w:r>
        <w:rPr>
          <w:rFonts w:hint="eastAsia" w:eastAsiaTheme="minorEastAsia"/>
          <w:b/>
          <w:bCs/>
        </w:rPr>
        <w:t>2</w:t>
      </w:r>
    </w:p>
    <w:p w14:paraId="33EE6583">
      <w:pPr>
        <w:pStyle w:val="45"/>
        <w:jc w:val="left"/>
        <w:rPr>
          <w:b/>
          <w:bCs/>
        </w:rPr>
      </w:pPr>
      <w:r>
        <w:rPr>
          <w:rFonts w:hint="eastAsia" w:ascii="Times New Roman" w:hAnsi="Times New Roman" w:cs="Times New Roman"/>
          <w:kern w:val="0"/>
        </w:rPr>
        <w:t>Taxonomic classification of keystone taxa identified in the two study regions.</w:t>
      </w:r>
    </w:p>
    <w:tbl>
      <w:tblPr>
        <w:tblStyle w:val="16"/>
        <w:tblW w:w="56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44"/>
        <w:gridCol w:w="727"/>
        <w:gridCol w:w="593"/>
        <w:gridCol w:w="1239"/>
        <w:gridCol w:w="1300"/>
        <w:gridCol w:w="1279"/>
        <w:gridCol w:w="2121"/>
        <w:gridCol w:w="2238"/>
      </w:tblGrid>
      <w:tr w14:paraId="3D65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56" w:hRule="atLeast"/>
        </w:trPr>
        <w:tc>
          <w:tcPr>
            <w:tcW w:w="317" w:type="pct"/>
            <w:tcBorders>
              <w:top w:val="single" w:color="000000" w:sz="12" w:space="0"/>
              <w:left w:val="nil"/>
              <w:bottom w:val="single" w:color="000000" w:sz="4" w:space="0"/>
              <w:right w:val="nil"/>
              <w:tl2br w:val="nil"/>
            </w:tcBorders>
            <w:shd w:val="clear" w:color="auto" w:fill="FFFFFF"/>
            <w:tcMar>
              <w:top w:w="60" w:type="dxa"/>
              <w:left w:w="100" w:type="dxa"/>
              <w:bottom w:w="60" w:type="dxa"/>
              <w:right w:w="100" w:type="dxa"/>
            </w:tcMar>
          </w:tcPr>
          <w:p w14:paraId="5BB92DB4">
            <w:pPr>
              <w:jc w:val="center"/>
              <w:rPr>
                <w:color w:val="000000"/>
                <w:sz w:val="21"/>
                <w:szCs w:val="21"/>
              </w:rPr>
            </w:pPr>
            <w:r>
              <w:rPr>
                <w:bCs/>
                <w:color w:val="000000"/>
                <w:sz w:val="21"/>
                <w:szCs w:val="21"/>
              </w:rPr>
              <w:t>Site</w:t>
            </w:r>
          </w:p>
        </w:tc>
        <w:tc>
          <w:tcPr>
            <w:tcW w:w="358"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6A1B276F">
            <w:pPr>
              <w:jc w:val="center"/>
              <w:rPr>
                <w:color w:val="000000"/>
                <w:sz w:val="21"/>
                <w:szCs w:val="21"/>
              </w:rPr>
            </w:pPr>
            <w:r>
              <w:rPr>
                <w:bCs/>
                <w:color w:val="000000"/>
                <w:sz w:val="21"/>
                <w:szCs w:val="21"/>
              </w:rPr>
              <w:t>OTU ID</w:t>
            </w:r>
          </w:p>
        </w:tc>
        <w:tc>
          <w:tcPr>
            <w:tcW w:w="292"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2EC4AD62">
            <w:pPr>
              <w:jc w:val="center"/>
              <w:rPr>
                <w:color w:val="000000"/>
                <w:sz w:val="21"/>
                <w:szCs w:val="21"/>
              </w:rPr>
            </w:pPr>
            <w:r>
              <w:rPr>
                <w:bCs/>
                <w:color w:val="000000"/>
                <w:sz w:val="21"/>
                <w:szCs w:val="21"/>
              </w:rPr>
              <w:t>Domain</w:t>
            </w:r>
          </w:p>
        </w:tc>
        <w:tc>
          <w:tcPr>
            <w:tcW w:w="610"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4A3C5D32">
            <w:pPr>
              <w:jc w:val="center"/>
              <w:rPr>
                <w:color w:val="000000"/>
                <w:sz w:val="21"/>
                <w:szCs w:val="21"/>
              </w:rPr>
            </w:pPr>
            <w:r>
              <w:rPr>
                <w:bCs/>
                <w:color w:val="000000"/>
                <w:sz w:val="21"/>
                <w:szCs w:val="21"/>
              </w:rPr>
              <w:t>Phylum</w:t>
            </w:r>
          </w:p>
        </w:tc>
        <w:tc>
          <w:tcPr>
            <w:tcW w:w="641"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08D023C7">
            <w:pPr>
              <w:jc w:val="center"/>
              <w:rPr>
                <w:color w:val="000000"/>
                <w:sz w:val="21"/>
                <w:szCs w:val="21"/>
              </w:rPr>
            </w:pPr>
            <w:r>
              <w:rPr>
                <w:bCs/>
                <w:color w:val="000000"/>
                <w:sz w:val="21"/>
                <w:szCs w:val="21"/>
              </w:rPr>
              <w:t>Class</w:t>
            </w:r>
          </w:p>
        </w:tc>
        <w:tc>
          <w:tcPr>
            <w:tcW w:w="630"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33F95040">
            <w:pPr>
              <w:jc w:val="center"/>
              <w:rPr>
                <w:color w:val="000000"/>
                <w:sz w:val="21"/>
                <w:szCs w:val="21"/>
              </w:rPr>
            </w:pPr>
            <w:r>
              <w:rPr>
                <w:bCs/>
                <w:color w:val="000000"/>
                <w:sz w:val="21"/>
                <w:szCs w:val="21"/>
              </w:rPr>
              <w:t>Order</w:t>
            </w:r>
          </w:p>
        </w:tc>
        <w:tc>
          <w:tcPr>
            <w:tcW w:w="1045"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7E88819C">
            <w:pPr>
              <w:jc w:val="center"/>
              <w:rPr>
                <w:color w:val="000000"/>
                <w:sz w:val="21"/>
                <w:szCs w:val="21"/>
              </w:rPr>
            </w:pPr>
            <w:r>
              <w:rPr>
                <w:bCs/>
                <w:color w:val="000000"/>
                <w:sz w:val="21"/>
                <w:szCs w:val="21"/>
              </w:rPr>
              <w:t>Family</w:t>
            </w:r>
          </w:p>
        </w:tc>
        <w:tc>
          <w:tcPr>
            <w:tcW w:w="1103" w:type="pct"/>
            <w:tcBorders>
              <w:top w:val="single" w:color="000000" w:sz="12" w:space="0"/>
              <w:left w:val="nil"/>
              <w:bottom w:val="single" w:color="000000" w:sz="4" w:space="0"/>
              <w:right w:val="nil"/>
            </w:tcBorders>
            <w:shd w:val="clear" w:color="auto" w:fill="FFFFFF"/>
            <w:tcMar>
              <w:top w:w="60" w:type="dxa"/>
              <w:left w:w="100" w:type="dxa"/>
              <w:bottom w:w="60" w:type="dxa"/>
              <w:right w:w="100" w:type="dxa"/>
            </w:tcMar>
          </w:tcPr>
          <w:p w14:paraId="55E1401F">
            <w:pPr>
              <w:jc w:val="center"/>
              <w:rPr>
                <w:color w:val="000000"/>
                <w:sz w:val="21"/>
                <w:szCs w:val="21"/>
              </w:rPr>
            </w:pPr>
            <w:r>
              <w:rPr>
                <w:bCs/>
                <w:color w:val="000000"/>
                <w:sz w:val="21"/>
                <w:szCs w:val="21"/>
              </w:rPr>
              <w:t>Genus</w:t>
            </w:r>
          </w:p>
        </w:tc>
      </w:tr>
      <w:tr w14:paraId="6AEA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317" w:type="pct"/>
            <w:tcBorders>
              <w:top w:val="single" w:color="000000" w:sz="4" w:space="0"/>
              <w:left w:val="nil"/>
              <w:bottom w:val="nil"/>
              <w:right w:val="nil"/>
            </w:tcBorders>
            <w:shd w:val="clear" w:color="auto" w:fill="FFFFFF"/>
            <w:tcMar>
              <w:top w:w="60" w:type="dxa"/>
              <w:left w:w="100" w:type="dxa"/>
              <w:bottom w:w="60" w:type="dxa"/>
              <w:right w:w="100" w:type="dxa"/>
            </w:tcMar>
          </w:tcPr>
          <w:p w14:paraId="04BFCA58">
            <w:pPr>
              <w:jc w:val="center"/>
              <w:rPr>
                <w:rFonts w:eastAsia="宋体"/>
                <w:color w:val="000000"/>
                <w:sz w:val="21"/>
                <w:szCs w:val="21"/>
              </w:rPr>
            </w:pPr>
            <w:r>
              <w:rPr>
                <w:rFonts w:hint="eastAsia" w:eastAsia="宋体"/>
                <w:color w:val="000000"/>
                <w:sz w:val="21"/>
                <w:szCs w:val="21"/>
              </w:rPr>
              <w:t>Geyi</w:t>
            </w:r>
          </w:p>
        </w:tc>
        <w:tc>
          <w:tcPr>
            <w:tcW w:w="358" w:type="pct"/>
            <w:tcBorders>
              <w:top w:val="single" w:color="000000" w:sz="4" w:space="0"/>
              <w:left w:val="nil"/>
              <w:bottom w:val="nil"/>
              <w:right w:val="nil"/>
            </w:tcBorders>
            <w:shd w:val="clear" w:color="auto" w:fill="FFFFFF"/>
            <w:tcMar>
              <w:top w:w="60" w:type="dxa"/>
              <w:left w:w="100" w:type="dxa"/>
              <w:bottom w:w="60" w:type="dxa"/>
              <w:right w:w="100" w:type="dxa"/>
            </w:tcMar>
          </w:tcPr>
          <w:p w14:paraId="4CC240F3">
            <w:pPr>
              <w:widowControl/>
              <w:jc w:val="center"/>
              <w:textAlignment w:val="top"/>
              <w:rPr>
                <w:color w:val="000000"/>
                <w:sz w:val="21"/>
                <w:szCs w:val="21"/>
              </w:rPr>
            </w:pPr>
            <w:r>
              <w:rPr>
                <w:rFonts w:eastAsia="宋体"/>
                <w:color w:val="000000"/>
                <w:sz w:val="21"/>
                <w:szCs w:val="21"/>
                <w:lang w:bidi="ar"/>
              </w:rPr>
              <w:t>OTU1771</w:t>
            </w:r>
          </w:p>
        </w:tc>
        <w:tc>
          <w:tcPr>
            <w:tcW w:w="292" w:type="pct"/>
            <w:tcBorders>
              <w:top w:val="single" w:color="000000" w:sz="4" w:space="0"/>
              <w:left w:val="nil"/>
              <w:bottom w:val="nil"/>
              <w:right w:val="nil"/>
            </w:tcBorders>
            <w:shd w:val="clear" w:color="auto" w:fill="FFFFFF"/>
            <w:tcMar>
              <w:top w:w="60" w:type="dxa"/>
              <w:left w:w="100" w:type="dxa"/>
              <w:bottom w:w="60" w:type="dxa"/>
              <w:right w:w="100" w:type="dxa"/>
            </w:tcMar>
          </w:tcPr>
          <w:p w14:paraId="53427FD8">
            <w:pPr>
              <w:jc w:val="left"/>
              <w:rPr>
                <w:color w:val="000000"/>
                <w:sz w:val="21"/>
                <w:szCs w:val="21"/>
              </w:rPr>
            </w:pPr>
            <w:r>
              <w:rPr>
                <w:color w:val="000000"/>
                <w:sz w:val="21"/>
                <w:szCs w:val="21"/>
              </w:rPr>
              <w:t>Bacteria</w:t>
            </w:r>
          </w:p>
        </w:tc>
        <w:tc>
          <w:tcPr>
            <w:tcW w:w="610" w:type="pct"/>
            <w:tcBorders>
              <w:top w:val="single" w:color="000000" w:sz="4" w:space="0"/>
              <w:left w:val="nil"/>
              <w:bottom w:val="nil"/>
              <w:right w:val="nil"/>
            </w:tcBorders>
            <w:shd w:val="clear" w:color="auto" w:fill="FFFFFF"/>
            <w:tcMar>
              <w:top w:w="60" w:type="dxa"/>
              <w:left w:w="100" w:type="dxa"/>
              <w:bottom w:w="60" w:type="dxa"/>
              <w:right w:w="100" w:type="dxa"/>
            </w:tcMar>
          </w:tcPr>
          <w:p w14:paraId="392F6BF1">
            <w:pPr>
              <w:jc w:val="left"/>
              <w:rPr>
                <w:color w:val="000000"/>
                <w:sz w:val="21"/>
                <w:szCs w:val="21"/>
              </w:rPr>
            </w:pPr>
            <w:r>
              <w:rPr>
                <w:color w:val="000000"/>
                <w:sz w:val="21"/>
                <w:szCs w:val="21"/>
              </w:rPr>
              <w:t>Chloroflexi</w:t>
            </w:r>
          </w:p>
        </w:tc>
        <w:tc>
          <w:tcPr>
            <w:tcW w:w="641" w:type="pct"/>
            <w:tcBorders>
              <w:top w:val="single" w:color="000000" w:sz="4" w:space="0"/>
              <w:left w:val="nil"/>
              <w:bottom w:val="nil"/>
              <w:right w:val="nil"/>
            </w:tcBorders>
            <w:shd w:val="clear" w:color="auto" w:fill="FFFFFF"/>
            <w:tcMar>
              <w:top w:w="60" w:type="dxa"/>
              <w:left w:w="100" w:type="dxa"/>
              <w:bottom w:w="60" w:type="dxa"/>
              <w:right w:w="100" w:type="dxa"/>
            </w:tcMar>
          </w:tcPr>
          <w:p w14:paraId="6B4CDAA9">
            <w:pPr>
              <w:jc w:val="left"/>
              <w:rPr>
                <w:color w:val="000000"/>
                <w:sz w:val="21"/>
                <w:szCs w:val="21"/>
              </w:rPr>
            </w:pPr>
            <w:r>
              <w:rPr>
                <w:color w:val="000000"/>
                <w:sz w:val="21"/>
                <w:szCs w:val="21"/>
              </w:rPr>
              <w:t>Ktedonobacteria</w:t>
            </w:r>
          </w:p>
        </w:tc>
        <w:tc>
          <w:tcPr>
            <w:tcW w:w="630" w:type="pct"/>
            <w:tcBorders>
              <w:top w:val="single" w:color="000000" w:sz="4" w:space="0"/>
              <w:left w:val="nil"/>
              <w:bottom w:val="nil"/>
              <w:right w:val="nil"/>
            </w:tcBorders>
            <w:shd w:val="clear" w:color="auto" w:fill="FFFFFF"/>
            <w:tcMar>
              <w:top w:w="60" w:type="dxa"/>
              <w:left w:w="100" w:type="dxa"/>
              <w:bottom w:w="60" w:type="dxa"/>
              <w:right w:w="100" w:type="dxa"/>
            </w:tcMar>
          </w:tcPr>
          <w:p w14:paraId="7E6D64A0">
            <w:pPr>
              <w:jc w:val="left"/>
              <w:rPr>
                <w:color w:val="000000"/>
                <w:sz w:val="21"/>
                <w:szCs w:val="21"/>
              </w:rPr>
            </w:pPr>
            <w:r>
              <w:rPr>
                <w:color w:val="000000"/>
                <w:sz w:val="21"/>
                <w:szCs w:val="21"/>
              </w:rPr>
              <w:t>Ktedonobacterales</w:t>
            </w:r>
          </w:p>
        </w:tc>
        <w:tc>
          <w:tcPr>
            <w:tcW w:w="1045" w:type="pct"/>
            <w:tcBorders>
              <w:top w:val="single" w:color="000000" w:sz="4" w:space="0"/>
              <w:left w:val="nil"/>
              <w:bottom w:val="nil"/>
              <w:right w:val="nil"/>
            </w:tcBorders>
            <w:shd w:val="clear" w:color="auto" w:fill="FFFFFF"/>
            <w:tcMar>
              <w:top w:w="60" w:type="dxa"/>
              <w:left w:w="100" w:type="dxa"/>
              <w:bottom w:w="60" w:type="dxa"/>
              <w:right w:w="100" w:type="dxa"/>
            </w:tcMar>
          </w:tcPr>
          <w:p w14:paraId="45BA493B">
            <w:pPr>
              <w:jc w:val="left"/>
              <w:rPr>
                <w:color w:val="000000"/>
                <w:sz w:val="21"/>
                <w:szCs w:val="21"/>
              </w:rPr>
            </w:pPr>
            <w:r>
              <w:rPr>
                <w:color w:val="000000"/>
                <w:sz w:val="21"/>
                <w:szCs w:val="21"/>
              </w:rPr>
              <w:t>Ktedonobacteraceae</w:t>
            </w:r>
          </w:p>
        </w:tc>
        <w:tc>
          <w:tcPr>
            <w:tcW w:w="1103" w:type="pct"/>
            <w:tcBorders>
              <w:top w:val="single" w:color="000000" w:sz="4" w:space="0"/>
              <w:left w:val="nil"/>
              <w:bottom w:val="nil"/>
              <w:right w:val="nil"/>
            </w:tcBorders>
            <w:shd w:val="clear" w:color="auto" w:fill="FFFFFF"/>
            <w:tcMar>
              <w:top w:w="60" w:type="dxa"/>
              <w:left w:w="100" w:type="dxa"/>
              <w:bottom w:w="60" w:type="dxa"/>
              <w:right w:w="100" w:type="dxa"/>
            </w:tcMar>
          </w:tcPr>
          <w:p w14:paraId="1698470F">
            <w:pPr>
              <w:jc w:val="left"/>
              <w:rPr>
                <w:color w:val="000000"/>
                <w:sz w:val="21"/>
                <w:szCs w:val="21"/>
              </w:rPr>
            </w:pPr>
            <w:r>
              <w:rPr>
                <w:color w:val="000000"/>
                <w:sz w:val="21"/>
                <w:szCs w:val="21"/>
              </w:rPr>
              <w:t>unclassified_f__Ktedonobacteraceae</w:t>
            </w:r>
          </w:p>
        </w:tc>
      </w:tr>
      <w:tr w14:paraId="6038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4D3F7F58">
            <w:pPr>
              <w:jc w:val="center"/>
              <w:rPr>
                <w:rFonts w:eastAsia="宋体"/>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18052877">
            <w:pPr>
              <w:widowControl/>
              <w:jc w:val="center"/>
              <w:textAlignment w:val="top"/>
              <w:rPr>
                <w:color w:val="000000"/>
                <w:sz w:val="21"/>
                <w:szCs w:val="21"/>
              </w:rPr>
            </w:pPr>
            <w:r>
              <w:rPr>
                <w:rFonts w:eastAsia="宋体"/>
                <w:color w:val="000000"/>
                <w:sz w:val="21"/>
                <w:szCs w:val="21"/>
                <w:lang w:bidi="ar"/>
              </w:rPr>
              <w:t>OTU373</w:t>
            </w:r>
          </w:p>
        </w:tc>
        <w:tc>
          <w:tcPr>
            <w:tcW w:w="292" w:type="pct"/>
            <w:tcBorders>
              <w:top w:val="nil"/>
              <w:left w:val="nil"/>
              <w:bottom w:val="nil"/>
              <w:right w:val="nil"/>
            </w:tcBorders>
            <w:shd w:val="clear" w:color="auto" w:fill="FFFFFF"/>
            <w:tcMar>
              <w:top w:w="60" w:type="dxa"/>
              <w:left w:w="100" w:type="dxa"/>
              <w:bottom w:w="60" w:type="dxa"/>
              <w:right w:w="100" w:type="dxa"/>
            </w:tcMar>
          </w:tcPr>
          <w:p w14:paraId="18EE1A60">
            <w:pPr>
              <w:jc w:val="left"/>
              <w:rPr>
                <w:color w:val="000000"/>
                <w:sz w:val="21"/>
                <w:szCs w:val="21"/>
              </w:rPr>
            </w:pPr>
            <w:r>
              <w:rPr>
                <w:color w:val="000000"/>
                <w:sz w:val="21"/>
                <w:szCs w:val="21"/>
              </w:rPr>
              <w:t>Fungi</w:t>
            </w:r>
          </w:p>
        </w:tc>
        <w:tc>
          <w:tcPr>
            <w:tcW w:w="610" w:type="pct"/>
            <w:tcBorders>
              <w:top w:val="nil"/>
              <w:left w:val="nil"/>
              <w:bottom w:val="nil"/>
              <w:right w:val="nil"/>
            </w:tcBorders>
            <w:shd w:val="clear" w:color="auto" w:fill="FFFFFF"/>
            <w:tcMar>
              <w:top w:w="60" w:type="dxa"/>
              <w:left w:w="100" w:type="dxa"/>
              <w:bottom w:w="60" w:type="dxa"/>
              <w:right w:w="100" w:type="dxa"/>
            </w:tcMar>
          </w:tcPr>
          <w:p w14:paraId="017690BF">
            <w:pPr>
              <w:jc w:val="left"/>
              <w:rPr>
                <w:color w:val="000000"/>
                <w:sz w:val="21"/>
                <w:szCs w:val="21"/>
              </w:rPr>
            </w:pPr>
            <w:r>
              <w:rPr>
                <w:color w:val="000000"/>
                <w:sz w:val="21"/>
                <w:szCs w:val="21"/>
              </w:rPr>
              <w:t>Ascomycota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3C9BA7E2">
            <w:pPr>
              <w:jc w:val="left"/>
              <w:rPr>
                <w:color w:val="000000"/>
                <w:sz w:val="21"/>
                <w:szCs w:val="21"/>
              </w:rPr>
            </w:pPr>
            <w:r>
              <w:rPr>
                <w:color w:val="000000"/>
                <w:sz w:val="21"/>
                <w:szCs w:val="21"/>
              </w:rPr>
              <w:t>Eurotiomycetes</w:t>
            </w:r>
          </w:p>
        </w:tc>
        <w:tc>
          <w:tcPr>
            <w:tcW w:w="630" w:type="pct"/>
            <w:tcBorders>
              <w:top w:val="nil"/>
              <w:left w:val="nil"/>
              <w:bottom w:val="nil"/>
              <w:right w:val="nil"/>
            </w:tcBorders>
            <w:shd w:val="clear" w:color="auto" w:fill="FFFFFF"/>
            <w:tcMar>
              <w:top w:w="60" w:type="dxa"/>
              <w:left w:w="100" w:type="dxa"/>
              <w:bottom w:w="60" w:type="dxa"/>
              <w:right w:w="100" w:type="dxa"/>
            </w:tcMar>
          </w:tcPr>
          <w:p w14:paraId="3A84614B">
            <w:pPr>
              <w:jc w:val="left"/>
              <w:rPr>
                <w:color w:val="000000"/>
                <w:sz w:val="21"/>
                <w:szCs w:val="21"/>
              </w:rPr>
            </w:pPr>
            <w:r>
              <w:rPr>
                <w:color w:val="000000"/>
                <w:sz w:val="21"/>
                <w:szCs w:val="21"/>
              </w:rPr>
              <w:t>Eurotiales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03955789">
            <w:pPr>
              <w:jc w:val="left"/>
              <w:rPr>
                <w:color w:val="000000"/>
                <w:sz w:val="21"/>
                <w:szCs w:val="21"/>
              </w:rPr>
            </w:pPr>
            <w:r>
              <w:rPr>
                <w:color w:val="000000"/>
                <w:sz w:val="21"/>
                <w:szCs w:val="21"/>
              </w:rPr>
              <w:t>Aspergillaceae</w:t>
            </w:r>
          </w:p>
        </w:tc>
        <w:tc>
          <w:tcPr>
            <w:tcW w:w="1103" w:type="pct"/>
            <w:tcBorders>
              <w:top w:val="nil"/>
              <w:left w:val="nil"/>
              <w:bottom w:val="nil"/>
              <w:right w:val="nil"/>
            </w:tcBorders>
            <w:shd w:val="clear" w:color="auto" w:fill="FFFFFF"/>
            <w:tcMar>
              <w:top w:w="60" w:type="dxa"/>
              <w:left w:w="100" w:type="dxa"/>
              <w:bottom w:w="60" w:type="dxa"/>
              <w:right w:w="100" w:type="dxa"/>
            </w:tcMar>
          </w:tcPr>
          <w:p w14:paraId="134BDBB8">
            <w:pPr>
              <w:jc w:val="left"/>
              <w:rPr>
                <w:color w:val="000000"/>
                <w:sz w:val="21"/>
                <w:szCs w:val="21"/>
              </w:rPr>
            </w:pPr>
            <w:r>
              <w:rPr>
                <w:color w:val="000000"/>
                <w:sz w:val="21"/>
                <w:szCs w:val="21"/>
              </w:rPr>
              <w:t>Penicillium</w:t>
            </w:r>
          </w:p>
        </w:tc>
      </w:tr>
      <w:tr w14:paraId="72A3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7FA1795B">
            <w:pPr>
              <w:jc w:val="center"/>
              <w:rPr>
                <w:color w:val="000000"/>
                <w:sz w:val="21"/>
                <w:szCs w:val="21"/>
              </w:rPr>
            </w:pPr>
            <w:r>
              <w:rPr>
                <w:color w:val="000000"/>
                <w:sz w:val="21"/>
                <w:szCs w:val="21"/>
              </w:rPr>
              <w:t>Xize</w:t>
            </w:r>
          </w:p>
        </w:tc>
        <w:tc>
          <w:tcPr>
            <w:tcW w:w="358" w:type="pct"/>
            <w:tcBorders>
              <w:top w:val="nil"/>
              <w:left w:val="nil"/>
              <w:bottom w:val="nil"/>
              <w:right w:val="nil"/>
            </w:tcBorders>
            <w:shd w:val="clear" w:color="auto" w:fill="FFFFFF"/>
            <w:tcMar>
              <w:top w:w="60" w:type="dxa"/>
              <w:left w:w="100" w:type="dxa"/>
              <w:bottom w:w="60" w:type="dxa"/>
              <w:right w:w="100" w:type="dxa"/>
            </w:tcMar>
          </w:tcPr>
          <w:p w14:paraId="70B981A1">
            <w:pPr>
              <w:widowControl/>
              <w:jc w:val="center"/>
              <w:textAlignment w:val="top"/>
              <w:rPr>
                <w:color w:val="000000"/>
                <w:sz w:val="21"/>
                <w:szCs w:val="21"/>
              </w:rPr>
            </w:pPr>
            <w:r>
              <w:rPr>
                <w:rFonts w:eastAsia="宋体"/>
                <w:color w:val="000000"/>
                <w:sz w:val="21"/>
                <w:szCs w:val="21"/>
                <w:lang w:bidi="ar"/>
              </w:rPr>
              <w:t>OTU9342</w:t>
            </w:r>
          </w:p>
        </w:tc>
        <w:tc>
          <w:tcPr>
            <w:tcW w:w="292" w:type="pct"/>
            <w:tcBorders>
              <w:top w:val="nil"/>
              <w:left w:val="nil"/>
              <w:bottom w:val="nil"/>
              <w:right w:val="nil"/>
            </w:tcBorders>
            <w:shd w:val="clear" w:color="auto" w:fill="FFFFFF"/>
            <w:tcMar>
              <w:top w:w="60" w:type="dxa"/>
              <w:left w:w="100" w:type="dxa"/>
              <w:bottom w:w="60" w:type="dxa"/>
              <w:right w:w="100" w:type="dxa"/>
            </w:tcMar>
          </w:tcPr>
          <w:p w14:paraId="17AEFB25">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2EE58572">
            <w:pPr>
              <w:jc w:val="left"/>
              <w:rPr>
                <w:color w:val="000000"/>
                <w:sz w:val="21"/>
                <w:szCs w:val="21"/>
              </w:rPr>
            </w:pPr>
            <w:r>
              <w:rPr>
                <w:color w:val="000000"/>
                <w:sz w:val="21"/>
                <w:szCs w:val="21"/>
              </w:rPr>
              <w:t>Chloroflexi</w:t>
            </w:r>
          </w:p>
        </w:tc>
        <w:tc>
          <w:tcPr>
            <w:tcW w:w="641" w:type="pct"/>
            <w:tcBorders>
              <w:top w:val="nil"/>
              <w:left w:val="nil"/>
              <w:bottom w:val="nil"/>
              <w:right w:val="nil"/>
            </w:tcBorders>
            <w:shd w:val="clear" w:color="auto" w:fill="FFFFFF"/>
            <w:tcMar>
              <w:top w:w="60" w:type="dxa"/>
              <w:left w:w="100" w:type="dxa"/>
              <w:bottom w:w="60" w:type="dxa"/>
              <w:right w:w="100" w:type="dxa"/>
            </w:tcMar>
          </w:tcPr>
          <w:p w14:paraId="363D396F">
            <w:pPr>
              <w:jc w:val="left"/>
              <w:rPr>
                <w:color w:val="000000"/>
                <w:sz w:val="21"/>
                <w:szCs w:val="21"/>
              </w:rPr>
            </w:pPr>
            <w:r>
              <w:rPr>
                <w:color w:val="000000"/>
                <w:sz w:val="21"/>
                <w:szCs w:val="21"/>
              </w:rPr>
              <w:t>Anaerolineae</w:t>
            </w:r>
          </w:p>
        </w:tc>
        <w:tc>
          <w:tcPr>
            <w:tcW w:w="630" w:type="pct"/>
            <w:tcBorders>
              <w:top w:val="nil"/>
              <w:left w:val="nil"/>
              <w:bottom w:val="nil"/>
              <w:right w:val="nil"/>
            </w:tcBorders>
            <w:shd w:val="clear" w:color="auto" w:fill="FFFFFF"/>
            <w:tcMar>
              <w:top w:w="60" w:type="dxa"/>
              <w:left w:w="100" w:type="dxa"/>
              <w:bottom w:w="60" w:type="dxa"/>
              <w:right w:w="100" w:type="dxa"/>
            </w:tcMar>
          </w:tcPr>
          <w:p w14:paraId="65D13B0D">
            <w:pPr>
              <w:jc w:val="left"/>
              <w:rPr>
                <w:color w:val="000000"/>
                <w:sz w:val="21"/>
                <w:szCs w:val="21"/>
              </w:rPr>
            </w:pPr>
            <w:r>
              <w:rPr>
                <w:color w:val="000000"/>
                <w:sz w:val="21"/>
                <w:szCs w:val="21"/>
              </w:rPr>
              <w:t>SBR1031</w:t>
            </w:r>
          </w:p>
        </w:tc>
        <w:tc>
          <w:tcPr>
            <w:tcW w:w="1045" w:type="pct"/>
            <w:tcBorders>
              <w:top w:val="nil"/>
              <w:left w:val="nil"/>
              <w:bottom w:val="nil"/>
              <w:right w:val="nil"/>
            </w:tcBorders>
            <w:shd w:val="clear" w:color="auto" w:fill="FFFFFF"/>
            <w:tcMar>
              <w:top w:w="60" w:type="dxa"/>
              <w:left w:w="100" w:type="dxa"/>
              <w:bottom w:w="60" w:type="dxa"/>
              <w:right w:w="100" w:type="dxa"/>
            </w:tcMar>
          </w:tcPr>
          <w:p w14:paraId="26D358DC">
            <w:pPr>
              <w:jc w:val="left"/>
              <w:rPr>
                <w:color w:val="000000"/>
                <w:sz w:val="21"/>
                <w:szCs w:val="21"/>
              </w:rPr>
            </w:pPr>
            <w:r>
              <w:rPr>
                <w:color w:val="000000"/>
                <w:sz w:val="21"/>
                <w:szCs w:val="21"/>
              </w:rPr>
              <w:t>A4b</w:t>
            </w:r>
          </w:p>
        </w:tc>
        <w:tc>
          <w:tcPr>
            <w:tcW w:w="1103" w:type="pct"/>
            <w:tcBorders>
              <w:top w:val="nil"/>
              <w:left w:val="nil"/>
              <w:bottom w:val="nil"/>
              <w:right w:val="nil"/>
            </w:tcBorders>
            <w:shd w:val="clear" w:color="auto" w:fill="FFFFFF"/>
            <w:tcMar>
              <w:top w:w="60" w:type="dxa"/>
              <w:left w:w="100" w:type="dxa"/>
              <w:bottom w:w="60" w:type="dxa"/>
              <w:right w:w="100" w:type="dxa"/>
            </w:tcMar>
          </w:tcPr>
          <w:p w14:paraId="1504C26C">
            <w:pPr>
              <w:jc w:val="left"/>
              <w:rPr>
                <w:color w:val="000000"/>
                <w:sz w:val="21"/>
                <w:szCs w:val="21"/>
              </w:rPr>
            </w:pPr>
            <w:r>
              <w:rPr>
                <w:color w:val="000000"/>
                <w:sz w:val="21"/>
                <w:szCs w:val="21"/>
              </w:rPr>
              <w:t>norank_f__A4b</w:t>
            </w:r>
          </w:p>
        </w:tc>
      </w:tr>
      <w:tr w14:paraId="7A01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001464B3">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2967D09D">
            <w:pPr>
              <w:widowControl/>
              <w:jc w:val="center"/>
              <w:textAlignment w:val="top"/>
              <w:rPr>
                <w:color w:val="000000"/>
                <w:sz w:val="21"/>
                <w:szCs w:val="21"/>
              </w:rPr>
            </w:pPr>
            <w:r>
              <w:rPr>
                <w:rFonts w:eastAsia="宋体"/>
                <w:color w:val="000000"/>
                <w:sz w:val="21"/>
                <w:szCs w:val="21"/>
                <w:lang w:bidi="ar"/>
              </w:rPr>
              <w:t>OTU9010</w:t>
            </w:r>
          </w:p>
        </w:tc>
        <w:tc>
          <w:tcPr>
            <w:tcW w:w="292" w:type="pct"/>
            <w:tcBorders>
              <w:top w:val="nil"/>
              <w:left w:val="nil"/>
              <w:bottom w:val="nil"/>
              <w:right w:val="nil"/>
            </w:tcBorders>
            <w:shd w:val="clear" w:color="auto" w:fill="FFFFFF"/>
            <w:tcMar>
              <w:top w:w="60" w:type="dxa"/>
              <w:left w:w="100" w:type="dxa"/>
              <w:bottom w:w="60" w:type="dxa"/>
              <w:right w:w="100" w:type="dxa"/>
            </w:tcMar>
          </w:tcPr>
          <w:p w14:paraId="0EBAE99C">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33A0CD3B">
            <w:pPr>
              <w:jc w:val="left"/>
              <w:rPr>
                <w:color w:val="000000"/>
                <w:sz w:val="21"/>
                <w:szCs w:val="21"/>
              </w:rPr>
            </w:pPr>
            <w:r>
              <w:rPr>
                <w:color w:val="000000"/>
                <w:sz w:val="21"/>
                <w:szCs w:val="21"/>
              </w:rPr>
              <w:t>Gemmatimonadota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3AEE15D1">
            <w:pPr>
              <w:jc w:val="left"/>
              <w:rPr>
                <w:color w:val="000000"/>
                <w:sz w:val="21"/>
                <w:szCs w:val="21"/>
              </w:rPr>
            </w:pPr>
            <w:r>
              <w:rPr>
                <w:color w:val="000000"/>
                <w:sz w:val="21"/>
                <w:szCs w:val="21"/>
              </w:rPr>
              <w:t>Gemmatimonadetes</w:t>
            </w:r>
          </w:p>
        </w:tc>
        <w:tc>
          <w:tcPr>
            <w:tcW w:w="630" w:type="pct"/>
            <w:tcBorders>
              <w:top w:val="nil"/>
              <w:left w:val="nil"/>
              <w:bottom w:val="nil"/>
              <w:right w:val="nil"/>
            </w:tcBorders>
            <w:shd w:val="clear" w:color="auto" w:fill="FFFFFF"/>
            <w:tcMar>
              <w:top w:w="60" w:type="dxa"/>
              <w:left w:w="100" w:type="dxa"/>
              <w:bottom w:w="60" w:type="dxa"/>
              <w:right w:w="100" w:type="dxa"/>
            </w:tcMar>
          </w:tcPr>
          <w:p w14:paraId="5AC7D468">
            <w:pPr>
              <w:jc w:val="left"/>
              <w:rPr>
                <w:color w:val="000000"/>
                <w:sz w:val="21"/>
                <w:szCs w:val="21"/>
              </w:rPr>
            </w:pPr>
            <w:r>
              <w:rPr>
                <w:color w:val="000000"/>
                <w:sz w:val="21"/>
                <w:szCs w:val="21"/>
              </w:rPr>
              <w:t>Gemmatimonadales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3F2C7FAF">
            <w:pPr>
              <w:jc w:val="left"/>
              <w:rPr>
                <w:color w:val="000000"/>
                <w:sz w:val="21"/>
                <w:szCs w:val="21"/>
              </w:rPr>
            </w:pPr>
            <w:r>
              <w:rPr>
                <w:color w:val="000000"/>
                <w:sz w:val="21"/>
                <w:szCs w:val="21"/>
              </w:rPr>
              <w:t>Gemmatimonadaceae</w:t>
            </w:r>
          </w:p>
        </w:tc>
        <w:tc>
          <w:tcPr>
            <w:tcW w:w="1103" w:type="pct"/>
            <w:tcBorders>
              <w:top w:val="nil"/>
              <w:left w:val="nil"/>
              <w:bottom w:val="nil"/>
              <w:right w:val="nil"/>
            </w:tcBorders>
            <w:shd w:val="clear" w:color="auto" w:fill="FFFFFF"/>
            <w:tcMar>
              <w:top w:w="60" w:type="dxa"/>
              <w:left w:w="100" w:type="dxa"/>
              <w:bottom w:w="60" w:type="dxa"/>
              <w:right w:w="100" w:type="dxa"/>
            </w:tcMar>
          </w:tcPr>
          <w:p w14:paraId="292B379D">
            <w:pPr>
              <w:jc w:val="left"/>
              <w:rPr>
                <w:color w:val="000000"/>
                <w:sz w:val="21"/>
                <w:szCs w:val="21"/>
              </w:rPr>
            </w:pPr>
            <w:r>
              <w:rPr>
                <w:color w:val="000000"/>
                <w:sz w:val="21"/>
                <w:szCs w:val="21"/>
              </w:rPr>
              <w:t>norank_f__Gemmatimonadaceae</w:t>
            </w:r>
          </w:p>
        </w:tc>
      </w:tr>
      <w:tr w14:paraId="1DDC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1F6B265A">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6CAB1EFD">
            <w:pPr>
              <w:widowControl/>
              <w:jc w:val="center"/>
              <w:textAlignment w:val="top"/>
              <w:rPr>
                <w:color w:val="000000"/>
                <w:sz w:val="21"/>
                <w:szCs w:val="21"/>
              </w:rPr>
            </w:pPr>
            <w:r>
              <w:rPr>
                <w:rFonts w:eastAsia="宋体"/>
                <w:color w:val="000000"/>
                <w:sz w:val="21"/>
                <w:szCs w:val="21"/>
                <w:lang w:bidi="ar"/>
              </w:rPr>
              <w:t>OTU9415</w:t>
            </w:r>
          </w:p>
        </w:tc>
        <w:tc>
          <w:tcPr>
            <w:tcW w:w="292" w:type="pct"/>
            <w:tcBorders>
              <w:top w:val="nil"/>
              <w:left w:val="nil"/>
              <w:bottom w:val="nil"/>
              <w:right w:val="nil"/>
            </w:tcBorders>
            <w:shd w:val="clear" w:color="auto" w:fill="FFFFFF"/>
            <w:tcMar>
              <w:top w:w="60" w:type="dxa"/>
              <w:left w:w="100" w:type="dxa"/>
              <w:bottom w:w="60" w:type="dxa"/>
              <w:right w:w="100" w:type="dxa"/>
            </w:tcMar>
          </w:tcPr>
          <w:p w14:paraId="7BD0B702">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1109C589">
            <w:pPr>
              <w:jc w:val="left"/>
              <w:rPr>
                <w:color w:val="000000"/>
                <w:sz w:val="21"/>
                <w:szCs w:val="21"/>
              </w:rPr>
            </w:pPr>
            <w:r>
              <w:rPr>
                <w:color w:val="000000"/>
                <w:sz w:val="21"/>
                <w:szCs w:val="21"/>
              </w:rPr>
              <w:t>Proteobacteria</w:t>
            </w:r>
          </w:p>
        </w:tc>
        <w:tc>
          <w:tcPr>
            <w:tcW w:w="641" w:type="pct"/>
            <w:tcBorders>
              <w:top w:val="nil"/>
              <w:left w:val="nil"/>
              <w:bottom w:val="nil"/>
              <w:right w:val="nil"/>
            </w:tcBorders>
            <w:shd w:val="clear" w:color="auto" w:fill="FFFFFF"/>
            <w:tcMar>
              <w:top w:w="60" w:type="dxa"/>
              <w:left w:w="100" w:type="dxa"/>
              <w:bottom w:w="60" w:type="dxa"/>
              <w:right w:w="100" w:type="dxa"/>
            </w:tcMar>
          </w:tcPr>
          <w:p w14:paraId="3EEBCB59">
            <w:pPr>
              <w:jc w:val="left"/>
              <w:rPr>
                <w:color w:val="000000"/>
                <w:sz w:val="21"/>
                <w:szCs w:val="21"/>
              </w:rPr>
            </w:pPr>
            <w:r>
              <w:rPr>
                <w:color w:val="000000"/>
                <w:sz w:val="21"/>
                <w:szCs w:val="21"/>
              </w:rPr>
              <w:t>Alphaproteobacteria</w:t>
            </w:r>
          </w:p>
        </w:tc>
        <w:tc>
          <w:tcPr>
            <w:tcW w:w="630" w:type="pct"/>
            <w:tcBorders>
              <w:top w:val="nil"/>
              <w:left w:val="nil"/>
              <w:bottom w:val="nil"/>
              <w:right w:val="nil"/>
            </w:tcBorders>
            <w:shd w:val="clear" w:color="auto" w:fill="FFFFFF"/>
            <w:tcMar>
              <w:top w:w="60" w:type="dxa"/>
              <w:left w:w="100" w:type="dxa"/>
              <w:bottom w:w="60" w:type="dxa"/>
              <w:right w:w="100" w:type="dxa"/>
            </w:tcMar>
          </w:tcPr>
          <w:p w14:paraId="76E4E01C">
            <w:pPr>
              <w:jc w:val="left"/>
              <w:rPr>
                <w:color w:val="000000"/>
                <w:sz w:val="21"/>
                <w:szCs w:val="21"/>
              </w:rPr>
            </w:pPr>
            <w:r>
              <w:rPr>
                <w:color w:val="000000"/>
                <w:sz w:val="21"/>
                <w:szCs w:val="21"/>
              </w:rPr>
              <w:t>Rhizobiales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457676A7">
            <w:pPr>
              <w:jc w:val="left"/>
              <w:rPr>
                <w:color w:val="000000"/>
                <w:sz w:val="21"/>
                <w:szCs w:val="21"/>
              </w:rPr>
            </w:pPr>
            <w:r>
              <w:rPr>
                <w:color w:val="000000"/>
                <w:sz w:val="21"/>
                <w:szCs w:val="21"/>
              </w:rPr>
              <w:t>Hyphomicrobiaceae</w:t>
            </w:r>
          </w:p>
        </w:tc>
        <w:tc>
          <w:tcPr>
            <w:tcW w:w="1103" w:type="pct"/>
            <w:tcBorders>
              <w:top w:val="nil"/>
              <w:left w:val="nil"/>
              <w:bottom w:val="nil"/>
              <w:right w:val="nil"/>
            </w:tcBorders>
            <w:shd w:val="clear" w:color="auto" w:fill="FFFFFF"/>
            <w:tcMar>
              <w:top w:w="60" w:type="dxa"/>
              <w:left w:w="100" w:type="dxa"/>
              <w:bottom w:w="60" w:type="dxa"/>
              <w:right w:w="100" w:type="dxa"/>
            </w:tcMar>
          </w:tcPr>
          <w:p w14:paraId="6CB2AE78">
            <w:pPr>
              <w:jc w:val="left"/>
              <w:rPr>
                <w:color w:val="000000"/>
                <w:sz w:val="21"/>
                <w:szCs w:val="21"/>
              </w:rPr>
            </w:pPr>
            <w:r>
              <w:rPr>
                <w:color w:val="000000"/>
                <w:sz w:val="21"/>
                <w:szCs w:val="21"/>
              </w:rPr>
              <w:t>Pedomicrobium</w:t>
            </w:r>
          </w:p>
        </w:tc>
      </w:tr>
      <w:tr w14:paraId="3213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22F39658">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75DB78BF">
            <w:pPr>
              <w:widowControl/>
              <w:jc w:val="center"/>
              <w:textAlignment w:val="top"/>
              <w:rPr>
                <w:color w:val="000000"/>
                <w:sz w:val="21"/>
                <w:szCs w:val="21"/>
              </w:rPr>
            </w:pPr>
            <w:r>
              <w:rPr>
                <w:rFonts w:eastAsia="宋体"/>
                <w:color w:val="000000"/>
                <w:sz w:val="21"/>
                <w:szCs w:val="21"/>
                <w:lang w:bidi="ar"/>
              </w:rPr>
              <w:t>OTU2051</w:t>
            </w:r>
          </w:p>
        </w:tc>
        <w:tc>
          <w:tcPr>
            <w:tcW w:w="292" w:type="pct"/>
            <w:tcBorders>
              <w:top w:val="nil"/>
              <w:left w:val="nil"/>
              <w:bottom w:val="nil"/>
              <w:right w:val="nil"/>
            </w:tcBorders>
            <w:shd w:val="clear" w:color="auto" w:fill="FFFFFF"/>
            <w:tcMar>
              <w:top w:w="60" w:type="dxa"/>
              <w:left w:w="100" w:type="dxa"/>
              <w:bottom w:w="60" w:type="dxa"/>
              <w:right w:w="100" w:type="dxa"/>
            </w:tcMar>
          </w:tcPr>
          <w:p w14:paraId="7FB41BDD">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3B9DDD74">
            <w:pPr>
              <w:jc w:val="left"/>
              <w:rPr>
                <w:color w:val="000000"/>
                <w:sz w:val="21"/>
                <w:szCs w:val="21"/>
              </w:rPr>
            </w:pPr>
            <w:r>
              <w:rPr>
                <w:color w:val="000000"/>
                <w:sz w:val="21"/>
                <w:szCs w:val="21"/>
              </w:rPr>
              <w:t>Gemmatimonadota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324581D5">
            <w:pPr>
              <w:jc w:val="left"/>
              <w:rPr>
                <w:color w:val="000000"/>
                <w:sz w:val="21"/>
                <w:szCs w:val="21"/>
              </w:rPr>
            </w:pPr>
            <w:r>
              <w:rPr>
                <w:color w:val="000000"/>
                <w:sz w:val="21"/>
                <w:szCs w:val="21"/>
              </w:rPr>
              <w:t>Gemmatimonadetes</w:t>
            </w:r>
          </w:p>
        </w:tc>
        <w:tc>
          <w:tcPr>
            <w:tcW w:w="630" w:type="pct"/>
            <w:tcBorders>
              <w:top w:val="nil"/>
              <w:left w:val="nil"/>
              <w:bottom w:val="nil"/>
              <w:right w:val="nil"/>
            </w:tcBorders>
            <w:shd w:val="clear" w:color="auto" w:fill="FFFFFF"/>
            <w:tcMar>
              <w:top w:w="60" w:type="dxa"/>
              <w:left w:w="100" w:type="dxa"/>
              <w:bottom w:w="60" w:type="dxa"/>
              <w:right w:w="100" w:type="dxa"/>
            </w:tcMar>
          </w:tcPr>
          <w:p w14:paraId="2F92A84A">
            <w:pPr>
              <w:jc w:val="left"/>
              <w:rPr>
                <w:color w:val="000000"/>
                <w:sz w:val="21"/>
                <w:szCs w:val="21"/>
              </w:rPr>
            </w:pPr>
            <w:r>
              <w:rPr>
                <w:color w:val="000000"/>
                <w:sz w:val="21"/>
                <w:szCs w:val="21"/>
              </w:rPr>
              <w:t>Gemmatimonadales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284EE58B">
            <w:pPr>
              <w:jc w:val="left"/>
              <w:rPr>
                <w:color w:val="000000"/>
                <w:sz w:val="21"/>
                <w:szCs w:val="21"/>
              </w:rPr>
            </w:pPr>
            <w:r>
              <w:rPr>
                <w:color w:val="000000"/>
                <w:sz w:val="21"/>
                <w:szCs w:val="21"/>
              </w:rPr>
              <w:t>Gemmatimonadaceae</w:t>
            </w:r>
          </w:p>
        </w:tc>
        <w:tc>
          <w:tcPr>
            <w:tcW w:w="1103" w:type="pct"/>
            <w:tcBorders>
              <w:top w:val="nil"/>
              <w:left w:val="nil"/>
              <w:bottom w:val="nil"/>
              <w:right w:val="nil"/>
            </w:tcBorders>
            <w:shd w:val="clear" w:color="auto" w:fill="FFFFFF"/>
            <w:tcMar>
              <w:top w:w="60" w:type="dxa"/>
              <w:left w:w="100" w:type="dxa"/>
              <w:bottom w:w="60" w:type="dxa"/>
              <w:right w:w="100" w:type="dxa"/>
            </w:tcMar>
          </w:tcPr>
          <w:p w14:paraId="75C8C3FC">
            <w:pPr>
              <w:jc w:val="left"/>
              <w:rPr>
                <w:color w:val="000000"/>
                <w:sz w:val="21"/>
                <w:szCs w:val="21"/>
              </w:rPr>
            </w:pPr>
            <w:r>
              <w:rPr>
                <w:color w:val="000000"/>
                <w:sz w:val="21"/>
                <w:szCs w:val="21"/>
              </w:rPr>
              <w:t>norank_f__Gemmatimonadaceae</w:t>
            </w:r>
          </w:p>
        </w:tc>
      </w:tr>
      <w:tr w14:paraId="57E9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32336B62">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79AB4E23">
            <w:pPr>
              <w:widowControl/>
              <w:jc w:val="center"/>
              <w:textAlignment w:val="top"/>
              <w:rPr>
                <w:color w:val="000000"/>
                <w:sz w:val="21"/>
                <w:szCs w:val="21"/>
              </w:rPr>
            </w:pPr>
            <w:r>
              <w:rPr>
                <w:rFonts w:eastAsia="宋体"/>
                <w:color w:val="000000"/>
                <w:sz w:val="21"/>
                <w:szCs w:val="21"/>
                <w:lang w:bidi="ar"/>
              </w:rPr>
              <w:t>OTU9928</w:t>
            </w:r>
          </w:p>
        </w:tc>
        <w:tc>
          <w:tcPr>
            <w:tcW w:w="292" w:type="pct"/>
            <w:tcBorders>
              <w:top w:val="nil"/>
              <w:left w:val="nil"/>
              <w:bottom w:val="nil"/>
              <w:right w:val="nil"/>
            </w:tcBorders>
            <w:shd w:val="clear" w:color="auto" w:fill="FFFFFF"/>
            <w:tcMar>
              <w:top w:w="60" w:type="dxa"/>
              <w:left w:w="100" w:type="dxa"/>
              <w:bottom w:w="60" w:type="dxa"/>
              <w:right w:w="100" w:type="dxa"/>
            </w:tcMar>
          </w:tcPr>
          <w:p w14:paraId="3BE1961E">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5848CB0C">
            <w:pPr>
              <w:jc w:val="left"/>
              <w:rPr>
                <w:color w:val="000000"/>
                <w:sz w:val="21"/>
                <w:szCs w:val="21"/>
              </w:rPr>
            </w:pPr>
            <w:r>
              <w:rPr>
                <w:color w:val="000000"/>
                <w:sz w:val="21"/>
                <w:szCs w:val="21"/>
              </w:rPr>
              <w:t>Acidobacteriota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7BA27681">
            <w:pPr>
              <w:jc w:val="left"/>
              <w:rPr>
                <w:color w:val="000000"/>
                <w:sz w:val="21"/>
                <w:szCs w:val="21"/>
              </w:rPr>
            </w:pPr>
            <w:r>
              <w:rPr>
                <w:color w:val="000000"/>
                <w:sz w:val="21"/>
                <w:szCs w:val="21"/>
              </w:rPr>
              <w:t>Blastocatellia</w:t>
            </w:r>
          </w:p>
        </w:tc>
        <w:tc>
          <w:tcPr>
            <w:tcW w:w="630" w:type="pct"/>
            <w:tcBorders>
              <w:top w:val="nil"/>
              <w:left w:val="nil"/>
              <w:bottom w:val="nil"/>
              <w:right w:val="nil"/>
            </w:tcBorders>
            <w:shd w:val="clear" w:color="auto" w:fill="FFFFFF"/>
            <w:tcMar>
              <w:top w:w="60" w:type="dxa"/>
              <w:left w:w="100" w:type="dxa"/>
              <w:bottom w:w="60" w:type="dxa"/>
              <w:right w:w="100" w:type="dxa"/>
            </w:tcMar>
          </w:tcPr>
          <w:p w14:paraId="22A92954">
            <w:pPr>
              <w:jc w:val="left"/>
              <w:rPr>
                <w:color w:val="000000"/>
                <w:sz w:val="21"/>
                <w:szCs w:val="21"/>
              </w:rPr>
            </w:pPr>
            <w:r>
              <w:rPr>
                <w:color w:val="000000"/>
                <w:sz w:val="21"/>
                <w:szCs w:val="21"/>
              </w:rPr>
              <w:t>11-24</w:t>
            </w:r>
          </w:p>
        </w:tc>
        <w:tc>
          <w:tcPr>
            <w:tcW w:w="1045" w:type="pct"/>
            <w:tcBorders>
              <w:top w:val="nil"/>
              <w:left w:val="nil"/>
              <w:bottom w:val="nil"/>
              <w:right w:val="nil"/>
            </w:tcBorders>
            <w:shd w:val="clear" w:color="auto" w:fill="FFFFFF"/>
            <w:tcMar>
              <w:top w:w="60" w:type="dxa"/>
              <w:left w:w="100" w:type="dxa"/>
              <w:bottom w:w="60" w:type="dxa"/>
              <w:right w:w="100" w:type="dxa"/>
            </w:tcMar>
          </w:tcPr>
          <w:p w14:paraId="4EA335BC">
            <w:pPr>
              <w:jc w:val="left"/>
              <w:rPr>
                <w:color w:val="000000"/>
                <w:sz w:val="21"/>
                <w:szCs w:val="21"/>
              </w:rPr>
            </w:pPr>
            <w:r>
              <w:rPr>
                <w:color w:val="000000"/>
                <w:sz w:val="21"/>
                <w:szCs w:val="21"/>
              </w:rPr>
              <w:t>norank_o__11-24</w:t>
            </w:r>
          </w:p>
        </w:tc>
        <w:tc>
          <w:tcPr>
            <w:tcW w:w="1103" w:type="pct"/>
            <w:tcBorders>
              <w:top w:val="nil"/>
              <w:left w:val="nil"/>
              <w:bottom w:val="nil"/>
              <w:right w:val="nil"/>
            </w:tcBorders>
            <w:shd w:val="clear" w:color="auto" w:fill="FFFFFF"/>
            <w:tcMar>
              <w:top w:w="60" w:type="dxa"/>
              <w:left w:w="100" w:type="dxa"/>
              <w:bottom w:w="60" w:type="dxa"/>
              <w:right w:w="100" w:type="dxa"/>
            </w:tcMar>
          </w:tcPr>
          <w:p w14:paraId="66514C4E">
            <w:pPr>
              <w:jc w:val="left"/>
              <w:rPr>
                <w:color w:val="000000"/>
                <w:sz w:val="21"/>
                <w:szCs w:val="21"/>
              </w:rPr>
            </w:pPr>
            <w:r>
              <w:rPr>
                <w:color w:val="000000"/>
                <w:sz w:val="21"/>
                <w:szCs w:val="21"/>
              </w:rPr>
              <w:t>norank_f__norank_o__11-24</w:t>
            </w:r>
          </w:p>
        </w:tc>
      </w:tr>
      <w:tr w14:paraId="4D1E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2841C8D0">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7EC19545">
            <w:pPr>
              <w:widowControl/>
              <w:jc w:val="center"/>
              <w:textAlignment w:val="top"/>
              <w:rPr>
                <w:color w:val="000000"/>
                <w:sz w:val="21"/>
                <w:szCs w:val="21"/>
              </w:rPr>
            </w:pPr>
            <w:r>
              <w:rPr>
                <w:rFonts w:eastAsia="宋体"/>
                <w:color w:val="000000"/>
                <w:sz w:val="21"/>
                <w:szCs w:val="21"/>
                <w:lang w:bidi="ar"/>
              </w:rPr>
              <w:t>OTU9123</w:t>
            </w:r>
          </w:p>
        </w:tc>
        <w:tc>
          <w:tcPr>
            <w:tcW w:w="292" w:type="pct"/>
            <w:tcBorders>
              <w:top w:val="nil"/>
              <w:left w:val="nil"/>
              <w:bottom w:val="nil"/>
              <w:right w:val="nil"/>
            </w:tcBorders>
            <w:shd w:val="clear" w:color="auto" w:fill="FFFFFF"/>
            <w:tcMar>
              <w:top w:w="60" w:type="dxa"/>
              <w:left w:w="100" w:type="dxa"/>
              <w:bottom w:w="60" w:type="dxa"/>
              <w:right w:w="100" w:type="dxa"/>
            </w:tcMar>
          </w:tcPr>
          <w:p w14:paraId="638883BB">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07328CF5">
            <w:pPr>
              <w:jc w:val="left"/>
              <w:rPr>
                <w:color w:val="000000"/>
                <w:sz w:val="21"/>
                <w:szCs w:val="21"/>
              </w:rPr>
            </w:pPr>
            <w:r>
              <w:rPr>
                <w:color w:val="000000"/>
                <w:sz w:val="21"/>
                <w:szCs w:val="21"/>
              </w:rPr>
              <w:t>Acidobacteriota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39563552">
            <w:pPr>
              <w:jc w:val="left"/>
              <w:rPr>
                <w:color w:val="000000"/>
                <w:sz w:val="21"/>
                <w:szCs w:val="21"/>
              </w:rPr>
            </w:pPr>
            <w:r>
              <w:rPr>
                <w:color w:val="000000"/>
                <w:sz w:val="21"/>
                <w:szCs w:val="21"/>
              </w:rPr>
              <w:t>Vicinamibacteria</w:t>
            </w:r>
          </w:p>
        </w:tc>
        <w:tc>
          <w:tcPr>
            <w:tcW w:w="630" w:type="pct"/>
            <w:tcBorders>
              <w:top w:val="nil"/>
              <w:left w:val="nil"/>
              <w:bottom w:val="nil"/>
              <w:right w:val="nil"/>
            </w:tcBorders>
            <w:shd w:val="clear" w:color="auto" w:fill="FFFFFF"/>
            <w:tcMar>
              <w:top w:w="60" w:type="dxa"/>
              <w:left w:w="100" w:type="dxa"/>
              <w:bottom w:w="60" w:type="dxa"/>
              <w:right w:w="100" w:type="dxa"/>
            </w:tcMar>
          </w:tcPr>
          <w:p w14:paraId="3B486BF9">
            <w:pPr>
              <w:jc w:val="left"/>
              <w:rPr>
                <w:color w:val="000000"/>
                <w:sz w:val="21"/>
                <w:szCs w:val="21"/>
              </w:rPr>
            </w:pPr>
            <w:r>
              <w:rPr>
                <w:color w:val="000000"/>
                <w:sz w:val="21"/>
                <w:szCs w:val="21"/>
              </w:rPr>
              <w:t>Vicinamibacterales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6462F97C">
            <w:pPr>
              <w:jc w:val="left"/>
              <w:rPr>
                <w:color w:val="000000"/>
                <w:sz w:val="21"/>
                <w:szCs w:val="21"/>
              </w:rPr>
            </w:pPr>
            <w:r>
              <w:rPr>
                <w:color w:val="000000"/>
                <w:sz w:val="21"/>
                <w:szCs w:val="21"/>
              </w:rPr>
              <w:t>norank_o__Vicinamibacterales</w:t>
            </w:r>
          </w:p>
        </w:tc>
        <w:tc>
          <w:tcPr>
            <w:tcW w:w="1103" w:type="pct"/>
            <w:tcBorders>
              <w:top w:val="nil"/>
              <w:left w:val="nil"/>
              <w:bottom w:val="nil"/>
              <w:right w:val="nil"/>
            </w:tcBorders>
            <w:shd w:val="clear" w:color="auto" w:fill="FFFFFF"/>
            <w:tcMar>
              <w:top w:w="60" w:type="dxa"/>
              <w:left w:w="100" w:type="dxa"/>
              <w:bottom w:w="60" w:type="dxa"/>
              <w:right w:w="100" w:type="dxa"/>
            </w:tcMar>
          </w:tcPr>
          <w:p w14:paraId="4409F592">
            <w:pPr>
              <w:jc w:val="left"/>
              <w:rPr>
                <w:color w:val="000000"/>
                <w:sz w:val="21"/>
                <w:szCs w:val="21"/>
              </w:rPr>
            </w:pPr>
            <w:r>
              <w:rPr>
                <w:color w:val="000000"/>
                <w:sz w:val="21"/>
                <w:szCs w:val="21"/>
              </w:rPr>
              <w:t>norank_f__norank_o__Vicinamibacterales</w:t>
            </w:r>
          </w:p>
        </w:tc>
      </w:tr>
      <w:tr w14:paraId="6C64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0"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2D1DAF4D">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66DAF6E2">
            <w:pPr>
              <w:widowControl/>
              <w:jc w:val="center"/>
              <w:textAlignment w:val="top"/>
              <w:rPr>
                <w:color w:val="000000"/>
                <w:sz w:val="21"/>
                <w:szCs w:val="21"/>
              </w:rPr>
            </w:pPr>
            <w:r>
              <w:rPr>
                <w:rFonts w:eastAsia="宋体"/>
                <w:color w:val="000000"/>
                <w:sz w:val="21"/>
                <w:szCs w:val="21"/>
                <w:lang w:bidi="ar"/>
              </w:rPr>
              <w:t>OTU9973</w:t>
            </w:r>
          </w:p>
        </w:tc>
        <w:tc>
          <w:tcPr>
            <w:tcW w:w="292" w:type="pct"/>
            <w:tcBorders>
              <w:top w:val="nil"/>
              <w:left w:val="nil"/>
              <w:bottom w:val="nil"/>
              <w:right w:val="nil"/>
            </w:tcBorders>
            <w:shd w:val="clear" w:color="auto" w:fill="FFFFFF"/>
            <w:tcMar>
              <w:top w:w="60" w:type="dxa"/>
              <w:left w:w="100" w:type="dxa"/>
              <w:bottom w:w="60" w:type="dxa"/>
              <w:right w:w="100" w:type="dxa"/>
            </w:tcMar>
          </w:tcPr>
          <w:p w14:paraId="793E3B1A">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636E5013">
            <w:pPr>
              <w:jc w:val="left"/>
              <w:rPr>
                <w:color w:val="000000"/>
                <w:sz w:val="21"/>
                <w:szCs w:val="21"/>
              </w:rPr>
            </w:pPr>
            <w:r>
              <w:rPr>
                <w:color w:val="000000"/>
                <w:sz w:val="21"/>
                <w:szCs w:val="21"/>
              </w:rPr>
              <w:t>Acidobacteriota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1A02DE05">
            <w:pPr>
              <w:jc w:val="left"/>
              <w:rPr>
                <w:color w:val="000000"/>
                <w:sz w:val="21"/>
                <w:szCs w:val="21"/>
              </w:rPr>
            </w:pPr>
            <w:r>
              <w:rPr>
                <w:color w:val="000000"/>
                <w:sz w:val="21"/>
                <w:szCs w:val="21"/>
              </w:rPr>
              <w:t>Vicinamibacteria</w:t>
            </w:r>
          </w:p>
        </w:tc>
        <w:tc>
          <w:tcPr>
            <w:tcW w:w="630" w:type="pct"/>
            <w:tcBorders>
              <w:top w:val="nil"/>
              <w:left w:val="nil"/>
              <w:bottom w:val="nil"/>
              <w:right w:val="nil"/>
            </w:tcBorders>
            <w:shd w:val="clear" w:color="auto" w:fill="FFFFFF"/>
            <w:tcMar>
              <w:top w:w="60" w:type="dxa"/>
              <w:left w:w="100" w:type="dxa"/>
              <w:bottom w:w="60" w:type="dxa"/>
              <w:right w:w="100" w:type="dxa"/>
            </w:tcMar>
          </w:tcPr>
          <w:p w14:paraId="7B0C159E">
            <w:pPr>
              <w:jc w:val="left"/>
              <w:rPr>
                <w:color w:val="000000"/>
                <w:sz w:val="21"/>
                <w:szCs w:val="21"/>
              </w:rPr>
            </w:pPr>
            <w:r>
              <w:rPr>
                <w:color w:val="000000"/>
                <w:sz w:val="21"/>
                <w:szCs w:val="21"/>
              </w:rPr>
              <w:t>Vicinamibacterales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19A64A42">
            <w:pPr>
              <w:jc w:val="left"/>
              <w:rPr>
                <w:color w:val="000000"/>
                <w:sz w:val="21"/>
                <w:szCs w:val="21"/>
              </w:rPr>
            </w:pPr>
            <w:r>
              <w:rPr>
                <w:color w:val="000000"/>
                <w:sz w:val="21"/>
                <w:szCs w:val="21"/>
              </w:rPr>
              <w:t>Vicinamibacteraceae</w:t>
            </w:r>
          </w:p>
        </w:tc>
        <w:tc>
          <w:tcPr>
            <w:tcW w:w="1103" w:type="pct"/>
            <w:tcBorders>
              <w:top w:val="nil"/>
              <w:left w:val="nil"/>
              <w:bottom w:val="nil"/>
              <w:right w:val="nil"/>
            </w:tcBorders>
            <w:shd w:val="clear" w:color="auto" w:fill="FFFFFF"/>
            <w:tcMar>
              <w:top w:w="60" w:type="dxa"/>
              <w:left w:w="100" w:type="dxa"/>
              <w:bottom w:w="60" w:type="dxa"/>
              <w:right w:w="100" w:type="dxa"/>
            </w:tcMar>
          </w:tcPr>
          <w:p w14:paraId="1B7B8332">
            <w:pPr>
              <w:jc w:val="left"/>
              <w:rPr>
                <w:color w:val="000000"/>
                <w:sz w:val="21"/>
                <w:szCs w:val="21"/>
              </w:rPr>
            </w:pPr>
            <w:r>
              <w:rPr>
                <w:color w:val="000000"/>
                <w:sz w:val="21"/>
                <w:szCs w:val="21"/>
              </w:rPr>
              <w:t>norank_f__Vicinamibacteraceae</w:t>
            </w:r>
          </w:p>
        </w:tc>
      </w:tr>
      <w:tr w14:paraId="0DA8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9" w:hRule="atLeast"/>
        </w:trPr>
        <w:tc>
          <w:tcPr>
            <w:tcW w:w="317" w:type="pct"/>
            <w:tcBorders>
              <w:top w:val="nil"/>
              <w:left w:val="nil"/>
              <w:bottom w:val="nil"/>
              <w:right w:val="nil"/>
            </w:tcBorders>
            <w:shd w:val="clear" w:color="auto" w:fill="FFFFFF"/>
            <w:tcMar>
              <w:top w:w="60" w:type="dxa"/>
              <w:left w:w="100" w:type="dxa"/>
              <w:bottom w:w="60" w:type="dxa"/>
              <w:right w:w="100" w:type="dxa"/>
            </w:tcMar>
          </w:tcPr>
          <w:p w14:paraId="73BF52BC">
            <w:pPr>
              <w:jc w:val="center"/>
              <w:rPr>
                <w:color w:val="000000"/>
                <w:sz w:val="21"/>
                <w:szCs w:val="21"/>
              </w:rPr>
            </w:pPr>
          </w:p>
        </w:tc>
        <w:tc>
          <w:tcPr>
            <w:tcW w:w="358" w:type="pct"/>
            <w:tcBorders>
              <w:top w:val="nil"/>
              <w:left w:val="nil"/>
              <w:bottom w:val="nil"/>
              <w:right w:val="nil"/>
            </w:tcBorders>
            <w:shd w:val="clear" w:color="auto" w:fill="FFFFFF"/>
            <w:tcMar>
              <w:top w:w="60" w:type="dxa"/>
              <w:left w:w="100" w:type="dxa"/>
              <w:bottom w:w="60" w:type="dxa"/>
              <w:right w:w="100" w:type="dxa"/>
            </w:tcMar>
          </w:tcPr>
          <w:p w14:paraId="0DD5F54E">
            <w:pPr>
              <w:widowControl/>
              <w:jc w:val="center"/>
              <w:textAlignment w:val="top"/>
              <w:rPr>
                <w:color w:val="000000"/>
                <w:sz w:val="21"/>
                <w:szCs w:val="21"/>
              </w:rPr>
            </w:pPr>
            <w:r>
              <w:rPr>
                <w:rFonts w:eastAsia="宋体"/>
                <w:color w:val="000000"/>
                <w:sz w:val="21"/>
                <w:szCs w:val="21"/>
                <w:lang w:bidi="ar"/>
              </w:rPr>
              <w:t>OTU10402</w:t>
            </w:r>
          </w:p>
        </w:tc>
        <w:tc>
          <w:tcPr>
            <w:tcW w:w="292" w:type="pct"/>
            <w:tcBorders>
              <w:top w:val="nil"/>
              <w:left w:val="nil"/>
              <w:bottom w:val="nil"/>
              <w:right w:val="nil"/>
            </w:tcBorders>
            <w:shd w:val="clear" w:color="auto" w:fill="FFFFFF"/>
            <w:tcMar>
              <w:top w:w="60" w:type="dxa"/>
              <w:left w:w="100" w:type="dxa"/>
              <w:bottom w:w="60" w:type="dxa"/>
              <w:right w:w="100" w:type="dxa"/>
            </w:tcMar>
          </w:tcPr>
          <w:p w14:paraId="64306050">
            <w:pPr>
              <w:jc w:val="left"/>
              <w:rPr>
                <w:color w:val="000000"/>
                <w:sz w:val="21"/>
                <w:szCs w:val="21"/>
              </w:rPr>
            </w:pPr>
            <w:r>
              <w:rPr>
                <w:color w:val="000000"/>
                <w:sz w:val="21"/>
                <w:szCs w:val="21"/>
              </w:rPr>
              <w:t>Bacteria</w:t>
            </w:r>
          </w:p>
        </w:tc>
        <w:tc>
          <w:tcPr>
            <w:tcW w:w="610" w:type="pct"/>
            <w:tcBorders>
              <w:top w:val="nil"/>
              <w:left w:val="nil"/>
              <w:bottom w:val="nil"/>
              <w:right w:val="nil"/>
            </w:tcBorders>
            <w:shd w:val="clear" w:color="auto" w:fill="FFFFFF"/>
            <w:tcMar>
              <w:top w:w="60" w:type="dxa"/>
              <w:left w:w="100" w:type="dxa"/>
              <w:bottom w:w="60" w:type="dxa"/>
              <w:right w:w="100" w:type="dxa"/>
            </w:tcMar>
          </w:tcPr>
          <w:p w14:paraId="2EEBD8FF">
            <w:pPr>
              <w:jc w:val="left"/>
              <w:rPr>
                <w:color w:val="000000"/>
                <w:sz w:val="21"/>
                <w:szCs w:val="21"/>
              </w:rPr>
            </w:pPr>
            <w:r>
              <w:rPr>
                <w:color w:val="000000"/>
                <w:sz w:val="21"/>
                <w:szCs w:val="21"/>
              </w:rPr>
              <w:t>Acidobacteriota</w:t>
            </w:r>
          </w:p>
        </w:tc>
        <w:tc>
          <w:tcPr>
            <w:tcW w:w="641" w:type="pct"/>
            <w:tcBorders>
              <w:top w:val="nil"/>
              <w:left w:val="nil"/>
              <w:bottom w:val="nil"/>
              <w:right w:val="nil"/>
            </w:tcBorders>
            <w:shd w:val="clear" w:color="auto" w:fill="FFFFFF"/>
            <w:tcMar>
              <w:top w:w="60" w:type="dxa"/>
              <w:left w:w="100" w:type="dxa"/>
              <w:bottom w:w="60" w:type="dxa"/>
              <w:right w:w="100" w:type="dxa"/>
            </w:tcMar>
          </w:tcPr>
          <w:p w14:paraId="28F072C0">
            <w:pPr>
              <w:jc w:val="left"/>
              <w:rPr>
                <w:color w:val="000000"/>
                <w:sz w:val="21"/>
                <w:szCs w:val="21"/>
              </w:rPr>
            </w:pPr>
            <w:r>
              <w:rPr>
                <w:color w:val="000000"/>
                <w:sz w:val="21"/>
                <w:szCs w:val="21"/>
              </w:rPr>
              <w:t>Vicinamibacteria</w:t>
            </w:r>
          </w:p>
        </w:tc>
        <w:tc>
          <w:tcPr>
            <w:tcW w:w="630" w:type="pct"/>
            <w:tcBorders>
              <w:top w:val="nil"/>
              <w:left w:val="nil"/>
              <w:bottom w:val="nil"/>
              <w:right w:val="nil"/>
            </w:tcBorders>
            <w:shd w:val="clear" w:color="auto" w:fill="FFFFFF"/>
            <w:tcMar>
              <w:top w:w="60" w:type="dxa"/>
              <w:left w:w="100" w:type="dxa"/>
              <w:bottom w:w="60" w:type="dxa"/>
              <w:right w:w="100" w:type="dxa"/>
            </w:tcMar>
          </w:tcPr>
          <w:p w14:paraId="2B6EE780">
            <w:pPr>
              <w:jc w:val="left"/>
              <w:rPr>
                <w:color w:val="000000"/>
                <w:sz w:val="21"/>
                <w:szCs w:val="21"/>
              </w:rPr>
            </w:pPr>
            <w:r>
              <w:rPr>
                <w:color w:val="000000"/>
                <w:sz w:val="21"/>
                <w:szCs w:val="21"/>
              </w:rPr>
              <w:t>Vicinamibacterales</w:t>
            </w:r>
          </w:p>
        </w:tc>
        <w:tc>
          <w:tcPr>
            <w:tcW w:w="1045" w:type="pct"/>
            <w:tcBorders>
              <w:top w:val="nil"/>
              <w:left w:val="nil"/>
              <w:bottom w:val="nil"/>
              <w:right w:val="nil"/>
            </w:tcBorders>
            <w:shd w:val="clear" w:color="auto" w:fill="FFFFFF"/>
            <w:tcMar>
              <w:top w:w="60" w:type="dxa"/>
              <w:left w:w="100" w:type="dxa"/>
              <w:bottom w:w="60" w:type="dxa"/>
              <w:right w:w="100" w:type="dxa"/>
            </w:tcMar>
          </w:tcPr>
          <w:p w14:paraId="58B3D25F">
            <w:pPr>
              <w:jc w:val="left"/>
              <w:rPr>
                <w:color w:val="000000"/>
                <w:sz w:val="21"/>
                <w:szCs w:val="21"/>
              </w:rPr>
            </w:pPr>
            <w:r>
              <w:rPr>
                <w:color w:val="000000"/>
                <w:sz w:val="21"/>
                <w:szCs w:val="21"/>
              </w:rPr>
              <w:t>Vicinamibacteraceae</w:t>
            </w:r>
          </w:p>
        </w:tc>
        <w:tc>
          <w:tcPr>
            <w:tcW w:w="1103" w:type="pct"/>
            <w:tcBorders>
              <w:top w:val="nil"/>
              <w:left w:val="nil"/>
              <w:bottom w:val="nil"/>
              <w:right w:val="nil"/>
            </w:tcBorders>
            <w:shd w:val="clear" w:color="auto" w:fill="FFFFFF"/>
            <w:tcMar>
              <w:top w:w="60" w:type="dxa"/>
              <w:left w:w="100" w:type="dxa"/>
              <w:bottom w:w="60" w:type="dxa"/>
              <w:right w:w="100" w:type="dxa"/>
            </w:tcMar>
          </w:tcPr>
          <w:p w14:paraId="059A5B2F">
            <w:pPr>
              <w:jc w:val="left"/>
              <w:rPr>
                <w:color w:val="000000"/>
                <w:sz w:val="21"/>
                <w:szCs w:val="21"/>
              </w:rPr>
            </w:pPr>
            <w:r>
              <w:rPr>
                <w:color w:val="000000"/>
                <w:sz w:val="21"/>
                <w:szCs w:val="21"/>
              </w:rPr>
              <w:t>norank_f__Vicinamibacteraceae</w:t>
            </w:r>
          </w:p>
        </w:tc>
      </w:tr>
      <w:tr w14:paraId="2D03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68" w:hRule="atLeast"/>
        </w:trPr>
        <w:tc>
          <w:tcPr>
            <w:tcW w:w="317" w:type="pct"/>
            <w:tcBorders>
              <w:top w:val="nil"/>
              <w:left w:val="nil"/>
              <w:bottom w:val="single" w:color="000000" w:sz="12" w:space="0"/>
              <w:right w:val="nil"/>
            </w:tcBorders>
            <w:shd w:val="clear" w:color="auto" w:fill="FFFFFF"/>
            <w:tcMar>
              <w:top w:w="60" w:type="dxa"/>
              <w:left w:w="100" w:type="dxa"/>
              <w:bottom w:w="60" w:type="dxa"/>
              <w:right w:w="100" w:type="dxa"/>
            </w:tcMar>
          </w:tcPr>
          <w:p w14:paraId="21581B16">
            <w:pPr>
              <w:jc w:val="center"/>
              <w:rPr>
                <w:color w:val="000000"/>
                <w:sz w:val="21"/>
                <w:szCs w:val="21"/>
              </w:rPr>
            </w:pPr>
          </w:p>
        </w:tc>
        <w:tc>
          <w:tcPr>
            <w:tcW w:w="358" w:type="pct"/>
            <w:tcBorders>
              <w:top w:val="nil"/>
              <w:left w:val="nil"/>
              <w:bottom w:val="single" w:color="000000" w:sz="12" w:space="0"/>
              <w:right w:val="nil"/>
            </w:tcBorders>
            <w:shd w:val="clear" w:color="auto" w:fill="FFFFFF"/>
            <w:tcMar>
              <w:top w:w="60" w:type="dxa"/>
              <w:left w:w="100" w:type="dxa"/>
              <w:bottom w:w="60" w:type="dxa"/>
              <w:right w:w="100" w:type="dxa"/>
            </w:tcMar>
          </w:tcPr>
          <w:p w14:paraId="4C13CF5E">
            <w:pPr>
              <w:widowControl/>
              <w:jc w:val="center"/>
              <w:textAlignment w:val="top"/>
              <w:rPr>
                <w:color w:val="000000"/>
                <w:sz w:val="21"/>
                <w:szCs w:val="21"/>
              </w:rPr>
            </w:pPr>
            <w:r>
              <w:rPr>
                <w:rFonts w:eastAsia="宋体"/>
                <w:color w:val="000000"/>
                <w:sz w:val="21"/>
                <w:szCs w:val="21"/>
                <w:lang w:bidi="ar"/>
              </w:rPr>
              <w:t>OTU3227</w:t>
            </w:r>
          </w:p>
        </w:tc>
        <w:tc>
          <w:tcPr>
            <w:tcW w:w="292" w:type="pct"/>
            <w:tcBorders>
              <w:top w:val="nil"/>
              <w:left w:val="nil"/>
              <w:bottom w:val="single" w:color="000000" w:sz="12" w:space="0"/>
              <w:right w:val="nil"/>
            </w:tcBorders>
            <w:shd w:val="clear" w:color="auto" w:fill="FFFFFF"/>
            <w:tcMar>
              <w:top w:w="60" w:type="dxa"/>
              <w:left w:w="100" w:type="dxa"/>
              <w:bottom w:w="60" w:type="dxa"/>
              <w:right w:w="100" w:type="dxa"/>
            </w:tcMar>
          </w:tcPr>
          <w:p w14:paraId="2F0721B7">
            <w:pPr>
              <w:jc w:val="left"/>
              <w:rPr>
                <w:color w:val="000000"/>
                <w:sz w:val="21"/>
                <w:szCs w:val="21"/>
              </w:rPr>
            </w:pPr>
            <w:r>
              <w:rPr>
                <w:color w:val="000000"/>
                <w:sz w:val="21"/>
                <w:szCs w:val="21"/>
              </w:rPr>
              <w:t>Bacteria</w:t>
            </w:r>
          </w:p>
        </w:tc>
        <w:tc>
          <w:tcPr>
            <w:tcW w:w="610" w:type="pct"/>
            <w:tcBorders>
              <w:top w:val="nil"/>
              <w:left w:val="nil"/>
              <w:bottom w:val="single" w:color="000000" w:sz="12" w:space="0"/>
              <w:right w:val="nil"/>
            </w:tcBorders>
            <w:shd w:val="clear" w:color="auto" w:fill="FFFFFF"/>
            <w:tcMar>
              <w:top w:w="60" w:type="dxa"/>
              <w:left w:w="100" w:type="dxa"/>
              <w:bottom w:w="60" w:type="dxa"/>
              <w:right w:w="100" w:type="dxa"/>
            </w:tcMar>
          </w:tcPr>
          <w:p w14:paraId="3FA537C8">
            <w:pPr>
              <w:jc w:val="left"/>
              <w:rPr>
                <w:color w:val="000000"/>
                <w:sz w:val="21"/>
                <w:szCs w:val="21"/>
              </w:rPr>
            </w:pPr>
            <w:r>
              <w:rPr>
                <w:color w:val="000000"/>
                <w:sz w:val="21"/>
                <w:szCs w:val="21"/>
              </w:rPr>
              <w:t>Proteobacteria</w:t>
            </w:r>
          </w:p>
        </w:tc>
        <w:tc>
          <w:tcPr>
            <w:tcW w:w="641" w:type="pct"/>
            <w:tcBorders>
              <w:top w:val="nil"/>
              <w:left w:val="nil"/>
              <w:bottom w:val="single" w:color="000000" w:sz="12" w:space="0"/>
              <w:right w:val="nil"/>
            </w:tcBorders>
            <w:shd w:val="clear" w:color="auto" w:fill="FFFFFF"/>
            <w:tcMar>
              <w:top w:w="60" w:type="dxa"/>
              <w:left w:w="100" w:type="dxa"/>
              <w:bottom w:w="60" w:type="dxa"/>
              <w:right w:w="100" w:type="dxa"/>
            </w:tcMar>
          </w:tcPr>
          <w:p w14:paraId="4059C661">
            <w:pPr>
              <w:jc w:val="left"/>
              <w:rPr>
                <w:color w:val="000000"/>
                <w:sz w:val="21"/>
                <w:szCs w:val="21"/>
              </w:rPr>
            </w:pPr>
            <w:r>
              <w:rPr>
                <w:color w:val="000000"/>
                <w:sz w:val="21"/>
                <w:szCs w:val="21"/>
              </w:rPr>
              <w:t>Alphaproteobacteria</w:t>
            </w:r>
          </w:p>
        </w:tc>
        <w:tc>
          <w:tcPr>
            <w:tcW w:w="630" w:type="pct"/>
            <w:tcBorders>
              <w:top w:val="nil"/>
              <w:left w:val="nil"/>
              <w:bottom w:val="single" w:color="000000" w:sz="12" w:space="0"/>
              <w:right w:val="nil"/>
            </w:tcBorders>
            <w:shd w:val="clear" w:color="auto" w:fill="FFFFFF"/>
            <w:tcMar>
              <w:top w:w="60" w:type="dxa"/>
              <w:left w:w="100" w:type="dxa"/>
              <w:bottom w:w="60" w:type="dxa"/>
              <w:right w:w="100" w:type="dxa"/>
            </w:tcMar>
          </w:tcPr>
          <w:p w14:paraId="4F1C3F18">
            <w:pPr>
              <w:jc w:val="left"/>
              <w:rPr>
                <w:color w:val="000000"/>
                <w:sz w:val="21"/>
                <w:szCs w:val="21"/>
              </w:rPr>
            </w:pPr>
            <w:r>
              <w:rPr>
                <w:color w:val="000000"/>
                <w:sz w:val="21"/>
                <w:szCs w:val="21"/>
              </w:rPr>
              <w:t>Elsterales</w:t>
            </w:r>
          </w:p>
        </w:tc>
        <w:tc>
          <w:tcPr>
            <w:tcW w:w="1045" w:type="pct"/>
            <w:tcBorders>
              <w:top w:val="nil"/>
              <w:left w:val="nil"/>
              <w:bottom w:val="single" w:color="000000" w:sz="12" w:space="0"/>
              <w:right w:val="nil"/>
            </w:tcBorders>
            <w:shd w:val="clear" w:color="auto" w:fill="FFFFFF"/>
            <w:tcMar>
              <w:top w:w="60" w:type="dxa"/>
              <w:left w:w="100" w:type="dxa"/>
              <w:bottom w:w="60" w:type="dxa"/>
              <w:right w:w="100" w:type="dxa"/>
            </w:tcMar>
          </w:tcPr>
          <w:p w14:paraId="09AD5CFB">
            <w:pPr>
              <w:jc w:val="left"/>
              <w:rPr>
                <w:color w:val="000000"/>
                <w:sz w:val="21"/>
                <w:szCs w:val="21"/>
              </w:rPr>
            </w:pPr>
            <w:r>
              <w:rPr>
                <w:color w:val="000000"/>
                <w:sz w:val="21"/>
                <w:szCs w:val="21"/>
              </w:rPr>
              <w:t>norank_o__Elsterales</w:t>
            </w:r>
          </w:p>
        </w:tc>
        <w:tc>
          <w:tcPr>
            <w:tcW w:w="1103" w:type="pct"/>
            <w:tcBorders>
              <w:top w:val="nil"/>
              <w:left w:val="nil"/>
              <w:bottom w:val="single" w:color="000000" w:sz="12" w:space="0"/>
              <w:right w:val="nil"/>
            </w:tcBorders>
            <w:shd w:val="clear" w:color="auto" w:fill="FFFFFF"/>
            <w:tcMar>
              <w:top w:w="60" w:type="dxa"/>
              <w:left w:w="100" w:type="dxa"/>
              <w:bottom w:w="60" w:type="dxa"/>
              <w:right w:w="100" w:type="dxa"/>
            </w:tcMar>
          </w:tcPr>
          <w:p w14:paraId="5AD4B3D1">
            <w:pPr>
              <w:jc w:val="left"/>
              <w:rPr>
                <w:color w:val="000000"/>
                <w:sz w:val="21"/>
                <w:szCs w:val="21"/>
              </w:rPr>
            </w:pPr>
            <w:r>
              <w:rPr>
                <w:color w:val="000000"/>
                <w:sz w:val="21"/>
                <w:szCs w:val="21"/>
              </w:rPr>
              <w:t>norank_f__norank_o__Elsterales</w:t>
            </w:r>
          </w:p>
        </w:tc>
      </w:tr>
    </w:tbl>
    <w:p w14:paraId="70C7A377">
      <w:pPr>
        <w:rPr>
          <w:rFonts w:eastAsiaTheme="minorEastAsia"/>
        </w:rPr>
      </w:pPr>
    </w:p>
    <w:p w14:paraId="49E3A5AA">
      <w:pPr>
        <w:spacing w:after="240" w:line="480" w:lineRule="auto"/>
        <w:rPr>
          <w:b/>
          <w:bCs/>
        </w:rPr>
      </w:pPr>
    </w:p>
    <w:p w14:paraId="58A22CD6">
      <w:pPr>
        <w:spacing w:after="240" w:line="480" w:lineRule="auto"/>
        <w:rPr>
          <w:b/>
          <w:bCs/>
        </w:rPr>
      </w:pPr>
    </w:p>
    <w:p w14:paraId="3C44787F">
      <w:pPr>
        <w:spacing w:after="240" w:line="480" w:lineRule="auto"/>
        <w:rPr>
          <w:b/>
          <w:bCs/>
        </w:rPr>
      </w:pPr>
    </w:p>
    <w:p w14:paraId="35D6FAFA">
      <w:pPr>
        <w:spacing w:after="240" w:line="480" w:lineRule="auto"/>
        <w:rPr>
          <w:b/>
          <w:bCs/>
        </w:rPr>
      </w:pPr>
      <w:r>
        <w:rPr>
          <w:b/>
          <w:bCs/>
        </w:rPr>
        <w:t>Supplementary Figures</w:t>
      </w:r>
    </w:p>
    <w:p w14:paraId="13670E48">
      <w:pPr>
        <w:spacing w:before="240" w:after="120"/>
        <w:jc w:val="center"/>
      </w:pPr>
      <w:r>
        <w:drawing>
          <wp:inline distT="0" distB="0" distL="0" distR="0">
            <wp:extent cx="6062980" cy="4633595"/>
            <wp:effectExtent l="0" t="0" r="0" b="0"/>
            <wp:docPr id="7" name="图片 7" descr="D:/忙忙碌碌寻宝藏/代办/pan/J. Integr. Agric/图/附图1.png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忙忙碌碌寻宝藏/代办/pan/J. Integr. Agric/图/附图1.png附图1"/>
                    <pic:cNvPicPr>
                      <a:picLocks noChangeAspect="1" noChangeArrowheads="1"/>
                    </pic:cNvPicPr>
                  </pic:nvPicPr>
                  <pic:blipFill>
                    <a:blip r:embed="rId5"/>
                    <a:srcRect t="191" b="531"/>
                    <a:stretch>
                      <a:fillRect/>
                    </a:stretch>
                  </pic:blipFill>
                  <pic:spPr>
                    <a:xfrm>
                      <a:off x="0" y="0"/>
                      <a:ext cx="6062980" cy="4633595"/>
                    </a:xfrm>
                    <a:prstGeom prst="rect">
                      <a:avLst/>
                    </a:prstGeom>
                  </pic:spPr>
                </pic:pic>
              </a:graphicData>
            </a:graphic>
          </wp:inline>
        </w:drawing>
      </w:r>
    </w:p>
    <w:p w14:paraId="34AC064E">
      <w:pPr>
        <w:pStyle w:val="42"/>
        <w:spacing w:before="326" w:after="326"/>
        <w:jc w:val="both"/>
        <w:rPr>
          <w:rFonts w:eastAsia="宋体"/>
        </w:rPr>
      </w:pPr>
      <w:r>
        <w:rPr>
          <w:rFonts w:hint="eastAsia" w:eastAsia="宋体"/>
          <w:b/>
          <w:bCs/>
        </w:rPr>
        <w:t>Figure</w:t>
      </w:r>
      <w:r>
        <w:rPr>
          <w:b/>
          <w:bCs/>
        </w:rPr>
        <w:t>. S</w:t>
      </w:r>
      <w:r>
        <w:rPr>
          <w:rFonts w:hint="eastAsia" w:eastAsia="宋体"/>
          <w:b/>
          <w:bCs/>
        </w:rPr>
        <w:t>1</w:t>
      </w:r>
      <w:r>
        <w:rPr>
          <w:b/>
          <w:bCs/>
        </w:rPr>
        <w:t xml:space="preserve">. </w:t>
      </w:r>
      <w:r>
        <w:rPr>
          <w:rFonts w:eastAsia="宋体"/>
          <w:b w:val="0"/>
          <w:bCs w:val="0"/>
        </w:rPr>
        <w:t>Relative abundance of the top 10 bacterial phyla (</w:t>
      </w:r>
      <w:r>
        <w:rPr>
          <w:rFonts w:hint="eastAsia" w:eastAsia="宋体"/>
          <w:b w:val="0"/>
          <w:bCs w:val="0"/>
          <w:lang w:val="en-US" w:eastAsia="zh-CN"/>
        </w:rPr>
        <w:t>A</w:t>
      </w:r>
      <w:r>
        <w:rPr>
          <w:rFonts w:eastAsia="宋体"/>
          <w:b w:val="0"/>
          <w:bCs w:val="0"/>
        </w:rPr>
        <w:t xml:space="preserve">, </w:t>
      </w:r>
      <w:r>
        <w:rPr>
          <w:rFonts w:hint="eastAsia" w:eastAsia="宋体"/>
          <w:b w:val="0"/>
          <w:bCs w:val="0"/>
          <w:lang w:val="en-US" w:eastAsia="zh-CN"/>
        </w:rPr>
        <w:t>B</w:t>
      </w:r>
      <w:r>
        <w:rPr>
          <w:rFonts w:eastAsia="宋体"/>
          <w:b w:val="0"/>
          <w:bCs w:val="0"/>
        </w:rPr>
        <w:t>)</w:t>
      </w:r>
      <w:r>
        <w:rPr>
          <w:rFonts w:hint="eastAsia" w:eastAsia="宋体"/>
          <w:b w:val="0"/>
          <w:bCs w:val="0"/>
        </w:rPr>
        <w:t xml:space="preserve"> and</w:t>
      </w:r>
      <w:r>
        <w:rPr>
          <w:rFonts w:eastAsia="宋体"/>
          <w:b w:val="0"/>
          <w:bCs w:val="0"/>
        </w:rPr>
        <w:t xml:space="preserve"> the top 5 fungal phyla (</w:t>
      </w:r>
      <w:r>
        <w:rPr>
          <w:rFonts w:hint="eastAsia" w:eastAsia="宋体"/>
          <w:b w:val="0"/>
          <w:bCs w:val="0"/>
          <w:lang w:val="en-US" w:eastAsia="zh-CN"/>
        </w:rPr>
        <w:t>C</w:t>
      </w:r>
      <w:r>
        <w:rPr>
          <w:rFonts w:eastAsia="宋体"/>
          <w:b w:val="0"/>
          <w:bCs w:val="0"/>
        </w:rPr>
        <w:t xml:space="preserve">, </w:t>
      </w:r>
      <w:r>
        <w:rPr>
          <w:rFonts w:hint="eastAsia" w:eastAsia="宋体"/>
          <w:b w:val="0"/>
          <w:bCs w:val="0"/>
          <w:lang w:val="en-US" w:eastAsia="zh-CN"/>
        </w:rPr>
        <w:t>D</w:t>
      </w:r>
      <w:r>
        <w:rPr>
          <w:rFonts w:eastAsia="宋体"/>
          <w:b w:val="0"/>
          <w:bCs w:val="0"/>
        </w:rPr>
        <w:t xml:space="preserve">) across different sampling sites. </w:t>
      </w:r>
      <w:r>
        <w:rPr>
          <w:rFonts w:eastAsia="宋体"/>
        </w:rPr>
        <w:t xml:space="preserve">Different letters on the bars indicate statistically significant </w:t>
      </w:r>
      <w:r>
        <w:rPr>
          <w:rFonts w:ascii="Times New Roman" w:hAnsi="Times New Roman" w:eastAsia="Times New Roman" w:cs="Times New Roman"/>
          <w:b w:val="0"/>
          <w:bCs w:val="0"/>
          <w:kern w:val="0"/>
          <w:sz w:val="24"/>
          <w:szCs w:val="24"/>
        </w:rPr>
        <w:t xml:space="preserve">differences </w:t>
      </w:r>
      <w:r>
        <w:rPr>
          <w:rFonts w:eastAsia="宋体"/>
        </w:rPr>
        <w:t>among sampling sites (</w:t>
      </w:r>
      <w:r>
        <w:rPr>
          <w:rFonts w:eastAsia="宋体"/>
          <w:i/>
          <w:iCs/>
        </w:rPr>
        <w:t>P &lt;</w:t>
      </w:r>
      <w:r>
        <w:rPr>
          <w:rFonts w:eastAsia="宋体"/>
        </w:rPr>
        <w:t xml:space="preserve"> 0.05). Asterisks indicate significant differences between regions (*</w:t>
      </w:r>
      <w:r>
        <w:rPr>
          <w:rFonts w:hint="eastAsia" w:eastAsia="宋体"/>
        </w:rPr>
        <w:t xml:space="preserve"> </w:t>
      </w:r>
      <w:r>
        <w:rPr>
          <w:rFonts w:eastAsia="宋体"/>
          <w:i/>
          <w:iCs/>
        </w:rPr>
        <w:t>P &lt;</w:t>
      </w:r>
      <w:r>
        <w:rPr>
          <w:rFonts w:eastAsia="宋体"/>
        </w:rPr>
        <w:t xml:space="preserve"> 0.05,</w:t>
      </w:r>
      <w:r>
        <w:rPr>
          <w:rFonts w:hint="eastAsia" w:eastAsia="宋体"/>
        </w:rPr>
        <w:t>**</w:t>
      </w:r>
      <w:r>
        <w:rPr>
          <w:rFonts w:eastAsia="宋体"/>
        </w:rPr>
        <w:t xml:space="preserve"> </w:t>
      </w:r>
      <w:r>
        <w:rPr>
          <w:rFonts w:eastAsia="宋体"/>
          <w:i/>
          <w:iCs/>
        </w:rPr>
        <w:t>P &lt;</w:t>
      </w:r>
      <w:r>
        <w:rPr>
          <w:rFonts w:eastAsia="宋体"/>
        </w:rPr>
        <w:t xml:space="preserve"> 0.01, *** </w:t>
      </w:r>
      <w:r>
        <w:rPr>
          <w:rFonts w:eastAsia="宋体"/>
          <w:i/>
          <w:iCs/>
        </w:rPr>
        <w:t>P &lt;</w:t>
      </w:r>
      <w:r>
        <w:rPr>
          <w:rFonts w:eastAsia="宋体"/>
        </w:rPr>
        <w:t xml:space="preserve"> 0.001). "Others" represents the sum of all remaining phyla.</w:t>
      </w:r>
      <w:r>
        <w:rPr>
          <w:rFonts w:hint="eastAsia"/>
          <w:lang w:val="en-US" w:eastAsia="zh-CN"/>
        </w:rPr>
        <w:t xml:space="preserve"> </w:t>
      </w:r>
      <w:r>
        <w:rPr>
          <w:rFonts w:hint="eastAsia"/>
        </w:rPr>
        <w:t>LB, tobacco–radish; HLB, tobacco–carrot; WD, tobacco–pea; CD, tobacco–faba bean; MC, ryegrass; LF, smooth vetch. The prefixes G and X indicate treatments from the Geyi and Xize areas, respectively.</w:t>
      </w:r>
      <w:bookmarkStart w:id="0" w:name="_GoBack"/>
      <w:bookmarkEnd w:id="0"/>
    </w:p>
    <w:p w14:paraId="5038B3FB">
      <w:pPr>
        <w:pStyle w:val="42"/>
        <w:spacing w:before="326" w:after="326"/>
        <w:jc w:val="both"/>
        <w:rPr>
          <w:rFonts w:eastAsia="宋体"/>
        </w:rPr>
      </w:pPr>
    </w:p>
    <w:p w14:paraId="7078E55B">
      <w:pPr>
        <w:pStyle w:val="42"/>
        <w:spacing w:before="326" w:after="326"/>
        <w:jc w:val="both"/>
        <w:rPr>
          <w:rFonts w:eastAsia="宋体"/>
        </w:rPr>
      </w:pPr>
    </w:p>
    <w:p w14:paraId="4608F7D5">
      <w:pPr>
        <w:pStyle w:val="42"/>
        <w:spacing w:before="326" w:after="326"/>
        <w:jc w:val="both"/>
        <w:rPr>
          <w:rFonts w:eastAsia="宋体"/>
        </w:rPr>
      </w:pPr>
    </w:p>
    <w:p w14:paraId="62CCEAD1">
      <w:pPr>
        <w:pStyle w:val="42"/>
        <w:spacing w:before="326" w:after="326"/>
        <w:jc w:val="both"/>
        <w:rPr>
          <w:rFonts w:eastAsia="宋体"/>
        </w:rPr>
      </w:pPr>
    </w:p>
    <w:p w14:paraId="13A2707F">
      <w:pPr>
        <w:pStyle w:val="42"/>
        <w:spacing w:before="326" w:after="326"/>
        <w:jc w:val="both"/>
        <w:rPr>
          <w:rFonts w:eastAsia="宋体"/>
        </w:rPr>
      </w:pPr>
    </w:p>
    <w:p w14:paraId="547B43F5">
      <w:pPr>
        <w:widowControl w:val="0"/>
        <w:numPr>
          <w:ilvl w:val="0"/>
          <w:numId w:val="0"/>
        </w:numPr>
        <w:snapToGrid w:val="0"/>
        <w:spacing w:before="326" w:beforeLines="100" w:after="326" w:afterLines="100" w:line="480" w:lineRule="auto"/>
        <w:contextualSpacing/>
        <w:jc w:val="left"/>
        <w:outlineLvl w:val="0"/>
        <w:rPr>
          <w:rFonts w:ascii="Times New Roman" w:hAnsi="Times New Roman" w:cs="Times New Roman" w:eastAsiaTheme="minorEastAsia"/>
          <w:b/>
          <w:kern w:val="0"/>
          <w:sz w:val="24"/>
          <w:szCs w:val="24"/>
          <w:lang w:val="en-US" w:eastAsia="zh-CN" w:bidi="ar-SA"/>
        </w:rPr>
      </w:pPr>
      <w:r>
        <w:rPr>
          <w:rFonts w:hint="eastAsia" w:ascii="Times New Roman" w:hAnsi="Times New Roman" w:cs="Times New Roman" w:eastAsiaTheme="minorEastAsia"/>
          <w:b/>
          <w:kern w:val="0"/>
          <w:sz w:val="24"/>
          <w:szCs w:val="24"/>
          <w:lang w:val="en-US" w:eastAsia="zh-CN" w:bidi="ar-SA"/>
        </w:rPr>
        <w:t>References</w:t>
      </w:r>
    </w:p>
    <w:p w14:paraId="44B0A046">
      <w:pPr>
        <w:pStyle w:val="38"/>
        <w:jc w:val="left"/>
        <w:rPr>
          <w:rFonts w:hint="eastAsia"/>
        </w:rPr>
      </w:pPr>
      <w:r>
        <w:rPr>
          <w:rFonts w:hint="eastAsia"/>
        </w:rPr>
        <w:t>[1]</w:t>
      </w:r>
      <w:r>
        <w:rPr>
          <w:rFonts w:hint="eastAsia"/>
        </w:rPr>
        <w:tab/>
      </w:r>
      <w:r>
        <w:rPr>
          <w:rFonts w:hint="eastAsia"/>
        </w:rPr>
        <w:t xml:space="preserve">Y. Qiao, T. Wang, Q. Huang, H. Guo, H. Zhang, Q. Xu, Q. Shen, N. Ling, Core species impact plant health by </w:t>
      </w:r>
      <w:r>
        <w:rPr>
          <w:rFonts w:hint="eastAsia" w:ascii="Times New Roman" w:hAnsi="Times New Roman" w:cs="Times New Roman"/>
          <w:kern w:val="0"/>
        </w:rPr>
        <w:t xml:space="preserve">enhancing </w:t>
      </w:r>
      <w:r>
        <w:rPr>
          <w:rFonts w:hint="eastAsia"/>
        </w:rPr>
        <w:t>soil microbial cooperation and network complexity during community coalescence, Soil Biology and Biochemistry 188 (2024) 109231. https://doi.org/10.1016/j.soilbio.2023.109231.</w:t>
      </w:r>
    </w:p>
    <w:p w14:paraId="2DE771ED">
      <w:pPr>
        <w:pStyle w:val="38"/>
        <w:jc w:val="left"/>
        <w:rPr>
          <w:rFonts w:hint="eastAsia"/>
        </w:rPr>
      </w:pPr>
      <w:r>
        <w:rPr>
          <w:rFonts w:hint="eastAsia"/>
        </w:rPr>
        <w:t>[2]</w:t>
      </w:r>
      <w:r>
        <w:rPr>
          <w:rFonts w:hint="eastAsia"/>
        </w:rPr>
        <w:tab/>
      </w:r>
      <w:r>
        <w:rPr>
          <w:rFonts w:hint="eastAsia"/>
        </w:rPr>
        <w:t xml:space="preserve">T. Yu, Y. Wen, Q. Zhang, J. Yang, H. Zang, Z. Zeng, Y. Yang, Organic management improves soil </w:t>
      </w:r>
      <w:r>
        <w:rPr>
          <w:rFonts w:hint="eastAsia" w:ascii="Times New Roman" w:hAnsi="Times New Roman" w:cs="Times New Roman"/>
          <w:kern w:val="0"/>
        </w:rPr>
        <w:t xml:space="preserve">multifunctionality </w:t>
      </w:r>
      <w:r>
        <w:rPr>
          <w:rFonts w:hint="eastAsia"/>
        </w:rPr>
        <w:t>by enhancing soil quality and enriching key microbes in tea plantation, Applied Soil Ecology 213 (2025) 106260. https://doi.org/10.1016/j.apsoil.2025.106260.</w:t>
      </w:r>
    </w:p>
    <w:sectPr>
      <w:footerReference r:id="rId3" w:type="default"/>
      <w:pgSz w:w="11906" w:h="16838"/>
      <w:pgMar w:top="1440" w:right="1440" w:bottom="1440" w:left="1440" w:header="708" w:footer="708" w:gutter="0"/>
      <w:lnNumType w:countBy="1" w:restart="continuous"/>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56D3">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121E28">
                          <w:pPr>
                            <w:pStyle w:val="11"/>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121E28">
                    <w:pPr>
                      <w:pStyle w:val="11"/>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hideGrammaticalErrors/>
  <w:documentProtection w:enforcement="0"/>
  <w:defaultTabStop w:val="4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EyNTMzsjA0tLAwMbRQ0lEKTi0uzszPAykwqwUA/WHY9SwAAAA="/>
  </w:docVars>
  <w:rsids>
    <w:rsidRoot w:val="00172A27"/>
    <w:rsid w:val="000A6C0F"/>
    <w:rsid w:val="001959D3"/>
    <w:rsid w:val="003E6420"/>
    <w:rsid w:val="003E7A96"/>
    <w:rsid w:val="00404463"/>
    <w:rsid w:val="00413F2B"/>
    <w:rsid w:val="0046357D"/>
    <w:rsid w:val="004D7A41"/>
    <w:rsid w:val="0065179B"/>
    <w:rsid w:val="00812C42"/>
    <w:rsid w:val="00915473"/>
    <w:rsid w:val="00931A60"/>
    <w:rsid w:val="00AA25B2"/>
    <w:rsid w:val="00AC7036"/>
    <w:rsid w:val="00B84CD5"/>
    <w:rsid w:val="00C64D46"/>
    <w:rsid w:val="06A3433A"/>
    <w:rsid w:val="0AAF63DA"/>
    <w:rsid w:val="0E53087C"/>
    <w:rsid w:val="0E8561FC"/>
    <w:rsid w:val="11C54B67"/>
    <w:rsid w:val="177C41C0"/>
    <w:rsid w:val="17B767D0"/>
    <w:rsid w:val="2303237F"/>
    <w:rsid w:val="240A2474"/>
    <w:rsid w:val="249C52BB"/>
    <w:rsid w:val="26C54B2C"/>
    <w:rsid w:val="28247630"/>
    <w:rsid w:val="2A461BF5"/>
    <w:rsid w:val="2B2212FF"/>
    <w:rsid w:val="30AD1A26"/>
    <w:rsid w:val="328C1924"/>
    <w:rsid w:val="36B16042"/>
    <w:rsid w:val="38384340"/>
    <w:rsid w:val="3BD92A46"/>
    <w:rsid w:val="3BFD5231"/>
    <w:rsid w:val="41C50A9E"/>
    <w:rsid w:val="42903178"/>
    <w:rsid w:val="43224590"/>
    <w:rsid w:val="448A657D"/>
    <w:rsid w:val="48F1126F"/>
    <w:rsid w:val="4901669A"/>
    <w:rsid w:val="496E11AC"/>
    <w:rsid w:val="4BFE6267"/>
    <w:rsid w:val="549E4DA6"/>
    <w:rsid w:val="56133F73"/>
    <w:rsid w:val="5A0148B9"/>
    <w:rsid w:val="5A0227A8"/>
    <w:rsid w:val="5FFE2FAC"/>
    <w:rsid w:val="676036BA"/>
    <w:rsid w:val="686C3ACE"/>
    <w:rsid w:val="6CB4095F"/>
    <w:rsid w:val="6E4F0C05"/>
    <w:rsid w:val="6EA6092D"/>
    <w:rsid w:val="77E872FF"/>
    <w:rsid w:val="78266D95"/>
    <w:rsid w:val="7A865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4"/>
      <w:szCs w:val="24"/>
      <w:lang w:val="en-US" w:eastAsia="zh-CN" w:bidi="ar-SA"/>
    </w:rPr>
  </w:style>
  <w:style w:type="paragraph" w:styleId="2">
    <w:name w:val="heading 1"/>
    <w:basedOn w:val="3"/>
    <w:qFormat/>
    <w:uiPriority w:val="0"/>
    <w:pPr>
      <w:outlineLvl w:val="0"/>
    </w:pPr>
    <w:rPr>
      <w:color w:val="2E74B5"/>
      <w:sz w:val="32"/>
      <w:szCs w:val="32"/>
    </w:rPr>
  </w:style>
  <w:style w:type="paragraph" w:styleId="4">
    <w:name w:val="heading 2"/>
    <w:basedOn w:val="2"/>
    <w:next w:val="5"/>
    <w:qFormat/>
    <w:uiPriority w:val="0"/>
    <w:pPr>
      <w:outlineLvl w:val="1"/>
    </w:pPr>
    <w:rPr>
      <w:rFonts w:ascii="Times New Roman" w:hAnsi="Times New Roman" w:eastAsia="Times New Roman" w:cs="Times New Roman"/>
      <w:color w:val="2E74B5"/>
      <w:sz w:val="26"/>
      <w:szCs w:val="26"/>
      <w:lang w:val="en-US" w:eastAsia="zh-CN" w:bidi="ar-SA"/>
    </w:rPr>
  </w:style>
  <w:style w:type="paragraph" w:styleId="6">
    <w:name w:val="heading 3"/>
    <w:next w:val="1"/>
    <w:qFormat/>
    <w:uiPriority w:val="0"/>
    <w:pPr>
      <w:outlineLvl w:val="2"/>
    </w:pPr>
    <w:rPr>
      <w:rFonts w:ascii="Times New Roman" w:hAnsi="Times New Roman" w:eastAsia="Times New Roman" w:cs="Times New Roman"/>
      <w:color w:val="1F4D78"/>
      <w:sz w:val="24"/>
      <w:szCs w:val="24"/>
      <w:lang w:val="en-US" w:eastAsia="zh-CN" w:bidi="ar-SA"/>
    </w:rPr>
  </w:style>
  <w:style w:type="paragraph" w:styleId="7">
    <w:name w:val="heading 4"/>
    <w:next w:val="1"/>
    <w:qFormat/>
    <w:uiPriority w:val="0"/>
    <w:pPr>
      <w:outlineLvl w:val="3"/>
    </w:pPr>
    <w:rPr>
      <w:rFonts w:ascii="Times New Roman" w:hAnsi="Times New Roman" w:eastAsia="Times New Roman" w:cs="Times New Roman"/>
      <w:i/>
      <w:iCs/>
      <w:color w:val="2E74B5"/>
      <w:sz w:val="24"/>
      <w:szCs w:val="24"/>
      <w:lang w:val="en-US" w:eastAsia="zh-CN" w:bidi="ar-SA"/>
    </w:rPr>
  </w:style>
  <w:style w:type="paragraph" w:styleId="8">
    <w:name w:val="heading 5"/>
    <w:next w:val="1"/>
    <w:qFormat/>
    <w:uiPriority w:val="0"/>
    <w:pPr>
      <w:outlineLvl w:val="4"/>
    </w:pPr>
    <w:rPr>
      <w:rFonts w:ascii="Times New Roman" w:hAnsi="Times New Roman" w:eastAsia="Times New Roman" w:cs="Times New Roman"/>
      <w:color w:val="2E74B5"/>
      <w:sz w:val="24"/>
      <w:szCs w:val="24"/>
      <w:lang w:val="en-US" w:eastAsia="zh-CN" w:bidi="ar-SA"/>
    </w:rPr>
  </w:style>
  <w:style w:type="paragraph" w:styleId="9">
    <w:name w:val="heading 6"/>
    <w:next w:val="1"/>
    <w:qFormat/>
    <w:uiPriority w:val="0"/>
    <w:pPr>
      <w:outlineLvl w:val="5"/>
    </w:pPr>
    <w:rPr>
      <w:rFonts w:ascii="Times New Roman" w:hAnsi="Times New Roman" w:eastAsia="Times New Roman" w:cs="Times New Roman"/>
      <w:color w:val="1F4D78"/>
      <w:sz w:val="24"/>
      <w:szCs w:val="24"/>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3">
    <w:name w:val="LetPub_3.1_Text"/>
    <w:link w:val="36"/>
    <w:qFormat/>
    <w:uiPriority w:val="0"/>
    <w:pPr>
      <w:snapToGrid w:val="0"/>
      <w:spacing w:line="480" w:lineRule="auto"/>
      <w:contextualSpacing/>
    </w:pPr>
    <w:rPr>
      <w:rFonts w:ascii="Times New Roman" w:hAnsi="Times New Roman" w:eastAsia="Times New Roman" w:cs="Times New Roman"/>
      <w:sz w:val="24"/>
      <w:szCs w:val="24"/>
      <w:lang w:val="en-US" w:eastAsia="zh-CN" w:bidi="ar-SA"/>
    </w:rPr>
  </w:style>
  <w:style w:type="paragraph" w:customStyle="1" w:styleId="5">
    <w:name w:val="LetPub_3.2_TextIndent"/>
    <w:basedOn w:val="3"/>
    <w:qFormat/>
    <w:uiPriority w:val="0"/>
    <w:pPr>
      <w:widowControl w:val="0"/>
      <w:ind w:firstLine="480" w:firstLineChars="200"/>
    </w:pPr>
    <w:rPr>
      <w:rFonts w:eastAsiaTheme="minorEastAsia"/>
    </w:rPr>
  </w:style>
  <w:style w:type="paragraph" w:styleId="10">
    <w:name w:val="endnote text"/>
    <w:link w:val="26"/>
    <w:semiHidden/>
    <w:unhideWhenUsed/>
    <w:qFormat/>
    <w:uiPriority w:val="99"/>
    <w:rPr>
      <w:rFonts w:ascii="Times New Roman" w:hAnsi="Times New Roman" w:eastAsia="Times New Roman" w:cs="Times New Roman"/>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link w:val="25"/>
    <w:semiHidden/>
    <w:unhideWhenUsed/>
    <w:qFormat/>
    <w:uiPriority w:val="99"/>
    <w:rPr>
      <w:rFonts w:ascii="Times New Roman" w:hAnsi="Times New Roman" w:eastAsia="Times New Roman" w:cs="Times New Roman"/>
      <w:lang w:val="en-US" w:eastAsia="zh-CN" w:bidi="ar-SA"/>
    </w:rPr>
  </w:style>
  <w:style w:type="paragraph" w:styleId="14">
    <w:name w:val="Normal (Web)"/>
    <w:basedOn w:val="1"/>
    <w:qFormat/>
    <w:uiPriority w:val="0"/>
    <w:pPr>
      <w:spacing w:beforeAutospacing="1" w:afterAutospacing="1"/>
      <w:jc w:val="left"/>
    </w:pPr>
  </w:style>
  <w:style w:type="paragraph" w:styleId="15">
    <w:name w:val="Title"/>
    <w:qFormat/>
    <w:uiPriority w:val="0"/>
    <w:rPr>
      <w:rFonts w:ascii="Times New Roman" w:hAnsi="Times New Roman" w:eastAsia="Times New Roman" w:cs="Times New Roman"/>
      <w:sz w:val="56"/>
      <w:szCs w:val="56"/>
      <w:lang w:val="en-US" w:eastAsia="zh-CN" w:bidi="ar-SA"/>
    </w:rPr>
  </w:style>
  <w:style w:type="character" w:styleId="18">
    <w:name w:val="Strong"/>
    <w:basedOn w:val="17"/>
    <w:qFormat/>
    <w:uiPriority w:val="0"/>
    <w:rPr>
      <w:b/>
    </w:rPr>
  </w:style>
  <w:style w:type="character" w:styleId="19">
    <w:name w:val="endnote reference"/>
    <w:semiHidden/>
    <w:unhideWhenUsed/>
    <w:qFormat/>
    <w:uiPriority w:val="99"/>
    <w:rPr>
      <w:vertAlign w:val="superscript"/>
    </w:rPr>
  </w:style>
  <w:style w:type="character" w:styleId="20">
    <w:name w:val="Emphasis"/>
    <w:basedOn w:val="17"/>
    <w:qFormat/>
    <w:uiPriority w:val="0"/>
    <w:rPr>
      <w:i/>
    </w:rPr>
  </w:style>
  <w:style w:type="character" w:styleId="21">
    <w:name w:val="line number"/>
    <w:basedOn w:val="17"/>
    <w:qFormat/>
    <w:uiPriority w:val="0"/>
  </w:style>
  <w:style w:type="character" w:styleId="22">
    <w:name w:val="Hyperlink"/>
    <w:basedOn w:val="17"/>
    <w:unhideWhenUsed/>
    <w:qFormat/>
    <w:uiPriority w:val="99"/>
    <w:rPr>
      <w:color w:val="0563C1"/>
      <w:u w:val="single"/>
    </w:rPr>
  </w:style>
  <w:style w:type="character" w:styleId="23">
    <w:name w:val="footnote reference"/>
    <w:semiHidden/>
    <w:unhideWhenUsed/>
    <w:qFormat/>
    <w:uiPriority w:val="99"/>
    <w:rPr>
      <w:vertAlign w:val="superscript"/>
    </w:rPr>
  </w:style>
  <w:style w:type="paragraph" w:styleId="24">
    <w:name w:val="List Paragraph"/>
    <w:qFormat/>
    <w:uiPriority w:val="0"/>
    <w:rPr>
      <w:rFonts w:ascii="Times New Roman" w:hAnsi="Times New Roman" w:eastAsia="Times New Roman" w:cs="Times New Roman"/>
      <w:sz w:val="24"/>
      <w:szCs w:val="24"/>
      <w:lang w:val="en-US" w:eastAsia="zh-CN" w:bidi="ar-SA"/>
    </w:rPr>
  </w:style>
  <w:style w:type="character" w:customStyle="1" w:styleId="25">
    <w:name w:val="脚注文本 字符"/>
    <w:link w:val="13"/>
    <w:semiHidden/>
    <w:unhideWhenUsed/>
    <w:qFormat/>
    <w:uiPriority w:val="99"/>
    <w:rPr>
      <w:sz w:val="20"/>
      <w:szCs w:val="20"/>
    </w:rPr>
  </w:style>
  <w:style w:type="character" w:customStyle="1" w:styleId="26">
    <w:name w:val="尾注文本 字符"/>
    <w:link w:val="10"/>
    <w:semiHidden/>
    <w:unhideWhenUsed/>
    <w:qFormat/>
    <w:uiPriority w:val="99"/>
    <w:rPr>
      <w:sz w:val="20"/>
      <w:szCs w:val="20"/>
    </w:rPr>
  </w:style>
  <w:style w:type="paragraph" w:customStyle="1" w:styleId="27">
    <w:name w:val="LetPub_1.5_AbstractHead"/>
    <w:basedOn w:val="28"/>
    <w:next w:val="29"/>
    <w:qFormat/>
    <w:uiPriority w:val="0"/>
    <w:pPr>
      <w:widowControl w:val="0"/>
      <w:spacing w:beforeLines="100" w:afterLines="100"/>
    </w:pPr>
    <w:rPr>
      <w:rFonts w:eastAsiaTheme="minorEastAsia"/>
    </w:rPr>
  </w:style>
  <w:style w:type="paragraph" w:customStyle="1" w:styleId="28">
    <w:name w:val="LetPub_2.1_Heading1"/>
    <w:basedOn w:val="2"/>
    <w:next w:val="5"/>
    <w:qFormat/>
    <w:uiPriority w:val="0"/>
    <w:pPr>
      <w:spacing w:before="100" w:after="100"/>
    </w:pPr>
  </w:style>
  <w:style w:type="paragraph" w:customStyle="1" w:styleId="29">
    <w:name w:val="LetPub_1.6_AbstractText"/>
    <w:basedOn w:val="3"/>
    <w:next w:val="3"/>
    <w:qFormat/>
    <w:uiPriority w:val="0"/>
  </w:style>
  <w:style w:type="paragraph" w:customStyle="1" w:styleId="30">
    <w:name w:val="LetPub_1.1_ArticleTitle"/>
    <w:basedOn w:val="3"/>
    <w:next w:val="3"/>
    <w:qFormat/>
    <w:uiPriority w:val="0"/>
    <w:pPr>
      <w:spacing w:before="326" w:after="326"/>
      <w:outlineLvl w:val="0"/>
    </w:pPr>
    <w:rPr>
      <w:rFonts w:eastAsiaTheme="minorEastAsia"/>
      <w:b/>
    </w:rPr>
  </w:style>
  <w:style w:type="paragraph" w:customStyle="1" w:styleId="31">
    <w:name w:val="LetPub_1.2_Author"/>
    <w:basedOn w:val="3"/>
    <w:next w:val="3"/>
    <w:qFormat/>
    <w:uiPriority w:val="0"/>
  </w:style>
  <w:style w:type="paragraph" w:customStyle="1" w:styleId="32">
    <w:name w:val="LetPub_1.3_Affiliation"/>
    <w:basedOn w:val="3"/>
    <w:next w:val="3"/>
    <w:qFormat/>
    <w:uiPriority w:val="0"/>
    <w:rPr>
      <w:i/>
    </w:rPr>
  </w:style>
  <w:style w:type="paragraph" w:customStyle="1" w:styleId="33">
    <w:name w:val="LetPub_1.4_Correspondence"/>
    <w:basedOn w:val="3"/>
    <w:next w:val="3"/>
    <w:link w:val="35"/>
    <w:qFormat/>
    <w:uiPriority w:val="0"/>
    <w:rPr>
      <w:rFonts w:eastAsiaTheme="minorEastAsia"/>
    </w:rPr>
  </w:style>
  <w:style w:type="paragraph" w:customStyle="1" w:styleId="34">
    <w:name w:val="LetPub_1.4.1_E-mail"/>
    <w:basedOn w:val="33"/>
    <w:qFormat/>
    <w:uiPriority w:val="0"/>
    <w:pPr>
      <w:ind w:firstLine="213"/>
    </w:pPr>
  </w:style>
  <w:style w:type="character" w:customStyle="1" w:styleId="35">
    <w:name w:val="LetPub_1.4_Correspondence Char"/>
    <w:basedOn w:val="36"/>
    <w:link w:val="33"/>
    <w:qFormat/>
    <w:uiPriority w:val="0"/>
    <w:rPr>
      <w:rFonts w:ascii="Times New Roman" w:hAnsi="Times New Roman" w:cs="Times New Roman" w:eastAsiaTheme="minorEastAsia"/>
      <w:sz w:val="24"/>
      <w:szCs w:val="24"/>
      <w:lang w:val="en-US" w:eastAsia="zh-CN" w:bidi="ar-SA"/>
    </w:rPr>
  </w:style>
  <w:style w:type="character" w:customStyle="1" w:styleId="36">
    <w:name w:val="LetPub_3.1_Text Char"/>
    <w:basedOn w:val="17"/>
    <w:link w:val="3"/>
    <w:qFormat/>
    <w:uiPriority w:val="0"/>
    <w:rPr>
      <w:rFonts w:ascii="Times New Roman" w:hAnsi="Times New Roman" w:eastAsia="Times New Roman" w:cs="Times New Roman"/>
      <w:sz w:val="24"/>
      <w:szCs w:val="24"/>
      <w:lang w:val="en-US" w:eastAsia="zh-CN" w:bidi="ar-SA"/>
    </w:rPr>
  </w:style>
  <w:style w:type="paragraph" w:customStyle="1" w:styleId="37">
    <w:name w:val="LetPub_7.1_References"/>
    <w:basedOn w:val="28"/>
    <w:next w:val="38"/>
    <w:qFormat/>
    <w:uiPriority w:val="0"/>
  </w:style>
  <w:style w:type="paragraph" w:customStyle="1" w:styleId="38">
    <w:name w:val="LetPub_7.2_ReferenceList"/>
    <w:basedOn w:val="3"/>
    <w:qFormat/>
    <w:uiPriority w:val="0"/>
    <w:pPr>
      <w:widowControl w:val="0"/>
      <w:ind w:left="480" w:hanging="480" w:hangingChars="200"/>
    </w:pPr>
    <w:rPr>
      <w:rFonts w:eastAsiaTheme="minorEastAsia"/>
    </w:rPr>
  </w:style>
  <w:style w:type="character" w:customStyle="1" w:styleId="39">
    <w:name w:val="font01"/>
    <w:basedOn w:val="17"/>
    <w:qFormat/>
    <w:uiPriority w:val="0"/>
    <w:rPr>
      <w:rFonts w:hint="eastAsia" w:ascii="宋体" w:hAnsi="宋体" w:eastAsia="宋体" w:cs="宋体"/>
      <w:color w:val="000000"/>
      <w:sz w:val="22"/>
      <w:szCs w:val="22"/>
      <w:u w:val="none"/>
    </w:rPr>
  </w:style>
  <w:style w:type="character" w:customStyle="1" w:styleId="40">
    <w:name w:val="font11"/>
    <w:basedOn w:val="17"/>
    <w:qFormat/>
    <w:uiPriority w:val="0"/>
    <w:rPr>
      <w:rFonts w:hint="default" w:ascii="Times New Roman" w:hAnsi="Times New Roman" w:cs="Times New Roman"/>
      <w:color w:val="000000"/>
      <w:sz w:val="22"/>
      <w:szCs w:val="22"/>
      <w:u w:val="none"/>
    </w:rPr>
  </w:style>
  <w:style w:type="character" w:customStyle="1" w:styleId="41">
    <w:name w:val="math-inline"/>
    <w:basedOn w:val="17"/>
    <w:qFormat/>
    <w:uiPriority w:val="0"/>
  </w:style>
  <w:style w:type="paragraph" w:customStyle="1" w:styleId="42">
    <w:name w:val="LetPub_4.2_FigureCaption"/>
    <w:basedOn w:val="3"/>
    <w:qFormat/>
    <w:uiPriority w:val="0"/>
    <w:pPr>
      <w:spacing w:beforeLines="100" w:afterLines="100"/>
    </w:pPr>
    <w:rPr>
      <w:rFonts w:eastAsia="宋体"/>
      <w:lang w:val="en-GB" w:eastAsia="en-GB"/>
    </w:rPr>
  </w:style>
  <w:style w:type="paragraph" w:customStyle="1" w:styleId="43">
    <w:name w:val="LetPub_5.1_TableCaptionNumber"/>
    <w:basedOn w:val="3"/>
    <w:qFormat/>
    <w:uiPriority w:val="0"/>
    <w:pPr>
      <w:spacing w:beforeLines="100"/>
    </w:pPr>
    <w:rPr>
      <w:b/>
    </w:rPr>
  </w:style>
  <w:style w:type="paragraph" w:customStyle="1" w:styleId="44">
    <w:name w:val="LetPub_2.2_Heading2"/>
    <w:basedOn w:val="4"/>
    <w:next w:val="5"/>
    <w:qFormat/>
    <w:uiPriority w:val="0"/>
    <w:pPr>
      <w:widowControl w:val="0"/>
      <w:numPr>
        <w:ilvl w:val="0"/>
        <w:numId w:val="0"/>
      </w:numPr>
      <w:spacing w:before="100" w:after="100"/>
    </w:pPr>
    <w:rPr>
      <w:i/>
    </w:rPr>
  </w:style>
  <w:style w:type="paragraph" w:customStyle="1" w:styleId="45">
    <w:name w:val="LetPub_5.1_TableCaption"/>
    <w:basedOn w:val="42"/>
    <w:qFormat/>
    <w:uiPriority w:val="0"/>
    <w:pPr>
      <w:spacing w:beforeLines="0" w:afterLines="0"/>
    </w:pPr>
  </w:style>
  <w:style w:type="paragraph" w:customStyle="1" w:styleId="46">
    <w:name w:val="LetPub_5.3_TableFootnote"/>
    <w:basedOn w:val="3"/>
    <w:qFormat/>
    <w:uiPriority w:val="0"/>
    <w:pPr>
      <w:adjustRightInd w:val="0"/>
      <w:spacing w:afterLines="100"/>
      <w:contextualSpacing w:val="0"/>
    </w:pPr>
    <w:rPr>
      <w:rFonts w:eastAsia="宋体"/>
      <w:color w:val="000000"/>
    </w:rPr>
  </w:style>
  <w:style w:type="paragraph" w:customStyle="1" w:styleId="47">
    <w:name w:val="Bibliography"/>
    <w:basedOn w:val="1"/>
    <w:qFormat/>
    <w:uiPriority w:val="0"/>
    <w:pPr>
      <w:tabs>
        <w:tab w:val="left" w:pos="384"/>
      </w:tabs>
      <w:ind w:left="384" w:hanging="384"/>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863</Words>
  <Characters>5338</Characters>
  <Lines>83</Lines>
  <Paragraphs>23</Paragraphs>
  <TotalTime>5</TotalTime>
  <ScaleCrop>false</ScaleCrop>
  <LinksUpToDate>false</LinksUpToDate>
  <CharactersWithSpaces>5934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2026-04-06T13:51:00Z</dcterms:created>
  <dc:creator>Un-named</dc:creator>
  <cp:lastModifiedBy>J</cp:lastModifiedBy>
  <dcterms:modified xsi:type="dcterms:W3CDTF">2026-07-09T06:36:19Z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eyJoZGlkIjoiMmU5NGJiMThhMjkxOGJmZTQ3ZGM1ODVkMTIxNTA0ZTIiLCJ1c2VySWQiOiI0NzI3MzgwNTkifQ==</vt:lpwstr>
  </property>
  <property fmtid="{D5CDD505-2E9C-101B-9397-08002B2CF9AE}" pid="3" name="KSOProductBuildVer">
    <vt:lpwstr>2052-12.1.0.26895</vt:lpwstr>
  </property>
  <property fmtid="{D5CDD505-2E9C-101B-9397-08002B2CF9AE}" pid="4" name="ICV">
    <vt:lpwstr>0BC014A7E1A4408B9D42ADEA7316EEBA_13</vt:lpwstr>
  </property>
  <property fmtid="{D5CDD505-2E9C-101B-9397-08002B2CF9AE}" pid="5" name="ZOTERO_PREF_1">
    <vt:lpwstr>&lt;data data-version="3" zotero-version="9.0.5"&gt;&lt;session id="plplh4hC"/&gt;&lt;style id="http://www.zotero.org/styles/european-journal-of-soil-biology" hasBibliography="1" bibliographyStyleHasBeenSet="1"/&gt;&lt;prefs&gt;&lt;pref name="fieldType" value="Field"/&gt;&lt;/prefs&gt;&lt;/dat</vt:lpwstr>
  </property>
  <property fmtid="{D5CDD505-2E9C-101B-9397-08002B2CF9AE}" pid="6" name="ZOTERO_PREF_2">
    <vt:lpwstr>a&gt;</vt:lpwstr>
  </property>
</Properties>
</file>