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a="http://schemas.openxmlformats.org/drawingml/2006/main" xmlns:mc="http://schemas.openxmlformats.org/markup-compatibility/2006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mc:Ignorable="w14 wp14">
  <w:body>
    <w:p>
      <w:pPr>
        <w:pStyle w:val="Title"/>
        <w:jc w:val="center"/>
      </w:pPr>
      <w:r>
        <w:t>Supplementary Materials</w:t>
      </w:r>
    </w:p>
    <w:p>
      <w:pPr>
        <w:pStyle w:val="Heading1"/>
      </w:pPr>
      <w:r>
        <w:t>Development and External Validation of a Transparent Regression-Based In-Hospital Mortality Prediction Model for Critically Ill Patients With Liver Cancer Using MIMIC-IV and eICU-CRD</w:t>
      </w:r>
    </w:p>
    <w:p>
      <w:pPr>
        <w:pStyle w:val="Heading1"/>
      </w:pPr>
      <w:r>
        <w:t>Supplementary Table S1: ICD Code List and Cohort Definition</w:t>
      </w:r>
    </w:p>
    <w:p>
      <w:pPr>
        <w:pStyle w:val="Heading2"/>
      </w:pPr>
      <w:r>
        <w:t>Primary liver cancer (main analysis)</w:t>
      </w:r>
    </w:p>
    <w:tbl>
      <w:tblPr>
        <w:tblStyle w:val="TableGrid"/>
        <w:tblW w:type="dxa" w:w="14256"/>
        <w:jc w:val="center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Category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ICD-9-CM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ICD-10-CM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Included in</w:t>
            </w:r>
          </w:p>
        </w:tc>
        <w:trPr>
          <w:tblHeader/>
        </w:trPr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Hepatocellular carcinoma (HCC)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155.0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C22.0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Main analysis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Intrahepatic cholangiocarcinoma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155.1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C22.1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Main analysis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Liver malignancy NOS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155.2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C22.7, C22.8, C22.9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Main analysis</w:t>
            </w:r>
          </w:p>
        </w:tc>
      </w:tr>
    </w:tbl>
    <w:p>
      <w:pPr>
        <w:spacing w:after="40"/>
      </w:pPr>
    </w:p>
    <w:p>
      <w:pPr>
        <w:pStyle w:val="Heading2"/>
      </w:pPr>
      <w:r>
        <w:t>Liver metastasis (sensitivity analysis only)</w:t>
      </w:r>
    </w:p>
    <w:tbl>
      <w:tblPr>
        <w:tblStyle w:val="TableGrid"/>
        <w:tblW w:type="dxa" w:w="14256"/>
        <w:jc w:val="center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Category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ICD-9-CM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ICD-10-CM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Included in</w:t>
            </w:r>
          </w:p>
        </w:tc>
        <w:trPr>
          <w:tblHeader/>
        </w:trPr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Secondary malignant neoplasm of liver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197.7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C78.7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SA only</w:t>
            </w:r>
          </w:p>
        </w:tc>
      </w:tr>
    </w:tbl>
    <w:p>
      <w:pPr>
        <w:spacing w:after="40"/>
      </w:pPr>
    </w:p>
    <w:p>
      <w:pPr>
        <w:pStyle w:val="Heading2"/>
      </w:pPr>
      <w:r>
        <w:t>Exclusion</w:t>
      </w:r>
    </w:p>
    <w:tbl>
      <w:tblPr>
        <w:tblStyle w:val="TableGrid"/>
        <w:tblW w:type="dxa" w:w="14256"/>
        <w:jc w:val="center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Category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ICD-9-CM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ICD-10-CM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Action</w:t>
            </w:r>
          </w:p>
        </w:tc>
        <w:trPr>
          <w:tblHeader/>
        </w:trPr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Personal history of liver cancer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V10.07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Z85.05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Exclude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sz w:val="18"/>
        </w:rPr>
        <w:t>For eICU-CRD, the primary validation cohort used primary ICD coding plus active primary diagnosis-text evidence for current primary liver cancer; secondary-only and past-history-only liver-malignancy evidence was excluded from the primary validation cohort. Detailed eICU text-phenotype handling and diagnosis-derived variable rules are provided in Supplementary Table S8.</w:t>
      </w:r>
    </w:p>
    <w:p>
      <w:pPr>
        <w:pStyle w:val="Heading1"/>
      </w:pPr>
      <w:r>
        <w:t>Supplementary Table S2: Variable Definition and Database Mapping</w:t>
      </w:r>
    </w:p>
    <w:tbl>
      <w:tblPr>
        <w:tblStyle w:val="TableGrid"/>
        <w:tblW w:type="dxa" w:w="14256"/>
        <w:jc w:val="center"/>
        <w:tblLook w:firstColumn="1" w:firstRow="1" w:lastColumn="0" w:lastRow="0" w:noHBand="0" w:noVBand="1" w:val="04A0"/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/>
                <w:sz w:val="14"/>
              </w:rPr>
              <w:t>Variable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/>
                <w:sz w:val="14"/>
              </w:rPr>
              <w:t>Definition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/>
                <w:sz w:val="14"/>
              </w:rPr>
              <w:t>Time window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/>
                <w:sz w:val="14"/>
              </w:rPr>
              <w:t>Aggregation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/>
                <w:sz w:val="14"/>
              </w:rPr>
              <w:t>MIMIC-IV source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/>
                <w:sz w:val="14"/>
              </w:rPr>
              <w:t>eICU-CRD source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/>
                <w:sz w:val="14"/>
              </w:rPr>
              <w:t>Missing handling</w:t>
            </w:r>
          </w:p>
        </w:tc>
        <w:trPr>
          <w:tblHeader/>
        </w:trPr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age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Age at ICU admission (years)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T₀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—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patients.anchor_age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patient.age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Required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sex_male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Male sex (1 = male, 0 = female)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T₀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derived from patients.gender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derived from patient.gender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Required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heart_rate_mean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Heart rate (beats/min)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chartevents (220045)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vitalPeriodic.heartrate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sbp_mean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Systolic blood pressure (mmHg)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chartevents (220179, 220050)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vitalPeriodic.systemicsystolic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map_mean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Mean arterial pressure (mmHg)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chartevents (220052, 220181)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vitalPeriodic.systemicmean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respiratory_rate_mean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Respiratory rate (breaths/min)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chartevents (220210, 224690)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vitalPeriodic.respiration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spo2_min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Oxygen saturation (%)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chartevents (220277)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vitalPeriodic.sao2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temperature_max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Body temperature (degrees C)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chartevents (223761, 223762)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vitalPeriodic.temperature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gcs_min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Glasgow Coma Scale (points)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derived total GCS from chartevents itemids 220739, 223901, and 223900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derived total GCS from apacheApsVar eyes + motor + verbal components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bun_max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Blood urea nitrogen (mg/dL)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(51006, 52647)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(BUN)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creatinine_max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Serum creatinine (mg/dL)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(50912, 52546)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(creatinine)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bilirubin_max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Total bilirubin (mg/dL)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(50885, 52542)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(total bilirubin)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albumin_min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Serum albumin (g/dL)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(50862, 52454)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(albumin)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Excluded from primary model (&gt;30% missing in at least one database); exploratory SA9 only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inr_max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International normalized ratio (unitless)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(51237, 52740)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(PT - INR)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Excluded from primary model (&gt;30% missing in at least one database); exploratory SA9 only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lactate_max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Blood lactate (mmol/L)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(50813, 52442)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(lactate)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Excluded from primary model (&gt;30% missing in at least one database); exploratory SA9 only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platelet_min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Platelet count (10^3/uL)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(51265)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(platelets x 1000)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hemoglobin_min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Hemoglobin (g/dL)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(51222, 50811)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(Hgb)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bicarbonate_min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Serum bicarbonate (mmol/L)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(50882)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(bicarbonate)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sodium_mean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Serum sodium (mmol/L)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(50983, 52623)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(sodium)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potassium_mean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Serum potassium (mmol/L)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mean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(50971, 52610)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(potassium)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wbc_max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White blood cell count (10^3/uL)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max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labevents (51301, 52769)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lab (WBC x 1000)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MICE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vasopressor_use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Any vasopressor use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inputevents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infusionDrug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 if absent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mechanical_ventilation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Invasive MV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procedureevents / chartevents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treatment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 if absent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crrt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Continuous RRT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0-24h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procedureevents (225802, 225803)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treatment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 if absent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sepsis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Diagnosis-derived sepsis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During admission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Secondary phenotype-enriched SA7 only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aki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Diagnosis-derived acute kidney injury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During admission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Secondary phenotype-enriched SA7 only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hepatic_encephalopathy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Hepatic encephalopathy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During admission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Secondary phenotype-enriched SA7 only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gi_bleeding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GI bleeding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During admission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Secondary phenotype-enriched SA7 only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cirrhosis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Cirrhosis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/ diagnosis-derived phenotype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 if absent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diabetes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Diabetes mellitus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/ diagnosis-derived phenotype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 if absent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ckd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Chronic kidney disease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/ diagnosis-derived phenotype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diagnosis-derived code/text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 if absent</w:t>
            </w:r>
          </w:p>
        </w:tc>
      </w:tr>
      <w:tr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metastatic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Extrahepatic metastatic disease (1 = present, 0 = absent)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/ diagnosis-derived oncologic phenotype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binary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extrahepatic metastatic disease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Baseline extrahepatic metastatic disease rule; see Supplementary Table S8</w:t>
            </w:r>
          </w:p>
        </w:tc>
        <w:tc>
          <w:tcPr>
            <w:tcW w:type="dxa" w:w="203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4"/>
              </w:rPr>
            </w:r>
            <w:r>
              <w:rPr>
                <w:rFonts w:ascii="Times New Roman" w:hAnsi="Times New Roman"/>
                <w:b w:val="0"/>
                <w:sz w:val="14"/>
              </w:rPr>
              <w:t>0 if absent</w:t>
            </w:r>
          </w:p>
        </w:tc>
      </w:tr>
    </w:tbl>
    <w:p>
      <w:pPr>
        <w:spacing w:after="40"/>
      </w:pPr>
    </w:p>
    <w:p>
      <w:pPr>
        <w:pStyle w:val="Heading1"/>
      </w:pPr>
      <w:r>
        <w:t>Supplementary Table S3: Missingness Table</w:t>
      </w:r>
    </w:p>
    <w:tbl>
      <w:tblPr>
        <w:tblStyle w:val="TableGrid"/>
        <w:tblW w:type="dxa" w:w="14256"/>
        <w:jc w:val="center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Variable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MIMIC-IV N (%) missing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eICU-CRD N (%) missing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Excluded</w:t>
            </w:r>
          </w:p>
        </w:tc>
        <w:trPr>
          <w:tblHeader/>
        </w:trPr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age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sex_male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heart_rate_mean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 (0.3%)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sbp_mean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4 (0.5%)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map_mean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4 (0.5%)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respiratory_rate_mean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 (0.4%)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8 (8.9%)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spo2_min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 (0.3%)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temperature_max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23 (3%)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 (3.3%)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gcs_min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 (0.3%)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4 (4.4%)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bun_max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 (0.8%)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 (3.3%)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creatinine_max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 (0.8%)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 (3.3%)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bilirubin_max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107 (13.9%)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26 (28.9%)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albumin_min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309 (40.1%)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27 (30%)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inr_max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48 (6.2%)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32 (35.6%)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lactate_max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207 (26.9%)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52 (57.8%)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platelet_min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 (0.8%)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4 (4.4%)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hemoglobin_min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 (0.6%)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 (3.3%)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bicarbonate_min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 (0.8%)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4 (4.4%)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sodium_mean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 (0.6%)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 (3.3%)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potassium_mean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 (0.6%)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 (3.3%)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wbc_max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 (0.8%)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 (3.3%)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vasopressor_use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mechanical_ventilation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crrt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sepsis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aki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hepatic_encephalopathy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gi_bleeding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cirrhosis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diabetes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ckd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metastatic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in_hospital_death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 (0%)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</w:r>
          </w:p>
        </w:tc>
      </w:tr>
    </w:tbl>
    <w:p>
      <w:pPr>
        <w:spacing w:after="40"/>
      </w:pPr>
    </w:p>
    <w:p>
      <w:pPr>
        <w:spacing w:after="100"/>
      </w:pPr>
      <w:r>
        <w:t>Variables with &gt;30% missingness in either database were excluded from the primary candidate set.</w:t>
      </w:r>
    </w:p>
    <w:p>
      <w:pPr>
        <w:pStyle w:val="Heading1"/>
      </w:pPr>
      <w:r>
        <w:t>Supplementary Table S4: Bootstrap Stability Results</w:t>
      </w:r>
    </w:p>
    <w:tbl>
      <w:tblPr>
        <w:tblStyle w:val="TableGrid"/>
        <w:tblW w:type="dxa" w:w="14256"/>
        <w:jc w:val="center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Variable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Selection frequency (%)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In final model</w:t>
            </w:r>
          </w:p>
        </w:tc>
        <w:trPr>
          <w:tblHeader/>
        </w:trPr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map_mean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100.0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creatinine_max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100.0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bilirubin_max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100.0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metastatic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100.0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respiratory_rate_mean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97.0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gcs_min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96.0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heart_rate_mean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92.5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spo2_min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91.0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temperature_max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90.0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potassium_mean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89.0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bicarbonate_min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73.0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age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66.0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Yes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vasopressor_use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25.5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No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crrt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18.0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No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hemoglobin_min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16.5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No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wbc_max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15.5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No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sodium_mean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14.0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No</w:t>
            </w:r>
          </w:p>
        </w:tc>
      </w:tr>
    </w:tbl>
    <w:p>
      <w:pPr>
        <w:spacing w:after="40"/>
      </w:pPr>
    </w:p>
    <w:p>
      <w:pPr>
        <w:spacing w:after="100"/>
      </w:pPr>
      <w:r>
        <w:t>Bootstrap LASSO stability analysis was based on 200 bootstrap resamples with lambda.1se selection. Variables with &gt;60% selection frequency that were also retained by LASSO lambda.1se were included in the final model, subject to EPV &gt;= 10 constraint (127 events / 12 predictors = 10.6 EPV).</w:t>
      </w:r>
    </w:p>
    <w:p>
      <w:pPr>
        <w:pStyle w:val="Heading1"/>
      </w:pPr>
      <w:r>
        <w:t>Supplementary Table S5: Complete-Case Analysis Results</w:t>
      </w:r>
    </w:p>
    <w:tbl>
      <w:tblPr>
        <w:tblStyle w:val="TableGrid"/>
        <w:tblW w:type="dxa" w:w="14256"/>
        <w:jc w:val="center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Metric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Multiple imputation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Complete-case</w:t>
            </w:r>
          </w:p>
        </w:tc>
        <w:trPr>
          <w:tblHeader/>
        </w:trPr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MIMIC-IV 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770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639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MIMIC-IV events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127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113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MIMIC-IV AUROC (95% CI)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0.874 (0.842–0.907)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0.865 (0.829–0.901)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eICU-CRD N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90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56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eICU-CRD events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12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</w:t>
            </w:r>
          </w:p>
        </w:tc>
      </w:tr>
      <w:tr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eICU-CRD AUROC (95% CI)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0.707 (0.517–0.898)</w:t>
            </w:r>
          </w:p>
        </w:tc>
        <w:tc>
          <w:tcPr>
            <w:tcW w:type="dxa" w:w="47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0.671 (0.331–1.000)</w:t>
            </w:r>
          </w:p>
        </w:tc>
      </w:tr>
    </w:tbl>
    <w:p>
      <w:pPr>
        <w:spacing w:after="40"/>
      </w:pPr>
    </w:p>
    <w:p>
      <w:pPr>
        <w:pStyle w:val="Heading1"/>
      </w:pPr>
      <w:r>
        <w:t>Supplementary Table S6: Subgroup Analysis Results</w:t>
      </w:r>
    </w:p>
    <w:tbl>
      <w:tblPr>
        <w:tblStyle w:val="TableGrid"/>
        <w:tblW w:type="dxa" w:w="14256"/>
        <w:jc w:val="center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Subgroup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N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Events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AUROC (95% CI)</w:t>
            </w:r>
          </w:p>
        </w:tc>
        <w:trPr>
          <w:tblHeader/>
        </w:trPr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Age &lt;65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438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54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0.871 (0.821–0.921)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Age ≥65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332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73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0.866 (0.821–0.911)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Male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568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90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0.857 (0.815–0.898)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Female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202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37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0.917 (0.874–0.961)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Cirrhosis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388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67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0.886 (0.848–0.924)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No cirrhosis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382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60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0.864 (0.811–0.918)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Metastatic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136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46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0.798 (0.712–0.885)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No metastatic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634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81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0.877 (0.838–0.916)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MV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387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69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0.892 (0.851–0.932)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No MV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383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58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0.855 (0.805–0.904)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Vasopressor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244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56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0.864 (0.808–0.920)</w:t>
            </w:r>
          </w:p>
        </w:tc>
      </w:tr>
      <w:tr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No vasopressor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526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71</w:t>
            </w:r>
          </w:p>
        </w:tc>
        <w:tc>
          <w:tcPr>
            <w:tcW w:type="dxa" w:w="35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0.873 (0.831–0.915)</w:t>
            </w:r>
          </w:p>
        </w:tc>
      </w:tr>
    </w:tbl>
    <w:p>
      <w:pPr>
        <w:spacing w:after="40"/>
      </w:pPr>
    </w:p>
    <w:p>
      <w:pPr>
        <w:spacing w:after="100"/>
      </w:pPr>
      <w:r>
        <w:t>All subgroup AUROCs were computed in the MIMIC-IV derivation cohort using the final model coefficients.</w:t>
      </w:r>
    </w:p>
    <w:p>
      <w:pPr>
        <w:pStyle w:val="Heading1"/>
      </w:pPr>
      <w:r>
        <w:t>Supplementary Table S7: Exploratory High-Missingness Marker Model Coefficients</w:t>
      </w:r>
    </w:p>
    <w:p>
      <w:pPr>
        <w:spacing w:after="100"/>
      </w:pPr>
      <w:r>
        <w:t>This exploratory model added albumin, INR, and lactate to the primary predictor set despite high missingness in at least one database. Supplementary Table S7 summarizes these additional-marker effects only; the model was exploratory and was not used to replace the primary model.</w:t>
      </w:r>
    </w:p>
    <w:tbl>
      <w:tblPr>
        <w:tblStyle w:val="TableGrid"/>
        <w:tblW w:type="dxa" w:w="14256"/>
        <w:jc w:val="center"/>
        <w:tblLook w:firstColumn="1" w:firstRow="1" w:lastColumn="0" w:lastRow="0" w:noHBand="0" w:noVBand="1" w:val="04A0"/>
      </w:tblPr>
      <w:tblGrid>
        <w:gridCol w:w="2851"/>
        <w:gridCol w:w="2851"/>
        <w:gridCol w:w="2851"/>
        <w:gridCol w:w="2851"/>
        <w:gridCol w:w="2851"/>
      </w:tblGrid>
      <w:tr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Marker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Coefficient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SE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OR (95% CI)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DEDED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p-value</w:t>
            </w:r>
          </w:p>
        </w:tc>
        <w:trPr>
          <w:tblHeader/>
        </w:trPr>
      </w:tr>
      <w:tr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Albumin (min)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0.346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0.272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1.41 (0.82-2.42)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0.206</w:t>
            </w:r>
          </w:p>
        </w:tc>
      </w:tr>
      <w:tr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INR (max)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0.477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0.184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1.61 (1.12-2.31)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0.010</w:t>
            </w:r>
          </w:p>
        </w:tc>
      </w:tr>
      <w:tr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Lactate (max)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0.096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0.048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1.10 (1.00-1.21)</w:t>
            </w:r>
          </w:p>
        </w:tc>
        <w:tc>
          <w:tcPr>
            <w:tcW w:type="dxa" w:w="285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 w:val="0"/>
                <w:sz w:val="15"/>
              </w:rPr>
              <w:t>0.049</w:t>
            </w:r>
          </w:p>
        </w:tc>
      </w:tr>
    </w:tbl>
    <w:p>
      <w:pPr>
        <w:spacing w:after="40"/>
      </w:pPr>
    </w:p>
    <w:p>
      <w:pPr>
        <w:spacing w:after="100"/>
      </w:pPr>
      <w:r>
        <w:t>Full exploratory-model coefficients are provided in manuscript/tables/TableS_high_missingness_marker_model_coefficients.csv.</w:t>
      </w:r>
    </w:p>
    <w:p>
      <w:pPr>
        <w:pStyle w:val="Heading1"/>
      </w:pPr>
      <w:r>
        <w:t>Supplementary Table S8: Diagnosis-derived variable definitions and eICU text phenotype rules</w:t>
      </w:r>
    </w:p>
    <w:p>
      <w:pPr>
        <w:spacing w:after="80"/>
      </w:pPr>
      <w:r>
        <w:t>Diagnosis-derived variables were used as baseline phenotype descriptors, primary-model phenotype predictors where specified, or secondary phenotype-enriched sensitivity variables. Metastatic disease was modeled as a diagnosis-derived baseline oncologic phenotype feature rather than a first-24-hour physiologic/laboratory measurement. Secondary liver malignancy / liver-metastasis evidence was not counted as extrahepatic metastatic disease in the primary model.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564"/>
        <w:gridCol w:w="3564"/>
        <w:gridCol w:w="3564"/>
        <w:gridCol w:w="3564"/>
      </w:tblGrid>
      <w:tr>
        <w:tc>
          <w:tcPr>
            <w:tcW w:type="dxa" w:w="1250"/>
            <w:vAlign w:val="top"/>
          </w:tcPr>
          <w:p>
            <w:pPr>
              <w:spacing w:after="0" w:line="240" w:lineRule="auto"/>
            </w:pPr>
            <w:r>
              <w:rPr>
                <w:b/>
                <w:sz w:val="15"/>
              </w:rPr>
              <w:t>Variable</w:t>
            </w:r>
          </w:p>
        </w:tc>
        <w:tc>
          <w:tcPr>
            <w:tcW w:type="dxa" w:w="2050"/>
            <w:vAlign w:val="top"/>
          </w:tcPr>
          <w:p>
            <w:pPr>
              <w:spacing w:after="0" w:line="240" w:lineRule="auto"/>
            </w:pPr>
            <w:r>
              <w:rPr>
                <w:b/>
                <w:sz w:val="15"/>
              </w:rPr>
              <w:t>MIMIC-IV code/text rule</w:t>
            </w:r>
          </w:p>
        </w:tc>
        <w:tc>
          <w:tcPr>
            <w:tcW w:type="dxa" w:w="2500"/>
            <w:vAlign w:val="top"/>
          </w:tcPr>
          <w:p>
            <w:pPr>
              <w:spacing w:after="0" w:line="240" w:lineRule="auto"/>
            </w:pPr>
            <w:r>
              <w:rPr>
                <w:b/>
                <w:sz w:val="15"/>
              </w:rPr>
              <w:t>eICU-CRD code/text rule</w:t>
            </w:r>
          </w:p>
        </w:tc>
        <w:tc>
          <w:tcPr>
            <w:tcW w:type="dxa" w:w="1750"/>
            <w:vAlign w:val="top"/>
          </w:tcPr>
          <w:p>
            <w:pPr>
              <w:spacing w:after="0" w:line="240" w:lineRule="auto"/>
            </w:pPr>
            <w:r>
              <w:rPr>
                <w:b/>
                <w:sz w:val="15"/>
              </w:rPr>
              <w:t>Use in analysis</w:t>
            </w:r>
          </w:p>
        </w:tc>
        <w:trPr>
          <w:tblHeader/>
        </w:trPr>
      </w:tr>
      <w:tr>
        <w:tc>
          <w:tcPr>
            <w:tcW w:type="dxa" w:w="1250"/>
            <w:vAlign w:val="top"/>
          </w:tcPr>
          <w:p>
            <w:r>
              <w:t>primary_liver_cancer_phenotype</w:t>
            </w:r>
          </w:p>
        </w:tc>
        <w:tc>
          <w:tcPr>
            <w:tcW w:type="dxa" w:w="2050"/>
            <w:vAlign w:val="top"/>
          </w:tcPr>
          <w:p>
            <w:r>
              <w:t>ICD-9 155.x or ICD-10 C22.x liver cancer diagnosis codes.</w:t>
            </w:r>
          </w:p>
        </w:tc>
        <w:tc>
          <w:tcPr>
            <w:tcW w:type="dxa" w:w="2500"/>
            <w:vAlign w:val="top"/>
          </w:tcPr>
          <w:p>
            <w:r>
              <w:t>Primary ICD tokens 155.x/C22.x, or active primary diagnosis text containing liver cancer, hepatocellular, hepatoma, liver cell carcinoma, intrahepatic cholangiocarcinoma, or hepatic carcinoma. Secondary-only and past-history-only evidence is excluded from primary validation.</w:t>
            </w:r>
          </w:p>
        </w:tc>
        <w:tc>
          <w:tcPr>
            <w:tcW w:type="dxa" w:w="1750"/>
            <w:vAlign w:val="top"/>
          </w:tcPr>
          <w:p>
            <w:r>
              <w:t>Cohort definition; eICU text-only primary evidence is allowed in the primary validation cohort.</w:t>
            </w:r>
          </w:p>
        </w:tc>
      </w:tr>
      <w:tr>
        <w:tc>
          <w:tcPr>
            <w:tcW w:type="dxa" w:w="1250"/>
            <w:vAlign w:val="top"/>
          </w:tcPr>
          <w:p>
            <w:r>
              <w:t>secondary_liver_malignancy_or_liver_metastasis_phenotype</w:t>
            </w:r>
          </w:p>
        </w:tc>
        <w:tc>
          <w:tcPr>
            <w:tcW w:type="dxa" w:w="2050"/>
            <w:vAlign w:val="top"/>
          </w:tcPr>
          <w:p>
            <w:r>
              <w:t>ICD-9 197.7 or ICD-10 C78.7 identifies secondary liver malignancy / liver metastasis evidence for phenotype sensitivity only.</w:t>
            </w:r>
          </w:p>
        </w:tc>
        <w:tc>
          <w:tcPr>
            <w:tcW w:type="dxa" w:w="2500"/>
            <w:vAlign w:val="top"/>
          </w:tcPr>
          <w:p>
            <w:r>
              <w:t>ICD tokens 197.7/C78.7, or secondary-like text including malignant neoplasm of liver, liver/hepatic metastasis, metastasis to liver, secondary liver, or mets to liver. Used for broad phenotype sensitivity only unless concurrent primary evidence is present.</w:t>
            </w:r>
          </w:p>
        </w:tc>
        <w:tc>
          <w:tcPr>
            <w:tcW w:type="dxa" w:w="1750"/>
            <w:vAlign w:val="top"/>
          </w:tcPr>
          <w:p>
            <w:r>
              <w:t>SA0 broad phenotype sensitivity; not counted as extrahepatic metastatic disease in the primary model.</w:t>
            </w:r>
          </w:p>
        </w:tc>
      </w:tr>
      <w:tr>
        <w:tc>
          <w:tcPr>
            <w:tcW w:type="dxa" w:w="1250"/>
            <w:vAlign w:val="top"/>
          </w:tcPr>
          <w:p>
            <w:r>
              <w:t>metastatic</w:t>
            </w:r>
          </w:p>
        </w:tc>
        <w:tc>
          <w:tcPr>
            <w:tcW w:type="dxa" w:w="2050"/>
            <w:vAlign w:val="top"/>
          </w:tcPr>
          <w:p>
            <w:r>
              <w:t>Hospital-admission diagnosis codes keyed by hadm_id: ICD-9 196.x, 197.x except 197.7, 198.x, or 199.x; ICD-10 C77.x, C78.x except C78.7, or C79.x. Secondary liver malignancy / liver metastasis codes are excluded from this predictor.</w:t>
            </w:r>
          </w:p>
        </w:tc>
        <w:tc>
          <w:tcPr>
            <w:tcW w:type="dxa" w:w="2500"/>
            <w:vAlign w:val="top"/>
          </w:tcPr>
          <w:p>
            <w:r>
              <w:t>Diagnosis and pastHistory fields: ICD-9 196.x, 197.x except 197.7, 198.x, or 199.x; ICD-10 C77.x, C78.x except C78.7, or C79.x; metastatic text excluding liver-metastasis-only and secondary-liver phrases.</w:t>
            </w:r>
          </w:p>
        </w:tc>
        <w:tc>
          <w:tcPr>
            <w:tcW w:type="dxa" w:w="1750"/>
            <w:vAlign w:val="top"/>
          </w:tcPr>
          <w:p>
            <w:r>
              <w:t>Primary model diagnosis-derived baseline oncologic phenotype predictor; not treated as a first-24-hour physiologic/laboratory measurement.</w:t>
            </w:r>
          </w:p>
        </w:tc>
      </w:tr>
      <w:tr>
        <w:tc>
          <w:tcPr>
            <w:tcW w:type="dxa" w:w="1250"/>
            <w:vAlign w:val="top"/>
          </w:tcPr>
          <w:p>
            <w:r>
              <w:t>cirrhosis</w:t>
            </w:r>
          </w:p>
        </w:tc>
        <w:tc>
          <w:tcPr>
            <w:tcW w:type="dxa" w:w="2050"/>
            <w:vAlign w:val="top"/>
          </w:tcPr>
          <w:p>
            <w:r>
              <w:t>ICD-9 571.2, 571.5, or 571.6; ICD-10 K74.x or K70.3.</w:t>
            </w:r>
          </w:p>
        </w:tc>
        <w:tc>
          <w:tcPr>
            <w:tcW w:type="dxa" w:w="2500"/>
            <w:vAlign w:val="top"/>
          </w:tcPr>
          <w:p>
            <w:r>
              <w:t>ICD-9 571.2, 571.5, or 571.6; ICD-10 K74.x or K70.3; diagnosis or past-history text containing cirrhosis.</w:t>
            </w:r>
          </w:p>
        </w:tc>
        <w:tc>
          <w:tcPr>
            <w:tcW w:type="dxa" w:w="1750"/>
            <w:vAlign w:val="top"/>
          </w:tcPr>
          <w:p>
            <w:r>
              <w:t>Descriptive Table 1 and candidate baseline phenotype variable.</w:t>
            </w:r>
          </w:p>
        </w:tc>
      </w:tr>
      <w:tr>
        <w:tc>
          <w:tcPr>
            <w:tcW w:type="dxa" w:w="1250"/>
            <w:vAlign w:val="top"/>
          </w:tcPr>
          <w:p>
            <w:r>
              <w:t>diabetes</w:t>
            </w:r>
          </w:p>
        </w:tc>
        <w:tc>
          <w:tcPr>
            <w:tcW w:type="dxa" w:w="2050"/>
            <w:vAlign w:val="top"/>
          </w:tcPr>
          <w:p>
            <w:r>
              <w:t>ICD-9 250.x; ICD-10 E10.x, E11.x, E13.x, or E14.x.</w:t>
            </w:r>
          </w:p>
        </w:tc>
        <w:tc>
          <w:tcPr>
            <w:tcW w:type="dxa" w:w="2500"/>
            <w:vAlign w:val="top"/>
          </w:tcPr>
          <w:p>
            <w:r>
              <w:t>ICD-9 250.x; ICD-10 E10.x, E11.x, E13.x, or E14.x; diagnosis or past-history text containing diabetes.</w:t>
            </w:r>
          </w:p>
        </w:tc>
        <w:tc>
          <w:tcPr>
            <w:tcW w:type="dxa" w:w="1750"/>
            <w:vAlign w:val="top"/>
          </w:tcPr>
          <w:p>
            <w:r>
              <w:t>Descriptive Table 1 and candidate baseline phenotype variable.</w:t>
            </w:r>
          </w:p>
        </w:tc>
      </w:tr>
      <w:tr>
        <w:tc>
          <w:tcPr>
            <w:tcW w:type="dxa" w:w="1250"/>
            <w:vAlign w:val="top"/>
          </w:tcPr>
          <w:p>
            <w:r>
              <w:t>ckd</w:t>
            </w:r>
          </w:p>
        </w:tc>
        <w:tc>
          <w:tcPr>
            <w:tcW w:type="dxa" w:w="2050"/>
            <w:vAlign w:val="top"/>
          </w:tcPr>
          <w:p>
            <w:r>
              <w:t>ICD-9 585.x; ICD-10 N18.x.</w:t>
            </w:r>
          </w:p>
        </w:tc>
        <w:tc>
          <w:tcPr>
            <w:tcW w:type="dxa" w:w="2500"/>
            <w:vAlign w:val="top"/>
          </w:tcPr>
          <w:p>
            <w:r>
              <w:t>ICD-9 585.x; ICD-10 N18.x; diagnosis/past-history text containing chronic kidney, renal insufficiency, or CKD.</w:t>
            </w:r>
          </w:p>
        </w:tc>
        <w:tc>
          <w:tcPr>
            <w:tcW w:type="dxa" w:w="1750"/>
            <w:vAlign w:val="top"/>
          </w:tcPr>
          <w:p>
            <w:r>
              <w:t>Descriptive Table 1 and candidate baseline phenotype variable.</w:t>
            </w:r>
          </w:p>
        </w:tc>
      </w:tr>
      <w:tr>
        <w:tc>
          <w:tcPr>
            <w:tcW w:type="dxa" w:w="1250"/>
            <w:vAlign w:val="top"/>
          </w:tcPr>
          <w:p>
            <w:r>
              <w:t>sepsis</w:t>
            </w:r>
          </w:p>
        </w:tc>
        <w:tc>
          <w:tcPr>
            <w:tcW w:type="dxa" w:w="2050"/>
            <w:vAlign w:val="top"/>
          </w:tcPr>
          <w:p>
            <w:r>
              <w:t>ICD-9 038.x, 99591, 99592, or 78552; ICD-10 A40.x, A41.x, R65.20, or R65.21.</w:t>
            </w:r>
          </w:p>
        </w:tc>
        <w:tc>
          <w:tcPr>
            <w:tcW w:type="dxa" w:w="2500"/>
            <w:vAlign w:val="top"/>
          </w:tcPr>
          <w:p>
            <w:r>
              <w:t>ICD-9 038.x, 995.9x, or 785.52; ICD-10 A40.x, A41.x, R65.20, or R65.21; diagnosis text containing sepsis or septic.</w:t>
            </w:r>
          </w:p>
        </w:tc>
        <w:tc>
          <w:tcPr>
            <w:tcW w:type="dxa" w:w="1750"/>
            <w:vAlign w:val="top"/>
          </w:tcPr>
          <w:p>
            <w:r>
              <w:t>Descriptive Table 1 and SA7 phenotype-enriched secondary analysis only.</w:t>
            </w:r>
          </w:p>
        </w:tc>
      </w:tr>
      <w:tr>
        <w:tc>
          <w:tcPr>
            <w:tcW w:type="dxa" w:w="1250"/>
            <w:vAlign w:val="top"/>
          </w:tcPr>
          <w:p>
            <w:r>
              <w:t>aki</w:t>
            </w:r>
          </w:p>
        </w:tc>
        <w:tc>
          <w:tcPr>
            <w:tcW w:type="dxa" w:w="2050"/>
            <w:vAlign w:val="top"/>
          </w:tcPr>
          <w:p>
            <w:r>
              <w:t>ICD-9 584.x; ICD-10 N17.x.</w:t>
            </w:r>
          </w:p>
        </w:tc>
        <w:tc>
          <w:tcPr>
            <w:tcW w:type="dxa" w:w="2500"/>
            <w:vAlign w:val="top"/>
          </w:tcPr>
          <w:p>
            <w:r>
              <w:t>ICD-9 584.x; ICD-10 N17.x; diagnosis text containing acute kidney or acute renal.</w:t>
            </w:r>
          </w:p>
        </w:tc>
        <w:tc>
          <w:tcPr>
            <w:tcW w:type="dxa" w:w="1750"/>
            <w:vAlign w:val="top"/>
          </w:tcPr>
          <w:p>
            <w:r>
              <w:t>Descriptive Table 1 and SA7 phenotype-enriched secondary analysis only.</w:t>
            </w:r>
          </w:p>
        </w:tc>
      </w:tr>
      <w:tr>
        <w:tc>
          <w:tcPr>
            <w:tcW w:type="dxa" w:w="1250"/>
            <w:vAlign w:val="top"/>
          </w:tcPr>
          <w:p>
            <w:r>
              <w:t>hepatic_encephalopathy</w:t>
            </w:r>
          </w:p>
        </w:tc>
        <w:tc>
          <w:tcPr>
            <w:tcW w:type="dxa" w:w="2050"/>
            <w:vAlign w:val="top"/>
          </w:tcPr>
          <w:p>
            <w:r>
              <w:t>ICD-9 572.2; ICD-10 K72.x.</w:t>
            </w:r>
          </w:p>
        </w:tc>
        <w:tc>
          <w:tcPr>
            <w:tcW w:type="dxa" w:w="2500"/>
            <w:vAlign w:val="top"/>
          </w:tcPr>
          <w:p>
            <w:r>
              <w:t>ICD-9 572.2; ICD-10 K72.x; diagnosis text containing hepatic encephalopathy or hepatic coma.</w:t>
            </w:r>
          </w:p>
        </w:tc>
        <w:tc>
          <w:tcPr>
            <w:tcW w:type="dxa" w:w="1750"/>
            <w:vAlign w:val="top"/>
          </w:tcPr>
          <w:p>
            <w:r>
              <w:t>Descriptive Table 1 and SA7 phenotype-enriched secondary analysis only.</w:t>
            </w:r>
          </w:p>
        </w:tc>
      </w:tr>
      <w:tr>
        <w:tc>
          <w:tcPr>
            <w:tcW w:type="dxa" w:w="1250"/>
            <w:vAlign w:val="top"/>
          </w:tcPr>
          <w:p>
            <w:r>
              <w:t>gi_bleeding</w:t>
            </w:r>
          </w:p>
        </w:tc>
        <w:tc>
          <w:tcPr>
            <w:tcW w:type="dxa" w:w="2050"/>
            <w:vAlign w:val="top"/>
          </w:tcPr>
          <w:p>
            <w:r>
              <w:t>ICD-9 578.x; ICD-10 K92.0, K92.1, or K92.2.</w:t>
            </w:r>
          </w:p>
        </w:tc>
        <w:tc>
          <w:tcPr>
            <w:tcW w:type="dxa" w:w="2500"/>
            <w:vAlign w:val="top"/>
          </w:tcPr>
          <w:p>
            <w:r>
              <w:t>ICD-9 578.x; ICD-10 K92.0, K92.1, or K92.2; diagnosis/treatment text containing gastrointestinal bleed, GI bleed, or variceal bleed.</w:t>
            </w:r>
          </w:p>
        </w:tc>
        <w:tc>
          <w:tcPr>
            <w:tcW w:type="dxa" w:w="1750"/>
            <w:vAlign w:val="top"/>
          </w:tcPr>
          <w:p>
            <w:r>
              <w:t>Descriptive Table 1 and SA7 phenotype-enriched secondary analysis only.</w:t>
            </w:r>
          </w:p>
        </w:tc>
      </w:tr>
    </w:tbl>
    <w:p>
      <w:pPr>
        <w:pStyle w:val="Heading1"/>
      </w:pPr>
      <w:r>
        <w:t>Supplementary Figures</w:t>
      </w:r>
    </w:p>
    <w:p>
      <w:pPr>
        <w:pStyle w:val="Heading2"/>
      </w:pPr>
      <w:r>
        <w:t>eFigure 1: LASSO Variable Selection Path (lambda path)</w:t>
      </w:r>
    </w:p>
    <w:p>
      <w:pPr>
        <w:jc w:val="center"/>
      </w:pPr>
      <w:r>
        <w:drawing>
          <wp:inline>
            <wp:extent cx="7863840" cy="5111496"/>
            <wp:docPr id="1" name="Picture 1" descr="Supplementary eFigure 1. LASSO variable selection path for bootstrap stability assessment." title="Supplementary eFig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igure1_LASSO_path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63840" cy="5111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t>Cross-validated deviance as a function of log(lambda). Vertical dashed lines indicate lambda.min (blue) and lambda.1se (red). The lambda.1se solution retained 12 variables.</w:t>
      </w:r>
    </w:p>
    <w:p>
      <w:pPr>
        <w:pStyle w:val="Heading2"/>
        <w:keepNext/>
        <w:keepLines/>
      </w:pPr>
      <w:r>
        <w:t>eFigure 2: Missing Data Pattern</w:t>
      </w:r>
    </w:p>
    <w:p>
      <w:pPr>
        <w:keepNext/>
        <w:keepLines/>
        <w:jc w:val="center"/>
      </w:pPr>
      <w:r>
        <w:drawing>
          <wp:inline>
            <wp:extent cx="5747657" cy="5029200"/>
            <wp:docPr id="2" name="Picture 2" descr="Supplementary eFigure 2. Missing data pattern across candidate predictors." title="Supplementary eFig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igure2_missin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7657" cy="5029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widowControl/>
        <w:spacing w:after="100"/>
      </w:pPr>
      <w:r>
        <w:t>Missing data rates for candidate predictors in both cohorts. Red dashed line indicates the 30% exclusion threshold. Three variables (albumin, INR, lactate) exceeded this threshold in at least one database.</w:t>
      </w:r>
    </w:p>
    <w:p>
      <w:pPr>
        <w:pStyle w:val="Heading2"/>
        <w:keepNext/>
        <w:keepLines/>
      </w:pPr>
      <w:r>
        <w:t>eFigure 3: Subgroup Forest Plot (AUROC by subgroup)</w:t>
      </w:r>
    </w:p>
    <w:p>
      <w:pPr>
        <w:keepNext/>
        <w:keepLines/>
        <w:jc w:val="center"/>
      </w:pPr>
      <w:r>
        <w:drawing>
          <wp:inline>
            <wp:extent cx="6035040" cy="5029200"/>
            <wp:docPr id="3" name="Picture 3" descr="Supplementary eFigure 3. Subgroup forest plot of AUROC by clinically relevant strata." title="Supplementary eFig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igure3_subgrou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5029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widowControl/>
        <w:spacing w:after="100"/>
      </w:pPr>
      <w:r>
        <w:t>Subgroup analysis of model discrimination (AUROC) across clinically relevant subgroups in the MIMIC-IV derivation cohort.</w:t>
      </w:r>
    </w:p>
    <w:sectPr>
      <w:pgSz w:w="15840" w:h="12240" w:orient="landscape"/>
      <w:pgMar w:top="864" w:right="792" w:bottom="86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415</Words>
  <Characters>3140</Characters>
  <Application>Microsoft Word</Application>
  <DocSecurity>0</DocSecurity>
  <Lines>43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Supplementary Materials</dc:title>
  <dc:subject/>
  <dc:creator/>
  <cp:keywords/>
  <dc:description/>
  <cp:lastModifiedBy/>
  <cp:revision>1</cp:revision>
  <dcterms:created xsi:type="dcterms:W3CDTF">2026-06-12T00:00:00Z</dcterms:created>
  <dcterms:modified xsi:type="dcterms:W3CDTF">2026-06-12T00:00:00Z</dcterms:modified>
  <cp:category/>
</cp:coreProperties>
</file>