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3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46"/>
        <w:gridCol w:w="8587"/>
      </w:tblGrid>
      <w:tr w:rsidR="0044539B" w:rsidRPr="00E303DF" w14:paraId="03289B09" w14:textId="77777777" w:rsidTr="007F03EC">
        <w:trPr>
          <w:trHeight w:val="411"/>
        </w:trPr>
        <w:tc>
          <w:tcPr>
            <w:tcW w:w="13633" w:type="dxa"/>
            <w:gridSpan w:val="2"/>
            <w:tcBorders>
              <w:top w:val="nil"/>
              <w:left w:val="nil"/>
              <w:right w:val="nil"/>
            </w:tcBorders>
            <w:shd w:val="clear" w:color="auto" w:fill="auto"/>
          </w:tcPr>
          <w:p w14:paraId="339C02EA" w14:textId="0CF469DD" w:rsidR="0044539B" w:rsidRPr="00E303DF" w:rsidRDefault="0044539B" w:rsidP="007F03EC">
            <w:pPr>
              <w:spacing w:line="240" w:lineRule="auto"/>
              <w:rPr>
                <w:rFonts w:ascii="Calibri" w:eastAsia="Calibri" w:hAnsi="Calibri"/>
                <w:b/>
                <w:bCs/>
                <w:color w:val="FF0000"/>
              </w:rPr>
            </w:pPr>
            <w:r w:rsidRPr="00E303DF">
              <w:rPr>
                <w:rFonts w:ascii="Calibri" w:eastAsia="Calibri" w:hAnsi="Calibri"/>
                <w:b/>
                <w:bCs/>
              </w:rPr>
              <w:t>Additional background information about selected definitions of poor response provided by authors</w:t>
            </w:r>
          </w:p>
        </w:tc>
      </w:tr>
      <w:tr w:rsidR="0044539B" w:rsidRPr="00E303DF" w14:paraId="01900848" w14:textId="77777777" w:rsidTr="00C11045">
        <w:trPr>
          <w:trHeight w:val="305"/>
        </w:trPr>
        <w:tc>
          <w:tcPr>
            <w:tcW w:w="5046" w:type="dxa"/>
            <w:shd w:val="clear" w:color="auto" w:fill="auto"/>
          </w:tcPr>
          <w:p w14:paraId="47D05B72" w14:textId="77777777" w:rsidR="0044539B" w:rsidRPr="00E303DF" w:rsidRDefault="0044539B" w:rsidP="007F03EC">
            <w:pPr>
              <w:spacing w:line="240" w:lineRule="auto"/>
              <w:rPr>
                <w:rFonts w:ascii="Calibri" w:eastAsia="Calibri" w:hAnsi="Calibri"/>
                <w:b/>
                <w:bCs/>
                <w:sz w:val="22"/>
                <w:szCs w:val="22"/>
                <w:lang w:val="nl-NL"/>
              </w:rPr>
            </w:pPr>
            <w:r w:rsidRPr="00E303DF">
              <w:rPr>
                <w:rFonts w:ascii="Calibri" w:eastAsia="Calibri" w:hAnsi="Calibri"/>
                <w:b/>
                <w:bCs/>
                <w:sz w:val="22"/>
                <w:szCs w:val="22"/>
                <w:lang w:val="nl-NL"/>
              </w:rPr>
              <w:t>Definition</w:t>
            </w:r>
          </w:p>
        </w:tc>
        <w:tc>
          <w:tcPr>
            <w:tcW w:w="8587" w:type="dxa"/>
            <w:shd w:val="clear" w:color="auto" w:fill="auto"/>
          </w:tcPr>
          <w:p w14:paraId="1F510095" w14:textId="77777777" w:rsidR="0044539B" w:rsidRPr="00E303DF" w:rsidRDefault="0044539B" w:rsidP="007F03EC">
            <w:pPr>
              <w:spacing w:line="240" w:lineRule="auto"/>
              <w:rPr>
                <w:rFonts w:ascii="Calibri" w:eastAsia="Calibri" w:hAnsi="Calibri"/>
                <w:b/>
                <w:bCs/>
                <w:sz w:val="22"/>
                <w:szCs w:val="22"/>
                <w:lang w:val="nl-NL"/>
              </w:rPr>
            </w:pPr>
            <w:proofErr w:type="spellStart"/>
            <w:r w:rsidRPr="00E303DF">
              <w:rPr>
                <w:rFonts w:ascii="Calibri" w:eastAsia="Calibri" w:hAnsi="Calibri"/>
                <w:b/>
                <w:bCs/>
                <w:sz w:val="22"/>
                <w:szCs w:val="22"/>
                <w:lang w:val="nl-NL"/>
              </w:rPr>
              <w:t>Additional</w:t>
            </w:r>
            <w:proofErr w:type="spellEnd"/>
            <w:r w:rsidRPr="00E303DF">
              <w:rPr>
                <w:rFonts w:ascii="Calibri" w:eastAsia="Calibri" w:hAnsi="Calibri"/>
                <w:b/>
                <w:bCs/>
                <w:sz w:val="22"/>
                <w:szCs w:val="22"/>
                <w:lang w:val="nl-NL"/>
              </w:rPr>
              <w:t xml:space="preserve"> information</w:t>
            </w:r>
          </w:p>
        </w:tc>
      </w:tr>
      <w:tr w:rsidR="0044539B" w:rsidRPr="00E303DF" w14:paraId="603AAFD2" w14:textId="77777777" w:rsidTr="00C11045">
        <w:trPr>
          <w:trHeight w:val="582"/>
        </w:trPr>
        <w:tc>
          <w:tcPr>
            <w:tcW w:w="5046" w:type="dxa"/>
            <w:shd w:val="clear" w:color="auto" w:fill="auto"/>
          </w:tcPr>
          <w:p w14:paraId="0D9A75D2" w14:textId="77777777" w:rsidR="0044539B" w:rsidRPr="00E303DF" w:rsidRDefault="0044539B" w:rsidP="00C11045">
            <w:pPr>
              <w:spacing w:line="240" w:lineRule="auto"/>
              <w:rPr>
                <w:rFonts w:ascii="Calibri" w:eastAsia="Calibri" w:hAnsi="Calibri"/>
                <w:sz w:val="22"/>
                <w:szCs w:val="22"/>
                <w:lang w:val="nl-NL"/>
              </w:rPr>
            </w:pPr>
            <w:r w:rsidRPr="00E303DF">
              <w:rPr>
                <w:rFonts w:ascii="Calibri" w:eastAsia="Calibri" w:hAnsi="Calibri"/>
                <w:sz w:val="22"/>
                <w:szCs w:val="22"/>
                <w:lang w:val="nl-NL"/>
              </w:rPr>
              <w:t xml:space="preserve">VAS </w:t>
            </w:r>
            <w:proofErr w:type="spellStart"/>
            <w:r w:rsidRPr="00E303DF">
              <w:rPr>
                <w:rFonts w:ascii="Calibri" w:eastAsia="Calibri" w:hAnsi="Calibri"/>
                <w:sz w:val="22"/>
                <w:szCs w:val="22"/>
                <w:lang w:val="nl-NL"/>
              </w:rPr>
              <w:t>pain</w:t>
            </w:r>
            <w:proofErr w:type="spellEnd"/>
            <w:r w:rsidRPr="00E303DF">
              <w:rPr>
                <w:rFonts w:ascii="Calibri" w:eastAsia="Calibri" w:hAnsi="Calibri"/>
                <w:sz w:val="22"/>
                <w:szCs w:val="22"/>
                <w:lang w:val="nl-NL"/>
              </w:rPr>
              <w:t xml:space="preserve"> &gt;0</w:t>
            </w:r>
          </w:p>
          <w:p w14:paraId="79A6AD96" w14:textId="32E4399B" w:rsidR="0044539B" w:rsidRPr="00E303DF" w:rsidRDefault="0044539B" w:rsidP="00C11045">
            <w:pPr>
              <w:spacing w:line="240" w:lineRule="auto"/>
              <w:rPr>
                <w:rFonts w:ascii="Calibri" w:eastAsia="Calibri" w:hAnsi="Calibri"/>
                <w:sz w:val="16"/>
                <w:szCs w:val="16"/>
                <w:lang w:val="nl-NL"/>
              </w:rPr>
            </w:pPr>
            <w:r w:rsidRPr="00E303DF">
              <w:rPr>
                <w:rFonts w:ascii="Calibri" w:eastAsia="Calibri" w:hAnsi="Calibri"/>
                <w:sz w:val="16"/>
                <w:szCs w:val="16"/>
                <w:lang w:val="nl-NL"/>
              </w:rPr>
              <w:t>(</w:t>
            </w:r>
            <w:proofErr w:type="spellStart"/>
            <w:r w:rsidRPr="00E303DF">
              <w:rPr>
                <w:rFonts w:ascii="Calibri" w:eastAsia="Calibri" w:hAnsi="Calibri"/>
                <w:sz w:val="16"/>
                <w:szCs w:val="16"/>
                <w:lang w:val="nl-NL"/>
              </w:rPr>
              <w:t>Forsythe</w:t>
            </w:r>
            <w:proofErr w:type="spellEnd"/>
            <w:r w:rsidRPr="00E303DF">
              <w:rPr>
                <w:rFonts w:ascii="Calibri" w:eastAsia="Calibri" w:hAnsi="Calibri"/>
                <w:sz w:val="16"/>
                <w:szCs w:val="16"/>
                <w:lang w:val="nl-NL"/>
              </w:rPr>
              <w:t>, 2008</w:t>
            </w:r>
            <w:r w:rsidR="002620A4">
              <w:rPr>
                <w:rFonts w:ascii="Calibri" w:eastAsia="Calibri" w:hAnsi="Calibri"/>
                <w:sz w:val="16"/>
                <w:szCs w:val="16"/>
                <w:lang w:val="nl-NL"/>
              </w:rPr>
              <w:t xml:space="preserve"> </w:t>
            </w:r>
            <w:r w:rsidRPr="00E303DF">
              <w:rPr>
                <w:rFonts w:ascii="Calibri" w:eastAsia="Calibri" w:hAnsi="Calibri"/>
                <w:noProof/>
                <w:sz w:val="16"/>
                <w:szCs w:val="16"/>
                <w:lang w:val="nl-NL"/>
              </w:rPr>
              <w:t>(33)</w:t>
            </w:r>
            <w:r w:rsidRPr="00E303DF">
              <w:rPr>
                <w:rFonts w:ascii="Calibri" w:eastAsia="Calibri" w:hAnsi="Calibri"/>
                <w:sz w:val="16"/>
                <w:szCs w:val="16"/>
                <w:lang w:val="nl-NL"/>
              </w:rPr>
              <w:t>)</w:t>
            </w:r>
          </w:p>
        </w:tc>
        <w:tc>
          <w:tcPr>
            <w:tcW w:w="8587" w:type="dxa"/>
            <w:shd w:val="clear" w:color="auto" w:fill="auto"/>
          </w:tcPr>
          <w:p w14:paraId="0A5E56F5" w14:textId="77777777"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“Sample was dichotomized into definitive ‘pain’(&gt;0) and ‘no pain (0)’ groups, rather than arbitrarily dichotomizing the population as having mild or moderate pain.”</w:t>
            </w:r>
          </w:p>
        </w:tc>
      </w:tr>
      <w:tr w:rsidR="0044539B" w:rsidRPr="00E303DF" w14:paraId="2873CA47" w14:textId="77777777" w:rsidTr="00C11045">
        <w:trPr>
          <w:trHeight w:val="453"/>
        </w:trPr>
        <w:tc>
          <w:tcPr>
            <w:tcW w:w="5046" w:type="dxa"/>
            <w:shd w:val="clear" w:color="auto" w:fill="auto"/>
          </w:tcPr>
          <w:p w14:paraId="4677FBAE" w14:textId="77777777"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VAS pain &gt;40</w:t>
            </w:r>
          </w:p>
          <w:p w14:paraId="03FF2DBD" w14:textId="7882CB18" w:rsidR="0044539B" w:rsidRPr="00E303DF" w:rsidRDefault="0044539B" w:rsidP="00C11045">
            <w:pPr>
              <w:spacing w:line="240" w:lineRule="auto"/>
              <w:rPr>
                <w:rFonts w:ascii="Calibri" w:eastAsia="Calibri" w:hAnsi="Calibri"/>
                <w:sz w:val="16"/>
                <w:szCs w:val="16"/>
              </w:rPr>
            </w:pPr>
            <w:r w:rsidRPr="00E303DF">
              <w:rPr>
                <w:rFonts w:ascii="Calibri" w:eastAsia="Calibri" w:hAnsi="Calibri"/>
                <w:sz w:val="16"/>
                <w:szCs w:val="16"/>
              </w:rPr>
              <w:t>(Brander, 2007</w:t>
            </w:r>
            <w:r w:rsidR="002620A4">
              <w:rPr>
                <w:rFonts w:ascii="Calibri" w:eastAsia="Calibri" w:hAnsi="Calibri"/>
                <w:sz w:val="16"/>
                <w:szCs w:val="16"/>
              </w:rPr>
              <w:t xml:space="preserve"> </w:t>
            </w:r>
            <w:r w:rsidRPr="00E303DF">
              <w:rPr>
                <w:rFonts w:ascii="Calibri" w:eastAsia="Calibri" w:hAnsi="Calibri"/>
                <w:noProof/>
                <w:sz w:val="16"/>
                <w:szCs w:val="16"/>
              </w:rPr>
              <w:t>(35)</w:t>
            </w:r>
            <w:r w:rsidRPr="00E303DF">
              <w:rPr>
                <w:rFonts w:ascii="Calibri" w:eastAsia="Calibri" w:hAnsi="Calibri"/>
                <w:sz w:val="16"/>
                <w:szCs w:val="16"/>
              </w:rPr>
              <w:t>)</w:t>
            </w:r>
          </w:p>
        </w:tc>
        <w:tc>
          <w:tcPr>
            <w:tcW w:w="8587" w:type="dxa"/>
            <w:shd w:val="clear" w:color="auto" w:fill="auto"/>
          </w:tcPr>
          <w:p w14:paraId="6F8A51DF" w14:textId="418AA641"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“Cut-offs were defined according to Dolan and Sutton</w:t>
            </w:r>
            <w:r w:rsidR="009D101F">
              <w:rPr>
                <w:rFonts w:ascii="Calibri" w:eastAsia="Calibri" w:hAnsi="Calibri"/>
                <w:sz w:val="22"/>
                <w:szCs w:val="22"/>
              </w:rPr>
              <w:fldChar w:fldCharType="begin" w:fldLock="1"/>
            </w:r>
            <w:r w:rsidR="005A7914">
              <w:rPr>
                <w:rFonts w:ascii="Calibri" w:eastAsia="Calibri" w:hAnsi="Calibri"/>
                <w:sz w:val="22"/>
                <w:szCs w:val="22"/>
              </w:rPr>
              <w:instrText>ADDIN CSL_CITATION {"citationItems":[{"id":"ITEM-1","itemData":{"ISSN":"02779536","abstract":"Despite becoming increasingly common in evaluations of health care, different methods of quantitatively measuring health status appear to produce different valuations for identical descriptions of health. This paper reports on a study that elicited health state valuations from the general public using three different methods: the visual analogue scale (VAS), the standard gamble (SG) and the time trade-off (TTO). Two variants of the SG and TTO were tested: Props (using specially designed boards and cards); and No Props (using a self-completion booklet). This paper focuses on empirical relationships between health state valuations from the VAS and the (four) other methods. The relationships were estimated using Tobit regression of individual-level data. In contrast to a priori expectations, the mapping functions estimated suggest that differences are more pronounced across variant than across method. Furthermore, relationships with VAS scores are found to depend on the severity of the state: TTO Props valuations are higher than VAS responses for mild states and lower for more severe states; SG Props valuations are broadly similar to VAS scores over a wide range; and No Props responses are consistently higher than VAS valuations, particularly for more severe states. Explanations are proposed for these findings.","author":[{"dropping-particle":"","family":"Dolan","given":"P","non-dropping-particle":"","parse-names":false,"suffix":""},{"dropping-particle":"","family":"Sutton","given":"M","non-dropping-particle":"","parse-names":false,"suffix":""}],"container-title":"Soc Sci Med","id":"ITEM-1","issue":"10","issued":{"date-parts":[["1997"]]},"page":"1519-1530","title":"Mapping visual analogue scale health state valuations onto standard gamble and time trade-off values","type":"article-journal","volume":"44"},"uris":["http://www.mendeley.com/documents/?uuid=8d8e427a-c481-4de3-92e1-41ec0a023f63"]}],"mendeley":{"formattedCitation":"(1)","plainTextFormattedCitation":"(1)","previouslyFormattedCitation":"(1)"},"properties":{"noteIndex":0},"schema":"https://github.com/citation-style-language/schema/raw/master/csl-citation.json"}</w:instrText>
            </w:r>
            <w:r w:rsidR="009D101F">
              <w:rPr>
                <w:rFonts w:ascii="Calibri" w:eastAsia="Calibri" w:hAnsi="Calibri"/>
                <w:sz w:val="22"/>
                <w:szCs w:val="22"/>
              </w:rPr>
              <w:fldChar w:fldCharType="separate"/>
            </w:r>
            <w:r w:rsidR="00117A4F" w:rsidRPr="00117A4F">
              <w:rPr>
                <w:rFonts w:ascii="Calibri" w:eastAsia="Calibri" w:hAnsi="Calibri"/>
                <w:noProof/>
                <w:sz w:val="22"/>
                <w:szCs w:val="22"/>
              </w:rPr>
              <w:t>(1)</w:t>
            </w:r>
            <w:r w:rsidR="009D101F">
              <w:rPr>
                <w:rFonts w:ascii="Calibri" w:eastAsia="Calibri" w:hAnsi="Calibri"/>
                <w:sz w:val="22"/>
                <w:szCs w:val="22"/>
              </w:rPr>
              <w:fldChar w:fldCharType="end"/>
            </w:r>
            <w:r w:rsidRPr="00E303DF">
              <w:rPr>
                <w:rFonts w:ascii="Calibri" w:eastAsia="Calibri" w:hAnsi="Calibri"/>
                <w:sz w:val="22"/>
                <w:szCs w:val="22"/>
              </w:rPr>
              <w:t>.”</w:t>
            </w:r>
          </w:p>
        </w:tc>
      </w:tr>
      <w:tr w:rsidR="0044539B" w:rsidRPr="00E303DF" w14:paraId="3FB5CA2C" w14:textId="77777777" w:rsidTr="00C11045">
        <w:trPr>
          <w:trHeight w:val="463"/>
        </w:trPr>
        <w:tc>
          <w:tcPr>
            <w:tcW w:w="5046" w:type="dxa"/>
            <w:shd w:val="clear" w:color="auto" w:fill="auto"/>
          </w:tcPr>
          <w:p w14:paraId="7D23DFC7" w14:textId="77777777" w:rsidR="0044539B" w:rsidRPr="00E303DF" w:rsidRDefault="0044539B" w:rsidP="00C11045">
            <w:pPr>
              <w:spacing w:line="240" w:lineRule="auto"/>
              <w:rPr>
                <w:rFonts w:ascii="Calibri" w:eastAsia="Calibri" w:hAnsi="Calibri"/>
                <w:sz w:val="22"/>
                <w:szCs w:val="22"/>
                <w:lang w:val="en-GB"/>
              </w:rPr>
            </w:pPr>
            <w:r w:rsidRPr="00E303DF">
              <w:rPr>
                <w:rFonts w:ascii="Calibri" w:eastAsia="Calibri" w:hAnsi="Calibri"/>
                <w:sz w:val="22"/>
                <w:szCs w:val="22"/>
              </w:rPr>
              <w:t xml:space="preserve">VAS pain at rest </w:t>
            </w:r>
            <w:r w:rsidRPr="00E303DF">
              <w:rPr>
                <w:rFonts w:ascii="Calibri" w:eastAsia="Calibri" w:hAnsi="Calibri"/>
                <w:sz w:val="22"/>
                <w:szCs w:val="22"/>
                <w:lang w:val="en-GB"/>
              </w:rPr>
              <w:t>≥1</w:t>
            </w:r>
          </w:p>
          <w:p w14:paraId="644CDB43" w14:textId="4CB6509D" w:rsidR="0044539B" w:rsidRPr="00E303DF" w:rsidRDefault="0044539B" w:rsidP="00C11045">
            <w:pPr>
              <w:spacing w:line="240" w:lineRule="auto"/>
              <w:rPr>
                <w:rFonts w:ascii="Calibri" w:eastAsia="Calibri" w:hAnsi="Calibri"/>
                <w:iCs/>
                <w:sz w:val="16"/>
                <w:szCs w:val="16"/>
              </w:rPr>
            </w:pPr>
            <w:r w:rsidRPr="00E303DF">
              <w:rPr>
                <w:rFonts w:ascii="Calibri" w:eastAsia="Calibri" w:hAnsi="Calibri"/>
                <w:iCs/>
                <w:sz w:val="16"/>
                <w:szCs w:val="16"/>
                <w:lang w:val="en-GB"/>
              </w:rPr>
              <w:t>(Lundblad, 2008</w:t>
            </w:r>
            <w:r w:rsidR="002620A4">
              <w:rPr>
                <w:rFonts w:ascii="Calibri" w:eastAsia="Calibri" w:hAnsi="Calibri"/>
                <w:iCs/>
                <w:sz w:val="16"/>
                <w:szCs w:val="16"/>
                <w:lang w:val="en-GB"/>
              </w:rPr>
              <w:t xml:space="preserve"> </w:t>
            </w:r>
            <w:r w:rsidRPr="00E303DF">
              <w:rPr>
                <w:rFonts w:ascii="Calibri" w:eastAsia="Calibri" w:hAnsi="Calibri"/>
                <w:iCs/>
                <w:noProof/>
                <w:sz w:val="16"/>
                <w:szCs w:val="16"/>
                <w:lang w:val="en-GB"/>
              </w:rPr>
              <w:t>(36)</w:t>
            </w:r>
            <w:r w:rsidRPr="00E303DF">
              <w:rPr>
                <w:rFonts w:ascii="Calibri" w:eastAsia="Calibri" w:hAnsi="Calibri"/>
                <w:iCs/>
                <w:sz w:val="16"/>
                <w:szCs w:val="16"/>
                <w:lang w:val="en-GB"/>
              </w:rPr>
              <w:t>)</w:t>
            </w:r>
          </w:p>
        </w:tc>
        <w:tc>
          <w:tcPr>
            <w:tcW w:w="8587" w:type="dxa"/>
            <w:shd w:val="clear" w:color="auto" w:fill="auto"/>
          </w:tcPr>
          <w:p w14:paraId="738490D9" w14:textId="77777777"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w:t>
            </w:r>
            <w:proofErr w:type="spellStart"/>
            <w:r w:rsidRPr="00E303DF">
              <w:rPr>
                <w:rFonts w:ascii="Calibri" w:eastAsia="Calibri" w:hAnsi="Calibri"/>
                <w:sz w:val="22"/>
                <w:szCs w:val="22"/>
              </w:rPr>
              <w:t>Dichotomisation</w:t>
            </w:r>
            <w:proofErr w:type="spellEnd"/>
            <w:r w:rsidRPr="00E303DF">
              <w:rPr>
                <w:rFonts w:ascii="Calibri" w:eastAsia="Calibri" w:hAnsi="Calibri"/>
                <w:sz w:val="22"/>
                <w:szCs w:val="22"/>
              </w:rPr>
              <w:t xml:space="preserve"> was performed at the median value.”</w:t>
            </w:r>
          </w:p>
        </w:tc>
      </w:tr>
      <w:tr w:rsidR="0044539B" w:rsidRPr="00E303DF" w14:paraId="0F9C7DF3" w14:textId="77777777" w:rsidTr="00C11045">
        <w:trPr>
          <w:trHeight w:val="463"/>
        </w:trPr>
        <w:tc>
          <w:tcPr>
            <w:tcW w:w="5046" w:type="dxa"/>
            <w:shd w:val="clear" w:color="auto" w:fill="auto"/>
          </w:tcPr>
          <w:p w14:paraId="3C19BED8" w14:textId="77777777" w:rsidR="0044539B" w:rsidRPr="00E303DF" w:rsidRDefault="0044539B" w:rsidP="00C11045">
            <w:pPr>
              <w:spacing w:line="240" w:lineRule="auto"/>
              <w:rPr>
                <w:rFonts w:ascii="Calibri" w:eastAsia="Calibri" w:hAnsi="Calibri"/>
                <w:sz w:val="22"/>
                <w:szCs w:val="22"/>
                <w:lang w:val="en-GB"/>
              </w:rPr>
            </w:pPr>
            <w:r w:rsidRPr="00E303DF">
              <w:rPr>
                <w:rFonts w:ascii="Calibri" w:eastAsia="Calibri" w:hAnsi="Calibri"/>
                <w:sz w:val="22"/>
                <w:szCs w:val="22"/>
              </w:rPr>
              <w:t xml:space="preserve">VAS pain with movement </w:t>
            </w:r>
            <w:r w:rsidRPr="00E303DF">
              <w:rPr>
                <w:rFonts w:ascii="Calibri" w:eastAsia="Calibri" w:hAnsi="Calibri"/>
                <w:sz w:val="22"/>
                <w:szCs w:val="22"/>
                <w:lang w:val="en-GB"/>
              </w:rPr>
              <w:t>≥1</w:t>
            </w:r>
          </w:p>
          <w:p w14:paraId="42BB3B89" w14:textId="093F870E" w:rsidR="0044539B" w:rsidRPr="00E303DF" w:rsidRDefault="0044539B" w:rsidP="00C11045">
            <w:pPr>
              <w:spacing w:line="240" w:lineRule="auto"/>
              <w:rPr>
                <w:rFonts w:ascii="Calibri" w:eastAsia="Calibri" w:hAnsi="Calibri"/>
                <w:sz w:val="22"/>
                <w:szCs w:val="22"/>
              </w:rPr>
            </w:pPr>
            <w:r w:rsidRPr="00E303DF">
              <w:rPr>
                <w:rFonts w:ascii="Calibri" w:eastAsia="Calibri" w:hAnsi="Calibri"/>
                <w:iCs/>
                <w:sz w:val="16"/>
                <w:szCs w:val="16"/>
                <w:lang w:val="en-GB"/>
              </w:rPr>
              <w:t>(Lundblad, 2008</w:t>
            </w:r>
            <w:r w:rsidR="002620A4">
              <w:rPr>
                <w:rFonts w:ascii="Calibri" w:eastAsia="Calibri" w:hAnsi="Calibri"/>
                <w:iCs/>
                <w:sz w:val="16"/>
                <w:szCs w:val="16"/>
                <w:lang w:val="en-GB"/>
              </w:rPr>
              <w:t xml:space="preserve"> </w:t>
            </w:r>
            <w:r w:rsidRPr="00E303DF">
              <w:rPr>
                <w:rFonts w:ascii="Calibri" w:eastAsia="Calibri" w:hAnsi="Calibri"/>
                <w:iCs/>
                <w:noProof/>
                <w:sz w:val="16"/>
                <w:szCs w:val="16"/>
                <w:lang w:val="en-GB"/>
              </w:rPr>
              <w:t>(36)</w:t>
            </w:r>
            <w:r w:rsidRPr="00E303DF">
              <w:rPr>
                <w:rFonts w:ascii="Calibri" w:eastAsia="Calibri" w:hAnsi="Calibri"/>
                <w:iCs/>
                <w:sz w:val="16"/>
                <w:szCs w:val="16"/>
                <w:lang w:val="en-GB"/>
              </w:rPr>
              <w:t>)</w:t>
            </w:r>
          </w:p>
        </w:tc>
        <w:tc>
          <w:tcPr>
            <w:tcW w:w="8587" w:type="dxa"/>
            <w:shd w:val="clear" w:color="auto" w:fill="auto"/>
          </w:tcPr>
          <w:p w14:paraId="23E7D328" w14:textId="77777777"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w:t>
            </w:r>
            <w:proofErr w:type="spellStart"/>
            <w:r w:rsidRPr="00E303DF">
              <w:rPr>
                <w:rFonts w:ascii="Calibri" w:eastAsia="Calibri" w:hAnsi="Calibri"/>
                <w:sz w:val="22"/>
                <w:szCs w:val="22"/>
              </w:rPr>
              <w:t>Dichotomisation</w:t>
            </w:r>
            <w:proofErr w:type="spellEnd"/>
            <w:r w:rsidRPr="00E303DF">
              <w:rPr>
                <w:rFonts w:ascii="Calibri" w:eastAsia="Calibri" w:hAnsi="Calibri"/>
                <w:sz w:val="22"/>
                <w:szCs w:val="22"/>
              </w:rPr>
              <w:t xml:space="preserve"> was performed at the median value.”</w:t>
            </w:r>
          </w:p>
        </w:tc>
      </w:tr>
      <w:tr w:rsidR="0044539B" w:rsidRPr="00E303DF" w14:paraId="5BC793B5" w14:textId="77777777" w:rsidTr="00C11045">
        <w:trPr>
          <w:trHeight w:val="453"/>
        </w:trPr>
        <w:tc>
          <w:tcPr>
            <w:tcW w:w="5046" w:type="dxa"/>
            <w:shd w:val="clear" w:color="auto" w:fill="auto"/>
          </w:tcPr>
          <w:p w14:paraId="019893A5" w14:textId="77777777" w:rsidR="0044539B" w:rsidRPr="00E303DF" w:rsidRDefault="0044539B" w:rsidP="00C11045">
            <w:pPr>
              <w:spacing w:line="240" w:lineRule="auto"/>
              <w:rPr>
                <w:rFonts w:ascii="Calibri" w:eastAsia="Calibri" w:hAnsi="Calibri"/>
                <w:sz w:val="22"/>
                <w:szCs w:val="22"/>
                <w:lang w:val="nl-NL"/>
              </w:rPr>
            </w:pPr>
            <w:r w:rsidRPr="00E303DF">
              <w:rPr>
                <w:rFonts w:ascii="Calibri" w:eastAsia="Calibri" w:hAnsi="Calibri"/>
                <w:sz w:val="22"/>
                <w:szCs w:val="22"/>
                <w:lang w:val="nl-NL"/>
              </w:rPr>
              <w:t xml:space="preserve">WOMAC </w:t>
            </w:r>
            <w:proofErr w:type="spellStart"/>
            <w:r w:rsidRPr="00E303DF">
              <w:rPr>
                <w:rFonts w:ascii="Calibri" w:eastAsia="Calibri" w:hAnsi="Calibri"/>
                <w:sz w:val="22"/>
                <w:szCs w:val="22"/>
                <w:lang w:val="nl-NL"/>
              </w:rPr>
              <w:t>pain</w:t>
            </w:r>
            <w:proofErr w:type="spellEnd"/>
            <w:r w:rsidRPr="00E303DF">
              <w:rPr>
                <w:rFonts w:ascii="Calibri" w:eastAsia="Calibri" w:hAnsi="Calibri"/>
                <w:sz w:val="22"/>
                <w:szCs w:val="22"/>
                <w:lang w:val="nl-NL"/>
              </w:rPr>
              <w:t xml:space="preserve"> &lt;50%</w:t>
            </w:r>
          </w:p>
          <w:p w14:paraId="5564D58A" w14:textId="652CECC4" w:rsidR="0044539B" w:rsidRPr="00E303DF" w:rsidRDefault="0044539B" w:rsidP="00C11045">
            <w:pPr>
              <w:spacing w:line="240" w:lineRule="auto"/>
              <w:rPr>
                <w:rFonts w:ascii="Calibri" w:eastAsia="Calibri" w:hAnsi="Calibri"/>
                <w:iCs/>
                <w:sz w:val="16"/>
                <w:szCs w:val="16"/>
                <w:lang w:val="nl-NL"/>
              </w:rPr>
            </w:pPr>
            <w:r w:rsidRPr="00E303DF">
              <w:rPr>
                <w:rFonts w:ascii="Calibri" w:eastAsia="Calibri" w:hAnsi="Calibri"/>
                <w:iCs/>
                <w:sz w:val="16"/>
                <w:szCs w:val="16"/>
                <w:lang w:val="en-GB"/>
              </w:rPr>
              <w:t>(Riddle, 2010</w:t>
            </w:r>
            <w:r w:rsidR="002620A4">
              <w:rPr>
                <w:rFonts w:ascii="Calibri" w:eastAsia="Calibri" w:hAnsi="Calibri"/>
                <w:iCs/>
                <w:sz w:val="16"/>
                <w:szCs w:val="16"/>
                <w:lang w:val="en-GB"/>
              </w:rPr>
              <w:t xml:space="preserve"> </w:t>
            </w:r>
            <w:r w:rsidRPr="00E303DF">
              <w:rPr>
                <w:rFonts w:ascii="Calibri" w:eastAsia="Calibri" w:hAnsi="Calibri"/>
                <w:iCs/>
                <w:noProof/>
                <w:sz w:val="16"/>
                <w:szCs w:val="16"/>
                <w:lang w:val="en-GB"/>
              </w:rPr>
              <w:t>(32)</w:t>
            </w:r>
            <w:r w:rsidRPr="00E303DF">
              <w:rPr>
                <w:rFonts w:ascii="Calibri" w:eastAsia="Calibri" w:hAnsi="Calibri"/>
                <w:iCs/>
                <w:sz w:val="16"/>
                <w:szCs w:val="16"/>
                <w:lang w:val="en-GB"/>
              </w:rPr>
              <w:t>)</w:t>
            </w:r>
          </w:p>
        </w:tc>
        <w:tc>
          <w:tcPr>
            <w:tcW w:w="8587" w:type="dxa"/>
            <w:shd w:val="clear" w:color="auto" w:fill="auto"/>
          </w:tcPr>
          <w:p w14:paraId="1860FC9B" w14:textId="77777777"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 xml:space="preserve">“Patients were dichotomized into those who did and those who did not improve by 50% or greater based on changes in WOMAC pain scores from baseline to 6 months </w:t>
            </w:r>
            <w:proofErr w:type="spellStart"/>
            <w:r w:rsidRPr="00E303DF">
              <w:rPr>
                <w:rFonts w:ascii="Calibri" w:eastAsia="Calibri" w:hAnsi="Calibri"/>
                <w:sz w:val="22"/>
                <w:szCs w:val="22"/>
              </w:rPr>
              <w:t>postsurgery</w:t>
            </w:r>
            <w:proofErr w:type="spellEnd"/>
            <w:r w:rsidRPr="00E303DF">
              <w:rPr>
                <w:rFonts w:ascii="Calibri" w:eastAsia="Calibri" w:hAnsi="Calibri"/>
                <w:sz w:val="22"/>
                <w:szCs w:val="22"/>
              </w:rPr>
              <w:t>. Our rationale for this approach is that large sample studies generally indicate average improvement for patients is approximately 50% relative to initial scores.”</w:t>
            </w:r>
          </w:p>
        </w:tc>
      </w:tr>
      <w:tr w:rsidR="0044539B" w:rsidRPr="00E303DF" w14:paraId="7C517D74" w14:textId="77777777" w:rsidTr="00C11045">
        <w:trPr>
          <w:trHeight w:val="453"/>
        </w:trPr>
        <w:tc>
          <w:tcPr>
            <w:tcW w:w="5046" w:type="dxa"/>
            <w:shd w:val="clear" w:color="auto" w:fill="auto"/>
          </w:tcPr>
          <w:p w14:paraId="127A78F3" w14:textId="77777777" w:rsidR="0044539B" w:rsidRPr="00E303DF" w:rsidRDefault="0044539B" w:rsidP="00C11045">
            <w:pPr>
              <w:spacing w:line="240" w:lineRule="auto"/>
              <w:rPr>
                <w:rFonts w:ascii="Calibri" w:eastAsia="Calibri" w:hAnsi="Calibri"/>
                <w:sz w:val="22"/>
                <w:szCs w:val="22"/>
                <w:lang w:val="en-GB"/>
              </w:rPr>
            </w:pPr>
            <w:r w:rsidRPr="00E303DF">
              <w:rPr>
                <w:rFonts w:ascii="Calibri" w:eastAsia="Calibri" w:hAnsi="Calibri"/>
                <w:sz w:val="22"/>
                <w:szCs w:val="22"/>
              </w:rPr>
              <w:t xml:space="preserve">WOMAC pain MCID </w:t>
            </w:r>
            <w:r w:rsidRPr="00E303DF">
              <w:rPr>
                <w:rFonts w:ascii="Calibri" w:eastAsia="Calibri" w:hAnsi="Calibri"/>
                <w:sz w:val="22"/>
                <w:szCs w:val="22"/>
                <w:lang w:val="en-GB"/>
              </w:rPr>
              <w:t>≤4</w:t>
            </w:r>
          </w:p>
          <w:p w14:paraId="7F7EAEDB" w14:textId="0783FC64" w:rsidR="0044539B" w:rsidRPr="00E303DF" w:rsidRDefault="0044539B" w:rsidP="00C11045">
            <w:pPr>
              <w:spacing w:line="240" w:lineRule="auto"/>
              <w:rPr>
                <w:rFonts w:ascii="Calibri" w:eastAsia="Calibri" w:hAnsi="Calibri"/>
                <w:iCs/>
                <w:sz w:val="16"/>
                <w:szCs w:val="16"/>
                <w:lang w:val="en-GB"/>
              </w:rPr>
            </w:pPr>
            <w:r w:rsidRPr="00E303DF">
              <w:rPr>
                <w:rFonts w:ascii="Calibri" w:eastAsia="Calibri" w:hAnsi="Calibri"/>
                <w:iCs/>
                <w:sz w:val="16"/>
                <w:szCs w:val="16"/>
                <w:lang w:val="en-GB"/>
              </w:rPr>
              <w:t>(Riddle, 2010</w:t>
            </w:r>
            <w:r w:rsidR="002620A4">
              <w:rPr>
                <w:rFonts w:ascii="Calibri" w:eastAsia="Calibri" w:hAnsi="Calibri"/>
                <w:iCs/>
                <w:sz w:val="16"/>
                <w:szCs w:val="16"/>
                <w:lang w:val="en-GB"/>
              </w:rPr>
              <w:t xml:space="preserve"> </w:t>
            </w:r>
            <w:r w:rsidRPr="00E303DF">
              <w:rPr>
                <w:rFonts w:ascii="Calibri" w:eastAsia="Calibri" w:hAnsi="Calibri"/>
                <w:iCs/>
                <w:noProof/>
                <w:sz w:val="16"/>
                <w:szCs w:val="16"/>
                <w:lang w:val="en-GB"/>
              </w:rPr>
              <w:t>(32)</w:t>
            </w:r>
            <w:r w:rsidRPr="00E303DF">
              <w:rPr>
                <w:rFonts w:ascii="Calibri" w:eastAsia="Calibri" w:hAnsi="Calibri"/>
                <w:iCs/>
                <w:sz w:val="16"/>
                <w:szCs w:val="16"/>
                <w:lang w:val="en-GB"/>
              </w:rPr>
              <w:t>)</w:t>
            </w:r>
          </w:p>
          <w:p w14:paraId="3A070AAF" w14:textId="77777777" w:rsidR="0044539B" w:rsidRPr="00E303DF" w:rsidRDefault="0044539B" w:rsidP="00C11045">
            <w:pPr>
              <w:spacing w:line="240" w:lineRule="auto"/>
              <w:rPr>
                <w:rFonts w:ascii="Calibri" w:eastAsia="Calibri" w:hAnsi="Calibri"/>
                <w:sz w:val="22"/>
                <w:szCs w:val="22"/>
              </w:rPr>
            </w:pPr>
          </w:p>
        </w:tc>
        <w:tc>
          <w:tcPr>
            <w:tcW w:w="8587" w:type="dxa"/>
            <w:shd w:val="clear" w:color="auto" w:fill="auto"/>
          </w:tcPr>
          <w:p w14:paraId="3B31B09E" w14:textId="4A749761" w:rsidR="0044539B" w:rsidRPr="00E303DF" w:rsidRDefault="0044539B" w:rsidP="00C11045">
            <w:pPr>
              <w:spacing w:line="240" w:lineRule="auto"/>
              <w:rPr>
                <w:rFonts w:ascii="Calibri" w:eastAsia="Calibri" w:hAnsi="Calibri"/>
                <w:sz w:val="22"/>
                <w:szCs w:val="22"/>
                <w:lang w:val="nl-NL"/>
              </w:rPr>
            </w:pPr>
            <w:r w:rsidRPr="00E303DF">
              <w:rPr>
                <w:rFonts w:ascii="Calibri" w:eastAsia="Calibri" w:hAnsi="Calibri"/>
                <w:sz w:val="22"/>
                <w:szCs w:val="22"/>
              </w:rPr>
              <w:t>“For 6-month change scores, we dichotomized our sample based on whether changes exceed the 6-month minimal clinically important difference (MCID)</w:t>
            </w:r>
            <w:r w:rsidR="009D101F">
              <w:rPr>
                <w:rFonts w:ascii="Calibri" w:eastAsia="Calibri" w:hAnsi="Calibri"/>
                <w:sz w:val="22"/>
                <w:szCs w:val="22"/>
              </w:rPr>
              <w:fldChar w:fldCharType="begin" w:fldLock="1"/>
            </w:r>
            <w:r w:rsidR="005A7914">
              <w:rPr>
                <w:rFonts w:ascii="Calibri" w:eastAsia="Calibri" w:hAnsi="Calibri"/>
                <w:sz w:val="22"/>
                <w:szCs w:val="22"/>
              </w:rPr>
              <w:instrText>ADDIN CSL_CITATION {"citationItems":[{"id":"ITEM-1","itemData":{"ISSN":"10634584","abstract":"Objectives: To study responsiveness and establish the minimal clinically important differences (MCIDs) and minimal detectable change (MDC) in patients undergoing total knee replacement (TKR) using the Short Form 36 (SF-36) and Western Ontario and McMaster Universities Osteoarthritis Index (WOMAC). Methods: Prospective observational study in three public hospitals of all consecutive patients on waiting lists to undergo TKR intervention with diagnosis of knee osteoarthritis (OA). Patients were asked to complete before the intervention and at 6 months and 2 years afterward the SF-36 and the WOMAC health-related quality of life questionnaires (HRQoL), and additional transition questions which measured the changes in their joint at 6 months. In both questionnaires the possible range of values is from 0 to 100 points. Results: In WOMAC improvement at 6 months after a TKR was between 27 (stiffness) and 31 points (pain). The SF-36 showed improvements between the 28.3 points of role physical and 2.79 of general health. From 6 months to 2 years, WOMAC improvements were between 2 and 6 points. The MCID ranged from 14.52 (stiffness) to 22.87 (pain) on the WOMAC and in the physical domains of SF-36 from 11.56 (physical function) to 16.86 (bodily pain). On the WOMAC, the MDC ranged from 13.11 (function) to 29.12 (stiffness), and on SF-36 from 19.50 (physical function) to 41.23 (social functioning). Conclusions: The MCID for TKR is around 15 on WOMAC, while with the SF-36 of at least 10 points. These values should not be considered as absolute thresholds. © 2006 Osteoarthritis Research Society International.","author":[{"dropping-particle":"","family":"Escobar","given":"A","non-dropping-particle":"","parse-names":false,"suffix":""},{"dropping-particle":"","family":"Quintana","given":"JM","non-dropping-particle":"","parse-names":false,"suffix":""},{"dropping-particle":"","family":"Bilbao","given":"A","non-dropping-particle":"","parse-names":false,"suffix":""},{"dropping-particle":"","family":"Aróstegui","given":"I","non-dropping-particle":"","parse-names":false,"suffix":""},{"dropping-particle":"","family":"Lafuente","given":"I","non-dropping-particle":"","parse-names":false,"suffix":""},{"dropping-particle":"","family":"Vidaurreta","given":"I","non-dropping-particle":"","parse-names":false,"suffix":""}],"container-title":"Osteoarthritis and Cartilage","id":"ITEM-1","issue":"3","issued":{"date-parts":[["2007"]]},"page":"273-280","title":"Responsiveness and clinically important differences for the WOMAC and SF-36 after total knee replacement","type":"article-journal","volume":"15"},"uris":["http://www.mendeley.com/documents/?uuid=371e9e80-5ffd-46a7-925a-cc6460ba7ce2"]}],"mendeley":{"formattedCitation":"(2)","plainTextFormattedCitation":"(2)","previouslyFormattedCitation":"(2)"},"properties":{"noteIndex":0},"schema":"https://github.com/citation-style-language/schema/raw/master/csl-citation.json"}</w:instrText>
            </w:r>
            <w:r w:rsidR="009D101F">
              <w:rPr>
                <w:rFonts w:ascii="Calibri" w:eastAsia="Calibri" w:hAnsi="Calibri"/>
                <w:sz w:val="22"/>
                <w:szCs w:val="22"/>
              </w:rPr>
              <w:fldChar w:fldCharType="separate"/>
            </w:r>
            <w:r w:rsidR="00117A4F" w:rsidRPr="00117A4F">
              <w:rPr>
                <w:rFonts w:ascii="Calibri" w:eastAsia="Calibri" w:hAnsi="Calibri"/>
                <w:noProof/>
                <w:sz w:val="22"/>
                <w:szCs w:val="22"/>
              </w:rPr>
              <w:t>(2)</w:t>
            </w:r>
            <w:r w:rsidR="009D101F">
              <w:rPr>
                <w:rFonts w:ascii="Calibri" w:eastAsia="Calibri" w:hAnsi="Calibri"/>
                <w:sz w:val="22"/>
                <w:szCs w:val="22"/>
              </w:rPr>
              <w:fldChar w:fldCharType="end"/>
            </w:r>
            <w:r w:rsidRPr="00E303DF">
              <w:rPr>
                <w:rFonts w:ascii="Calibri" w:eastAsia="Calibri" w:hAnsi="Calibri"/>
                <w:sz w:val="22"/>
                <w:szCs w:val="22"/>
              </w:rPr>
              <w:t xml:space="preserve">. </w:t>
            </w:r>
            <w:r w:rsidRPr="00E303DF">
              <w:rPr>
                <w:rFonts w:ascii="Calibri" w:eastAsia="Calibri" w:hAnsi="Calibri"/>
                <w:sz w:val="22"/>
                <w:szCs w:val="22"/>
                <w:lang w:val="nl-NL"/>
              </w:rPr>
              <w:t xml:space="preserve">These changes </w:t>
            </w:r>
            <w:proofErr w:type="spellStart"/>
            <w:r w:rsidRPr="00E303DF">
              <w:rPr>
                <w:rFonts w:ascii="Calibri" w:eastAsia="Calibri" w:hAnsi="Calibri"/>
                <w:sz w:val="22"/>
                <w:szCs w:val="22"/>
                <w:lang w:val="nl-NL"/>
              </w:rPr>
              <w:t>were</w:t>
            </w:r>
            <w:proofErr w:type="spellEnd"/>
            <w:r w:rsidRPr="00E303DF">
              <w:rPr>
                <w:rFonts w:ascii="Calibri" w:eastAsia="Calibri" w:hAnsi="Calibri"/>
                <w:sz w:val="22"/>
                <w:szCs w:val="22"/>
                <w:lang w:val="nl-NL"/>
              </w:rPr>
              <w:t xml:space="preserve"> </w:t>
            </w:r>
            <w:proofErr w:type="spellStart"/>
            <w:r w:rsidRPr="00E303DF">
              <w:rPr>
                <w:rFonts w:ascii="Calibri" w:eastAsia="Calibri" w:hAnsi="Calibri"/>
                <w:sz w:val="22"/>
                <w:szCs w:val="22"/>
                <w:lang w:val="nl-NL"/>
              </w:rPr>
              <w:t>greater</w:t>
            </w:r>
            <w:proofErr w:type="spellEnd"/>
            <w:r w:rsidRPr="00E303DF">
              <w:rPr>
                <w:rFonts w:ascii="Calibri" w:eastAsia="Calibri" w:hAnsi="Calibri"/>
                <w:sz w:val="22"/>
                <w:szCs w:val="22"/>
                <w:lang w:val="nl-NL"/>
              </w:rPr>
              <w:t xml:space="preserve"> </w:t>
            </w:r>
            <w:proofErr w:type="spellStart"/>
            <w:r w:rsidRPr="00E303DF">
              <w:rPr>
                <w:rFonts w:ascii="Calibri" w:eastAsia="Calibri" w:hAnsi="Calibri"/>
                <w:sz w:val="22"/>
                <w:szCs w:val="22"/>
                <w:lang w:val="nl-NL"/>
              </w:rPr>
              <w:t>than</w:t>
            </w:r>
            <w:proofErr w:type="spellEnd"/>
            <w:r w:rsidRPr="00E303DF">
              <w:rPr>
                <w:rFonts w:ascii="Calibri" w:eastAsia="Calibri" w:hAnsi="Calibri"/>
                <w:sz w:val="22"/>
                <w:szCs w:val="22"/>
                <w:lang w:val="nl-NL"/>
              </w:rPr>
              <w:t xml:space="preserve"> 4 points </w:t>
            </w:r>
            <w:proofErr w:type="spellStart"/>
            <w:r w:rsidRPr="00E303DF">
              <w:rPr>
                <w:rFonts w:ascii="Calibri" w:eastAsia="Calibri" w:hAnsi="Calibri"/>
                <w:sz w:val="22"/>
                <w:szCs w:val="22"/>
                <w:lang w:val="nl-NL"/>
              </w:rPr>
              <w:t>for</w:t>
            </w:r>
            <w:proofErr w:type="spellEnd"/>
            <w:r w:rsidRPr="00E303DF">
              <w:rPr>
                <w:rFonts w:ascii="Calibri" w:eastAsia="Calibri" w:hAnsi="Calibri"/>
                <w:sz w:val="22"/>
                <w:szCs w:val="22"/>
                <w:lang w:val="nl-NL"/>
              </w:rPr>
              <w:t xml:space="preserve"> WOMAC </w:t>
            </w:r>
            <w:proofErr w:type="spellStart"/>
            <w:r w:rsidRPr="00E303DF">
              <w:rPr>
                <w:rFonts w:ascii="Calibri" w:eastAsia="Calibri" w:hAnsi="Calibri"/>
                <w:sz w:val="22"/>
                <w:szCs w:val="22"/>
                <w:lang w:val="nl-NL"/>
              </w:rPr>
              <w:t>pain</w:t>
            </w:r>
            <w:proofErr w:type="spellEnd"/>
            <w:r w:rsidRPr="00E303DF">
              <w:rPr>
                <w:rFonts w:ascii="Calibri" w:eastAsia="Calibri" w:hAnsi="Calibri"/>
                <w:sz w:val="22"/>
                <w:szCs w:val="22"/>
                <w:lang w:val="nl-NL"/>
              </w:rPr>
              <w:t>.”</w:t>
            </w:r>
          </w:p>
        </w:tc>
      </w:tr>
      <w:tr w:rsidR="0044539B" w:rsidRPr="00E303DF" w14:paraId="385C7004" w14:textId="77777777" w:rsidTr="00C11045">
        <w:trPr>
          <w:trHeight w:val="453"/>
        </w:trPr>
        <w:tc>
          <w:tcPr>
            <w:tcW w:w="5046" w:type="dxa"/>
            <w:shd w:val="clear" w:color="auto" w:fill="auto"/>
          </w:tcPr>
          <w:p w14:paraId="5D46C619" w14:textId="77777777"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 xml:space="preserve">IKSS pain &lt;30 </w:t>
            </w:r>
          </w:p>
          <w:p w14:paraId="7F2A89C4" w14:textId="6D762BFE" w:rsidR="0044539B" w:rsidRPr="007F03EC" w:rsidRDefault="0044539B" w:rsidP="00C11045">
            <w:pPr>
              <w:spacing w:line="240" w:lineRule="auto"/>
              <w:rPr>
                <w:rFonts w:ascii="Calibri" w:eastAsia="Calibri" w:hAnsi="Calibri"/>
                <w:sz w:val="16"/>
                <w:szCs w:val="16"/>
              </w:rPr>
            </w:pPr>
            <w:r w:rsidRPr="00E303DF">
              <w:rPr>
                <w:rFonts w:ascii="Calibri" w:eastAsia="Calibri" w:hAnsi="Calibri"/>
                <w:sz w:val="16"/>
                <w:szCs w:val="16"/>
              </w:rPr>
              <w:t>(</w:t>
            </w:r>
            <w:proofErr w:type="spellStart"/>
            <w:r w:rsidRPr="00E303DF">
              <w:rPr>
                <w:rFonts w:ascii="Calibri" w:eastAsia="Calibri" w:hAnsi="Calibri"/>
                <w:sz w:val="16"/>
                <w:szCs w:val="16"/>
                <w:lang w:val="en-GB"/>
              </w:rPr>
              <w:t>Dowsey</w:t>
            </w:r>
            <w:proofErr w:type="spellEnd"/>
            <w:r w:rsidRPr="00E303DF">
              <w:rPr>
                <w:rFonts w:ascii="Calibri" w:eastAsia="Calibri" w:hAnsi="Calibri"/>
                <w:sz w:val="16"/>
                <w:szCs w:val="16"/>
                <w:lang w:val="en-GB"/>
              </w:rPr>
              <w:t xml:space="preserve"> et al, 2012</w:t>
            </w:r>
            <w:r w:rsidR="002620A4">
              <w:rPr>
                <w:rFonts w:ascii="Calibri" w:eastAsia="Calibri" w:hAnsi="Calibri"/>
                <w:sz w:val="16"/>
                <w:szCs w:val="16"/>
                <w:lang w:val="en-GB"/>
              </w:rPr>
              <w:t xml:space="preserve"> </w:t>
            </w:r>
            <w:r w:rsidRPr="00E303DF">
              <w:rPr>
                <w:rFonts w:ascii="Calibri" w:eastAsia="Calibri" w:hAnsi="Calibri"/>
                <w:noProof/>
                <w:sz w:val="16"/>
                <w:szCs w:val="16"/>
                <w:lang w:val="en-GB"/>
              </w:rPr>
              <w:t>(40)</w:t>
            </w:r>
            <w:r w:rsidRPr="00E303DF">
              <w:rPr>
                <w:rFonts w:ascii="Calibri" w:eastAsia="Calibri" w:hAnsi="Calibri"/>
                <w:sz w:val="16"/>
                <w:szCs w:val="16"/>
                <w:lang w:val="en-GB"/>
              </w:rPr>
              <w:t>)</w:t>
            </w:r>
          </w:p>
        </w:tc>
        <w:tc>
          <w:tcPr>
            <w:tcW w:w="8587" w:type="dxa"/>
            <w:shd w:val="clear" w:color="auto" w:fill="auto"/>
          </w:tcPr>
          <w:p w14:paraId="1DF4187F" w14:textId="6DF633DE"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 xml:space="preserve">“Pain was </w:t>
            </w:r>
            <w:proofErr w:type="spellStart"/>
            <w:r w:rsidRPr="00E303DF">
              <w:rPr>
                <w:rFonts w:ascii="Calibri" w:eastAsia="Calibri" w:hAnsi="Calibri"/>
                <w:sz w:val="22"/>
                <w:szCs w:val="22"/>
              </w:rPr>
              <w:t>dichotomised</w:t>
            </w:r>
            <w:proofErr w:type="spellEnd"/>
            <w:r w:rsidRPr="00E303DF">
              <w:rPr>
                <w:rFonts w:ascii="Calibri" w:eastAsia="Calibri" w:hAnsi="Calibri"/>
                <w:sz w:val="22"/>
                <w:szCs w:val="22"/>
              </w:rPr>
              <w:t xml:space="preserve"> into two categories based on severity at 12 months and 2 years (those with IKSS pain score </w:t>
            </w:r>
            <w:r w:rsidRPr="00E303DF">
              <w:rPr>
                <w:rFonts w:ascii="Calibri" w:eastAsia="Calibri" w:hAnsi="Calibri" w:cs="Calibri"/>
                <w:sz w:val="22"/>
                <w:szCs w:val="22"/>
              </w:rPr>
              <w:t>≥</w:t>
            </w:r>
            <w:r w:rsidRPr="00E303DF">
              <w:rPr>
                <w:rFonts w:ascii="Calibri" w:eastAsia="Calibri" w:hAnsi="Calibri"/>
                <w:sz w:val="22"/>
                <w:szCs w:val="22"/>
              </w:rPr>
              <w:t>30</w:t>
            </w:r>
            <w:r w:rsidR="00F81FA6">
              <w:rPr>
                <w:rFonts w:ascii="Calibri" w:eastAsia="Calibri" w:hAnsi="Calibri"/>
                <w:sz w:val="22"/>
                <w:szCs w:val="22"/>
              </w:rPr>
              <w:t>)</w:t>
            </w:r>
            <w:r w:rsidRPr="00E303DF">
              <w:rPr>
                <w:rFonts w:ascii="Calibri" w:eastAsia="Calibri" w:hAnsi="Calibri"/>
                <w:sz w:val="22"/>
                <w:szCs w:val="22"/>
              </w:rPr>
              <w:t xml:space="preserve"> were classified as having none to mild pain and those with IKSS pain score &lt;30 were classified as having moderate to severe pain</w:t>
            </w:r>
            <w:r w:rsidR="009D101F">
              <w:rPr>
                <w:rFonts w:ascii="Calibri" w:eastAsia="Calibri" w:hAnsi="Calibri"/>
                <w:sz w:val="22"/>
                <w:szCs w:val="22"/>
              </w:rPr>
              <w:fldChar w:fldCharType="begin" w:fldLock="1"/>
            </w:r>
            <w:r w:rsidR="005A7914">
              <w:rPr>
                <w:rFonts w:ascii="Calibri" w:eastAsia="Calibri" w:hAnsi="Calibri"/>
                <w:sz w:val="22"/>
                <w:szCs w:val="22"/>
              </w:rPr>
              <w:instrText>ADDIN CSL_CITATION {"citationItems":[{"id":"ITEM-1","itemData":{"DOI":"10.1097/00003086-198911000-00004","ISBN":"0009-921X (Print)","ISSN":"0009-921X","PMID":"2805470","abstract":"A new total knee rating system has been developed by The Knee Society to provide an up-to-date more stringent evaluation form. The system is subdivided into a knee score that rates only the knee joint itself and a functional score that rates the patient's ability to walk and climb stairs. The dual rating system eliminates the problem of declining knee scores associated with patient infirmity.","author":[{"dropping-particle":"","family":"Insall","given":"J.N.","non-dropping-particle":"","parse-names":false,"suffix":""},{"dropping-particle":"","family":"Dorr","given":"L.D.","non-dropping-particle":"","parse-names":false,"suffix":""},{"dropping-particle":"","family":"Scott","given":"R.D.","non-dropping-particle":"","parse-names":false,"suffix":""},{"dropping-particle":"","family":"Scott","given":"W.N.","non-dropping-particle":"","parse-names":false,"suffix":""}],"container-title":"Clinical orthopaedics and related research","id":"ITEM-1","issue":"November (248)","issued":{"date-parts":[["1989"]]},"page":"13-14","title":"Rationale of the Knee Society clinical rating system.","type":"article-journal","volume":"248"},"uris":["http://www.mendeley.com/documents/?uuid=dddc7975-a4f4-45e9-9142-193022a7faf2"]}],"mendeley":{"formattedCitation":"(3)","plainTextFormattedCitation":"(3)","previouslyFormattedCitation":"(3)"},"properties":{"noteIndex":0},"schema":"https://github.com/citation-style-language/schema/raw/master/csl-citation.json"}</w:instrText>
            </w:r>
            <w:r w:rsidR="009D101F">
              <w:rPr>
                <w:rFonts w:ascii="Calibri" w:eastAsia="Calibri" w:hAnsi="Calibri"/>
                <w:sz w:val="22"/>
                <w:szCs w:val="22"/>
              </w:rPr>
              <w:fldChar w:fldCharType="separate"/>
            </w:r>
            <w:r w:rsidR="00117A4F" w:rsidRPr="00117A4F">
              <w:rPr>
                <w:rFonts w:ascii="Calibri" w:eastAsia="Calibri" w:hAnsi="Calibri"/>
                <w:noProof/>
                <w:sz w:val="22"/>
                <w:szCs w:val="22"/>
              </w:rPr>
              <w:t>(3)</w:t>
            </w:r>
            <w:r w:rsidR="009D101F">
              <w:rPr>
                <w:rFonts w:ascii="Calibri" w:eastAsia="Calibri" w:hAnsi="Calibri"/>
                <w:sz w:val="22"/>
                <w:szCs w:val="22"/>
              </w:rPr>
              <w:fldChar w:fldCharType="end"/>
            </w:r>
            <w:r w:rsidRPr="00E303DF">
              <w:rPr>
                <w:rFonts w:ascii="Calibri" w:eastAsia="Calibri" w:hAnsi="Calibri"/>
                <w:sz w:val="22"/>
                <w:szCs w:val="22"/>
              </w:rPr>
              <w:t xml:space="preserve">.” </w:t>
            </w:r>
          </w:p>
        </w:tc>
      </w:tr>
      <w:tr w:rsidR="0044539B" w:rsidRPr="00E303DF" w14:paraId="124A7B2A" w14:textId="77777777" w:rsidTr="00C11045">
        <w:trPr>
          <w:trHeight w:val="463"/>
        </w:trPr>
        <w:tc>
          <w:tcPr>
            <w:tcW w:w="5046" w:type="dxa"/>
            <w:shd w:val="clear" w:color="auto" w:fill="auto"/>
          </w:tcPr>
          <w:p w14:paraId="4D4225EA" w14:textId="77777777"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McGill Pain Index &gt;0</w:t>
            </w:r>
          </w:p>
          <w:p w14:paraId="7DB56163" w14:textId="69829ACB" w:rsidR="0044539B" w:rsidRPr="00E303DF" w:rsidRDefault="0044539B" w:rsidP="00C11045">
            <w:pPr>
              <w:spacing w:line="240" w:lineRule="auto"/>
              <w:rPr>
                <w:rFonts w:ascii="Calibri" w:eastAsia="Calibri" w:hAnsi="Calibri"/>
                <w:iCs/>
                <w:sz w:val="16"/>
                <w:szCs w:val="16"/>
              </w:rPr>
            </w:pPr>
            <w:r w:rsidRPr="00E303DF">
              <w:rPr>
                <w:rFonts w:ascii="Calibri" w:eastAsia="Calibri" w:hAnsi="Calibri"/>
                <w:iCs/>
                <w:sz w:val="16"/>
                <w:szCs w:val="16"/>
                <w:lang w:val="en-GB"/>
              </w:rPr>
              <w:t>(Forsythe et al, 2008</w:t>
            </w:r>
            <w:r w:rsidR="002620A4">
              <w:rPr>
                <w:rFonts w:ascii="Calibri" w:eastAsia="Calibri" w:hAnsi="Calibri"/>
                <w:iCs/>
                <w:sz w:val="16"/>
                <w:szCs w:val="16"/>
                <w:lang w:val="en-GB"/>
              </w:rPr>
              <w:t xml:space="preserve"> </w:t>
            </w:r>
            <w:r w:rsidRPr="00E303DF">
              <w:rPr>
                <w:rFonts w:ascii="Calibri" w:eastAsia="Calibri" w:hAnsi="Calibri"/>
                <w:iCs/>
                <w:noProof/>
                <w:sz w:val="16"/>
                <w:szCs w:val="16"/>
                <w:lang w:val="en-GB"/>
              </w:rPr>
              <w:t>(33)</w:t>
            </w:r>
            <w:r w:rsidRPr="00E303DF">
              <w:rPr>
                <w:rFonts w:ascii="Calibri" w:eastAsia="Calibri" w:hAnsi="Calibri"/>
                <w:iCs/>
                <w:sz w:val="16"/>
                <w:szCs w:val="16"/>
                <w:lang w:val="en-GB"/>
              </w:rPr>
              <w:t>)</w:t>
            </w:r>
          </w:p>
        </w:tc>
        <w:tc>
          <w:tcPr>
            <w:tcW w:w="8587" w:type="dxa"/>
            <w:shd w:val="clear" w:color="auto" w:fill="auto"/>
          </w:tcPr>
          <w:p w14:paraId="32661BEF" w14:textId="77777777"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“Sample was dichotomized into definitive ‘pain’ and ‘no pain’ groups, rather than arbitrarily dichotomizing the population as having mild or moderate pain.”</w:t>
            </w:r>
          </w:p>
        </w:tc>
      </w:tr>
      <w:tr w:rsidR="0044539B" w:rsidRPr="00E303DF" w14:paraId="04E5DBDF" w14:textId="77777777" w:rsidTr="00C11045">
        <w:trPr>
          <w:trHeight w:val="453"/>
        </w:trPr>
        <w:tc>
          <w:tcPr>
            <w:tcW w:w="5046" w:type="dxa"/>
            <w:shd w:val="clear" w:color="auto" w:fill="auto"/>
          </w:tcPr>
          <w:p w14:paraId="4E63BDD8" w14:textId="77777777" w:rsidR="0044539B" w:rsidRPr="00E303DF" w:rsidRDefault="0044539B" w:rsidP="00C11045">
            <w:pPr>
              <w:spacing w:line="240" w:lineRule="auto"/>
              <w:rPr>
                <w:rFonts w:ascii="Calibri" w:eastAsia="Calibri" w:hAnsi="Calibri"/>
                <w:sz w:val="22"/>
                <w:szCs w:val="22"/>
                <w:lang w:val="en-GB"/>
              </w:rPr>
            </w:pPr>
            <w:r w:rsidRPr="00E303DF">
              <w:rPr>
                <w:rFonts w:ascii="Calibri" w:eastAsia="Calibri" w:hAnsi="Calibri"/>
                <w:sz w:val="22"/>
                <w:szCs w:val="22"/>
              </w:rPr>
              <w:t xml:space="preserve">Brief Pain Inventory </w:t>
            </w:r>
            <w:r w:rsidRPr="00E303DF">
              <w:rPr>
                <w:rFonts w:ascii="Calibri" w:eastAsia="Calibri" w:hAnsi="Calibri"/>
                <w:sz w:val="22"/>
                <w:szCs w:val="22"/>
                <w:lang w:val="en-GB"/>
              </w:rPr>
              <w:t>≥3</w:t>
            </w:r>
          </w:p>
          <w:p w14:paraId="6376DB29" w14:textId="527950C3" w:rsidR="0044539B" w:rsidRPr="00E303DF" w:rsidRDefault="0044539B" w:rsidP="00C11045">
            <w:pPr>
              <w:spacing w:line="240" w:lineRule="auto"/>
              <w:rPr>
                <w:rFonts w:ascii="Calibri" w:eastAsia="Calibri" w:hAnsi="Calibri"/>
                <w:iCs/>
                <w:sz w:val="16"/>
                <w:szCs w:val="16"/>
              </w:rPr>
            </w:pPr>
            <w:r w:rsidRPr="00E303DF">
              <w:rPr>
                <w:rFonts w:ascii="Calibri" w:eastAsia="Calibri" w:hAnsi="Calibri"/>
                <w:iCs/>
                <w:sz w:val="16"/>
                <w:szCs w:val="16"/>
                <w:lang w:val="en-GB"/>
              </w:rPr>
              <w:t>(</w:t>
            </w:r>
            <w:proofErr w:type="spellStart"/>
            <w:r w:rsidRPr="00E303DF">
              <w:rPr>
                <w:rFonts w:ascii="Calibri" w:eastAsia="Calibri" w:hAnsi="Calibri"/>
                <w:iCs/>
                <w:sz w:val="16"/>
                <w:szCs w:val="16"/>
                <w:lang w:val="en-GB"/>
              </w:rPr>
              <w:t>Masselin</w:t>
            </w:r>
            <w:proofErr w:type="spellEnd"/>
            <w:r w:rsidRPr="00E303DF">
              <w:rPr>
                <w:rFonts w:ascii="Calibri" w:eastAsia="Calibri" w:hAnsi="Calibri"/>
                <w:iCs/>
                <w:sz w:val="16"/>
                <w:szCs w:val="16"/>
                <w:lang w:val="en-GB"/>
              </w:rPr>
              <w:t>- Dubois, 2013</w:t>
            </w:r>
            <w:r w:rsidR="002620A4">
              <w:rPr>
                <w:rFonts w:ascii="Calibri" w:eastAsia="Calibri" w:hAnsi="Calibri"/>
                <w:iCs/>
                <w:sz w:val="16"/>
                <w:szCs w:val="16"/>
                <w:lang w:val="en-GB"/>
              </w:rPr>
              <w:t xml:space="preserve"> </w:t>
            </w:r>
            <w:r w:rsidRPr="00E303DF">
              <w:rPr>
                <w:rFonts w:ascii="Calibri" w:eastAsia="Calibri" w:hAnsi="Calibri"/>
                <w:iCs/>
                <w:noProof/>
                <w:sz w:val="16"/>
                <w:szCs w:val="16"/>
                <w:lang w:val="en-GB"/>
              </w:rPr>
              <w:t>(41)</w:t>
            </w:r>
            <w:r w:rsidRPr="00E303DF">
              <w:rPr>
                <w:rFonts w:ascii="Calibri" w:eastAsia="Calibri" w:hAnsi="Calibri"/>
                <w:iCs/>
                <w:sz w:val="16"/>
                <w:szCs w:val="16"/>
                <w:lang w:val="en-GB"/>
              </w:rPr>
              <w:t>)</w:t>
            </w:r>
          </w:p>
        </w:tc>
        <w:tc>
          <w:tcPr>
            <w:tcW w:w="8587" w:type="dxa"/>
            <w:shd w:val="clear" w:color="auto" w:fill="auto"/>
          </w:tcPr>
          <w:p w14:paraId="61C2AFF9" w14:textId="77777777"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 xml:space="preserve">“Clinically meaningful pain was considered to be present if patients rated their average pain or pain right now as </w:t>
            </w:r>
            <w:r w:rsidRPr="00E303DF">
              <w:rPr>
                <w:rFonts w:ascii="Calibri" w:eastAsia="Calibri" w:hAnsi="Calibri" w:cs="Calibri"/>
                <w:sz w:val="22"/>
                <w:szCs w:val="22"/>
              </w:rPr>
              <w:t>≥</w:t>
            </w:r>
            <w:r w:rsidRPr="00E303DF">
              <w:rPr>
                <w:rFonts w:ascii="Calibri" w:eastAsia="Calibri" w:hAnsi="Calibri"/>
                <w:sz w:val="22"/>
                <w:szCs w:val="22"/>
              </w:rPr>
              <w:t>3/10 on the BPI. This cutoff corresponds to at least moderate pain with a potential impact on physical or emotional functioning.”</w:t>
            </w:r>
          </w:p>
        </w:tc>
      </w:tr>
      <w:tr w:rsidR="0044539B" w:rsidRPr="00E303DF" w14:paraId="776A7267" w14:textId="77777777" w:rsidTr="00C11045">
        <w:trPr>
          <w:trHeight w:val="463"/>
        </w:trPr>
        <w:tc>
          <w:tcPr>
            <w:tcW w:w="5046" w:type="dxa"/>
            <w:shd w:val="clear" w:color="auto" w:fill="auto"/>
          </w:tcPr>
          <w:p w14:paraId="0130A985" w14:textId="77777777" w:rsidR="0044539B" w:rsidRPr="00E303DF" w:rsidRDefault="0044539B" w:rsidP="00C11045">
            <w:pPr>
              <w:spacing w:line="240" w:lineRule="auto"/>
              <w:rPr>
                <w:rFonts w:ascii="Calibri" w:eastAsia="Calibri" w:hAnsi="Calibri"/>
                <w:sz w:val="22"/>
                <w:szCs w:val="22"/>
                <w:lang w:val="nl-NL"/>
              </w:rPr>
            </w:pPr>
            <w:r w:rsidRPr="00E303DF">
              <w:rPr>
                <w:rFonts w:ascii="Calibri" w:eastAsia="Calibri" w:hAnsi="Calibri"/>
                <w:sz w:val="22"/>
                <w:szCs w:val="22"/>
                <w:lang w:val="nl-NL"/>
              </w:rPr>
              <w:t xml:space="preserve">NRS </w:t>
            </w:r>
            <w:proofErr w:type="spellStart"/>
            <w:r w:rsidRPr="00E303DF">
              <w:rPr>
                <w:rFonts w:ascii="Calibri" w:eastAsia="Calibri" w:hAnsi="Calibri"/>
                <w:sz w:val="22"/>
                <w:szCs w:val="22"/>
                <w:lang w:val="nl-NL"/>
              </w:rPr>
              <w:t>pain</w:t>
            </w:r>
            <w:proofErr w:type="spellEnd"/>
            <w:r w:rsidRPr="00E303DF">
              <w:rPr>
                <w:rFonts w:ascii="Calibri" w:eastAsia="Calibri" w:hAnsi="Calibri"/>
                <w:sz w:val="22"/>
                <w:szCs w:val="22"/>
                <w:lang w:val="nl-NL"/>
              </w:rPr>
              <w:t xml:space="preserve"> &gt;3 </w:t>
            </w:r>
          </w:p>
          <w:p w14:paraId="42E40CF0" w14:textId="131C1BB7" w:rsidR="0044539B" w:rsidRPr="00E303DF" w:rsidRDefault="0044539B" w:rsidP="00C11045">
            <w:pPr>
              <w:spacing w:line="240" w:lineRule="auto"/>
              <w:rPr>
                <w:rFonts w:ascii="Calibri" w:eastAsia="Calibri" w:hAnsi="Calibri"/>
                <w:sz w:val="16"/>
                <w:szCs w:val="16"/>
                <w:lang w:val="en-GB"/>
              </w:rPr>
            </w:pPr>
            <w:r w:rsidRPr="00E303DF">
              <w:rPr>
                <w:rFonts w:ascii="Calibri" w:eastAsia="Calibri" w:hAnsi="Calibri"/>
                <w:sz w:val="16"/>
                <w:szCs w:val="16"/>
                <w:lang w:val="nl-NL"/>
              </w:rPr>
              <w:t>(</w:t>
            </w:r>
            <w:r w:rsidRPr="00E303DF">
              <w:rPr>
                <w:rFonts w:ascii="Calibri" w:eastAsia="Calibri" w:hAnsi="Calibri"/>
                <w:sz w:val="16"/>
                <w:szCs w:val="16"/>
                <w:lang w:val="en-GB"/>
              </w:rPr>
              <w:t>Pinto, 2013</w:t>
            </w:r>
            <w:r w:rsidR="002620A4">
              <w:rPr>
                <w:rFonts w:ascii="Calibri" w:eastAsia="Calibri" w:hAnsi="Calibri"/>
                <w:sz w:val="16"/>
                <w:szCs w:val="16"/>
                <w:lang w:val="en-GB"/>
              </w:rPr>
              <w:t xml:space="preserve"> </w:t>
            </w:r>
            <w:r w:rsidRPr="00E303DF">
              <w:rPr>
                <w:rFonts w:ascii="Calibri" w:eastAsia="Calibri" w:hAnsi="Calibri"/>
                <w:noProof/>
                <w:sz w:val="16"/>
                <w:szCs w:val="16"/>
                <w:lang w:val="en-GB"/>
              </w:rPr>
              <w:t>(43)</w:t>
            </w:r>
            <w:r w:rsidRPr="00E303DF">
              <w:rPr>
                <w:rFonts w:ascii="Calibri" w:eastAsia="Calibri" w:hAnsi="Calibri"/>
                <w:sz w:val="16"/>
                <w:szCs w:val="16"/>
                <w:lang w:val="en-GB"/>
              </w:rPr>
              <w:t>)</w:t>
            </w:r>
          </w:p>
          <w:p w14:paraId="41D120D1" w14:textId="77777777" w:rsidR="0044539B" w:rsidRPr="00E303DF" w:rsidRDefault="0044539B" w:rsidP="00C11045">
            <w:pPr>
              <w:spacing w:line="240" w:lineRule="auto"/>
              <w:rPr>
                <w:rFonts w:ascii="Calibri" w:eastAsia="Calibri" w:hAnsi="Calibri"/>
                <w:sz w:val="22"/>
                <w:szCs w:val="22"/>
                <w:lang w:val="nl-NL"/>
              </w:rPr>
            </w:pPr>
          </w:p>
        </w:tc>
        <w:tc>
          <w:tcPr>
            <w:tcW w:w="8587" w:type="dxa"/>
            <w:shd w:val="clear" w:color="auto" w:fill="auto"/>
          </w:tcPr>
          <w:p w14:paraId="0EE4B7C3" w14:textId="6DF07E50"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“Patients reporting significant ‘‘worst pain’’ levels in the surgical area (NRS &gt;3) were considered as being PPSP positive, similar to previous studies</w:t>
            </w:r>
            <w:r w:rsidR="009D101F">
              <w:rPr>
                <w:rFonts w:ascii="Calibri" w:eastAsia="Calibri" w:hAnsi="Calibri"/>
                <w:sz w:val="22"/>
                <w:szCs w:val="22"/>
              </w:rPr>
              <w:t xml:space="preserve"> </w:t>
            </w:r>
            <w:r w:rsidR="009D101F">
              <w:rPr>
                <w:rFonts w:ascii="Calibri" w:eastAsia="Calibri" w:hAnsi="Calibri"/>
                <w:sz w:val="22"/>
                <w:szCs w:val="22"/>
              </w:rPr>
              <w:fldChar w:fldCharType="begin" w:fldLock="1"/>
            </w:r>
            <w:r w:rsidR="005A7914">
              <w:rPr>
                <w:rFonts w:ascii="Calibri" w:eastAsia="Calibri" w:hAnsi="Calibri"/>
                <w:sz w:val="22"/>
                <w:szCs w:val="22"/>
              </w:rPr>
              <w:instrText>ADDIN CSL_CITATION {"citationItems":[{"id":"ITEM-1","itemData":{"ISSN":"16501977","abstract":"Objective: To determine changes in physical and social function during a prolonged preoperative waiting period and at 3 months after total knee arthroplasty. Subjects: Forty-three patients were evaluated on the day that surgery was decided, the day before surgery, and 3 months afterwards. Methods: Knee pain and function were assessed using a visual analogue scale and a functional assessment system. Isometric knee flexion extension strength and mobility were measured. Results: Knee pain and muscle strength remained unchanged during the mean waiting time of 10 (standard deviation 8) months. On the affected side, knee extension strength was 19% weaker than on the contralateral side and did not change pre-operatively. Post-operatively, knee pain decreased by 50%. Knee extension strength decreased by 26% and flexion strength by 12% compared with the initial assessments. Knee extension strength of the operated side was 42% lower than on the non-operated side. Knee flexion mobility was decreased by 8%, while the initially detected knee extension deficit of 10° (SD 7) remained unchanged. The functional assessment system did not detect any changes in function. Conclusion: Waiting time did not affect knee pain or isometric knee extension/flexion strength. Three months post-operatively, knee pain had decreased significantly, but the strength of the operated knee was significantly lower than the pre-operatively. © 2008 Foundation of Rehabilitation Information.","author":[{"dropping-particle":"","family":"Vuorenmaa","given":"M","non-dropping-particle":"","parse-names":false,"suffix":""},{"dropping-particle":"","family":"Ylinen","given":"J","non-dropping-particle":"","parse-names":false,"suffix":""},{"dropping-particle":"","family":"Kiviranta","given":"I","non-dropping-particle":"","parse-names":false,"suffix":""},{"dropping-particle":"","family":"Intke","given":"A","non-dropping-particle":"","parse-names":false,"suffix":""},{"dropping-particle":"","family":"Kautiainen","given":"HJ","non-dropping-particle":"","parse-names":false,"suffix":""},{"dropping-particle":"","family":"Mälkiä","given":"E","non-dropping-particle":"","parse-names":false,"suffix":""},{"dropping-particle":"","family":"Häkkinen","given":"A","non-dropping-particle":"","parse-names":false,"suffix":""}],"container-title":"J Rehabil Med","id":"ITEM-1","issue":"7","issued":{"date-parts":[["2008"]]},"page":"570-575","title":"Changes in pain and physical function during waiting time and 3 months after knee joint arthroplasty","type":"article-journal","volume":"40"},"uris":["http://www.mendeley.com/documents/?uuid=0fc67bea-db59-4e4c-840b-b22f0fc6b2f0"]}],"mendeley":{"formattedCitation":"(4)","plainTextFormattedCitation":"(4)","previouslyFormattedCitation":"(4)"},"properties":{"noteIndex":0},"schema":"https://github.com/citation-style-language/schema/raw/master/csl-citation.json"}</w:instrText>
            </w:r>
            <w:r w:rsidR="009D101F">
              <w:rPr>
                <w:rFonts w:ascii="Calibri" w:eastAsia="Calibri" w:hAnsi="Calibri"/>
                <w:sz w:val="22"/>
                <w:szCs w:val="22"/>
              </w:rPr>
              <w:fldChar w:fldCharType="separate"/>
            </w:r>
            <w:r w:rsidR="00117A4F" w:rsidRPr="00117A4F">
              <w:rPr>
                <w:rFonts w:ascii="Calibri" w:eastAsia="Calibri" w:hAnsi="Calibri"/>
                <w:noProof/>
                <w:sz w:val="22"/>
                <w:szCs w:val="22"/>
              </w:rPr>
              <w:t>(4)</w:t>
            </w:r>
            <w:r w:rsidR="009D101F">
              <w:rPr>
                <w:rFonts w:ascii="Calibri" w:eastAsia="Calibri" w:hAnsi="Calibri"/>
                <w:sz w:val="22"/>
                <w:szCs w:val="22"/>
              </w:rPr>
              <w:fldChar w:fldCharType="end"/>
            </w:r>
            <w:r w:rsidRPr="00E303DF">
              <w:rPr>
                <w:rFonts w:ascii="Calibri" w:eastAsia="Calibri" w:hAnsi="Calibri"/>
                <w:sz w:val="22"/>
                <w:szCs w:val="22"/>
              </w:rPr>
              <w:t xml:space="preserve">. ………. this cut-off was based on previous recommendations considering the differential impact of pain levels above 3 </w:t>
            </w:r>
            <w:r w:rsidR="009D101F">
              <w:rPr>
                <w:rFonts w:ascii="Calibri" w:eastAsia="Calibri" w:hAnsi="Calibri"/>
                <w:sz w:val="22"/>
                <w:szCs w:val="22"/>
              </w:rPr>
              <w:fldChar w:fldCharType="begin" w:fldLock="1"/>
            </w:r>
            <w:r w:rsidR="005A7914">
              <w:rPr>
                <w:rFonts w:ascii="Calibri" w:eastAsia="Calibri" w:hAnsi="Calibri"/>
                <w:sz w:val="22"/>
                <w:szCs w:val="22"/>
              </w:rPr>
              <w:instrText>ADDIN CSL_CITATION {"citationItems":[{"id":"ITEM-1","itemData":{"ISSN":"07498047","abstract":"OBJECTIVES: Although several studies have established different cutpoints (CPs) for mild, moderate, and severe pain for a variety of chronic pain conditions, only one study by Mendoza and colleagues reported on CPs for acute postoperative pain that were derived using ratings of worst pain. The purpose of this study was to explore the establishment of the optimal CPs for mild, moderate, and severe postoperative pain using ratings of average and worst pain and to determine if these CPs distinguished among the pain severity groups on several outcomes. METHODS: The study is a reanalysis of data from patients who underwent hip and knee replacement surgery. Using the methodology described by Serlin et al, a series of CP derivations were performed based on both single item scores for pain intensity and mean scores for pain intensity. One-way analyses of variance, χ analyses, or Kruskal-Wallis tests were conducted to determine if the optimal CPs for pain severity distinguished among the 3 pain severity groups on several outcomes. RESULTS: CPs 3,5 were found using a mean score based on patients' ratings of average and worst pain on the third postoperative day. Findings suggest that mean pain scores of &gt;3 have a significant effect on general activity, mood, walking ability, and sleep. DISCUSSION: Possible explanations for the differences in the CPs found in this study compared with the results by Mendoza and colleagues are discussed. The findings warrant replication in other samples of postoperative patients. Copyright © 2006 by Lippincott Williams &amp; Wilkins.","author":[{"dropping-particle":"","family":"Dihle","given":"A","non-dropping-particle":"","parse-names":false,"suffix":""},{"dropping-particle":"","family":"Helseth","given":"S","non-dropping-particle":"","parse-names":false,"suffix":""},{"dropping-particle":"","family":"Paul","given":"SM","non-dropping-particle":"","parse-names":false,"suffix":""},{"dropping-particle":"","family":"Miaskowski","given":"C","non-dropping-particle":"","parse-names":false,"suffix":""}],"container-title":"Clinical Journal of Pain","id":"ITEM-1","issue":"7","issued":{"date-parts":[["2006"]]},"page":"617-624","title":"The exploration of the establishment of cutpoints to categorize the severity of acute postoperative pain","type":"article-journal","volume":"22"},"uris":["http://www.mendeley.com/documents/?uuid=0e38c962-052a-4b78-8163-85d8c65923f6"]},{"id":"ITEM-2","itemData":{"abstract":"Background: The visual analog scale is widely used in research studies, but its connection with clinical experience outside the research setting and the best way to administer the VAS forms are not well established. This study defines changes in dosing of intravenous patient-controlled analgesia as a clinically relevant outcome and compares it with VAS measures of postoperative pain. Methods: Visual analog scale measurements were obtained from 150 patients on the morning after intraabdominal surgery. On the same afternoon, 50 of the patients provided a VAS score on the same form used in the morning, 50 on a new form, and 50 were not asked for a second VAS measurement. Results: Visual analog scale values and changes in value were similar for patients who were given a new VAS form in the afternoon and those who used the form that showed the morning value. The proportions of patients requesting additional analgesia were 4, 43, and 80%, corresponding to afternoon VAS scores of 30 or less, 31-70, and greater than 70, respectively. Change from morning VAS score had no apparent influence on patient-controlled analgesic dosing for patients with afternoon values of 30 or less or greater than 70, but changes in VAS scores of at least 10 did discriminate among patients whose afternoon values were between 31 and 70. Conclusions: When pain is an outcome measure in research studies, grouping final VAS scores into a small number of categories provides greater clinical relevance for comparisons than using the full spectrum of measured values or changes in value. Seeing an earlier VAS form has no apparent influence on later values.","author":[{"dropping-particle":"","family":"Bodian","given":"CA","non-dropping-particle":"","parse-names":false,"suffix":""},{"dropping-particle":"","family":"Freedman","given":"G","non-dropping-particle":"","parse-names":false,"suffix":""},{"dropping-particle":"","family":"Hossain","given":"S","non-dropping-particle":"","parse-names":false,"suffix":""},{"dropping-particle":"","family":"Eisenkraft","given":"JB","non-dropping-particle":"","parse-names":false,"suffix":""},{"dropping-particle":"","family":"Beilin","given":"Y","non-dropping-particle":"","parse-names":false,"suffix":""}],"container-title":"Anesthesiology","id":"ITEM-2","issue":"6","issued":{"date-parts":[["2001"]]},"page":"1356-1361","title":"The visual analog scale for pain. Clinical significance in postoperative patients.","type":"article-journal","volume":"95"},"uris":["http://www.mendeley.com/documents/?uuid=fc8125e5-6730-499b-9989-a068c68317cc"]}],"mendeley":{"formattedCitation":"(5,6)","plainTextFormattedCitation":"(5,6)","previouslyFormattedCitation":"(5,6)"},"properties":{"noteIndex":0},"schema":"https://github.com/citation-style-language/schema/raw/master/csl-citation.json"}</w:instrText>
            </w:r>
            <w:r w:rsidR="009D101F">
              <w:rPr>
                <w:rFonts w:ascii="Calibri" w:eastAsia="Calibri" w:hAnsi="Calibri"/>
                <w:sz w:val="22"/>
                <w:szCs w:val="22"/>
              </w:rPr>
              <w:fldChar w:fldCharType="separate"/>
            </w:r>
            <w:r w:rsidR="00117A4F" w:rsidRPr="00117A4F">
              <w:rPr>
                <w:rFonts w:ascii="Calibri" w:eastAsia="Calibri" w:hAnsi="Calibri"/>
                <w:noProof/>
                <w:sz w:val="22"/>
                <w:szCs w:val="22"/>
              </w:rPr>
              <w:t>(5,6)</w:t>
            </w:r>
            <w:r w:rsidR="009D101F">
              <w:rPr>
                <w:rFonts w:ascii="Calibri" w:eastAsia="Calibri" w:hAnsi="Calibri"/>
                <w:sz w:val="22"/>
                <w:szCs w:val="22"/>
              </w:rPr>
              <w:fldChar w:fldCharType="end"/>
            </w:r>
            <w:r w:rsidRPr="00E303DF">
              <w:rPr>
                <w:rFonts w:ascii="Calibri" w:eastAsia="Calibri" w:hAnsi="Calibri"/>
                <w:sz w:val="22"/>
                <w:szCs w:val="22"/>
              </w:rPr>
              <w:t xml:space="preserve">.”  </w:t>
            </w:r>
          </w:p>
        </w:tc>
      </w:tr>
      <w:tr w:rsidR="0044539B" w:rsidRPr="00E303DF" w14:paraId="49ED9538" w14:textId="77777777" w:rsidTr="00C11045">
        <w:trPr>
          <w:trHeight w:val="476"/>
        </w:trPr>
        <w:tc>
          <w:tcPr>
            <w:tcW w:w="5046" w:type="dxa"/>
            <w:shd w:val="clear" w:color="auto" w:fill="auto"/>
          </w:tcPr>
          <w:p w14:paraId="49B3CCF5" w14:textId="77777777" w:rsidR="0044539B" w:rsidRPr="00E303DF" w:rsidRDefault="0044539B" w:rsidP="00C11045">
            <w:pPr>
              <w:spacing w:line="240" w:lineRule="auto"/>
              <w:rPr>
                <w:rFonts w:ascii="Calibri" w:eastAsia="Calibri" w:hAnsi="Calibri"/>
                <w:i/>
                <w:sz w:val="22"/>
                <w:szCs w:val="22"/>
                <w:lang w:val="en-GB"/>
              </w:rPr>
            </w:pPr>
            <w:r w:rsidRPr="00E303DF">
              <w:rPr>
                <w:rFonts w:ascii="Calibri" w:eastAsia="Calibri" w:hAnsi="Calibri"/>
                <w:sz w:val="22"/>
                <w:szCs w:val="22"/>
              </w:rPr>
              <w:t>Single item question function: somewhat better, same, worse</w:t>
            </w:r>
          </w:p>
          <w:p w14:paraId="11CAB071" w14:textId="385FEAE9" w:rsidR="0044539B" w:rsidRPr="00E303DF" w:rsidRDefault="0044539B" w:rsidP="00C11045">
            <w:pPr>
              <w:spacing w:line="240" w:lineRule="auto"/>
              <w:rPr>
                <w:rFonts w:ascii="Calibri" w:eastAsia="Calibri" w:hAnsi="Calibri"/>
                <w:sz w:val="22"/>
                <w:szCs w:val="22"/>
                <w:lang w:val="nl-NL"/>
              </w:rPr>
            </w:pPr>
            <w:r w:rsidRPr="00E303DF">
              <w:rPr>
                <w:rFonts w:ascii="Calibri" w:eastAsia="Calibri" w:hAnsi="Calibri"/>
                <w:iCs/>
                <w:sz w:val="16"/>
                <w:szCs w:val="16"/>
                <w:lang w:val="en-GB"/>
              </w:rPr>
              <w:t>(Singh, 2010/06</w:t>
            </w:r>
            <w:r w:rsidR="002620A4">
              <w:rPr>
                <w:rFonts w:ascii="Calibri" w:eastAsia="Calibri" w:hAnsi="Calibri"/>
                <w:iCs/>
                <w:sz w:val="16"/>
                <w:szCs w:val="16"/>
                <w:lang w:val="en-GB"/>
              </w:rPr>
              <w:t xml:space="preserve"> </w:t>
            </w:r>
            <w:r w:rsidRPr="00E303DF">
              <w:rPr>
                <w:rFonts w:ascii="Calibri" w:eastAsia="Calibri" w:hAnsi="Calibri"/>
                <w:iCs/>
                <w:noProof/>
                <w:sz w:val="16"/>
                <w:szCs w:val="16"/>
                <w:lang w:val="en-GB"/>
              </w:rPr>
              <w:t>(44)</w:t>
            </w:r>
            <w:r w:rsidRPr="00E303DF">
              <w:rPr>
                <w:rFonts w:ascii="Calibri" w:eastAsia="Calibri" w:hAnsi="Calibri"/>
                <w:iCs/>
                <w:sz w:val="16"/>
                <w:szCs w:val="16"/>
                <w:lang w:val="en-GB"/>
              </w:rPr>
              <w:t>)</w:t>
            </w:r>
          </w:p>
        </w:tc>
        <w:tc>
          <w:tcPr>
            <w:tcW w:w="8587" w:type="dxa"/>
            <w:shd w:val="clear" w:color="auto" w:fill="auto"/>
          </w:tcPr>
          <w:p w14:paraId="27DFA5EF" w14:textId="77777777"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“Patients in the category of ‘much better’ were compared with those in the reference category comprising ‘somewhat better, same, worse’, Based on the fact that, typically, TKR is an extremely successful procedure and most patients aim to achieve much better knee function than pre-operatively.”</w:t>
            </w:r>
          </w:p>
        </w:tc>
      </w:tr>
      <w:tr w:rsidR="0044539B" w:rsidRPr="00E303DF" w14:paraId="152970C2" w14:textId="77777777" w:rsidTr="00C11045">
        <w:trPr>
          <w:trHeight w:val="453"/>
        </w:trPr>
        <w:tc>
          <w:tcPr>
            <w:tcW w:w="5046" w:type="dxa"/>
            <w:shd w:val="clear" w:color="auto" w:fill="auto"/>
          </w:tcPr>
          <w:p w14:paraId="3A82658D" w14:textId="77777777" w:rsidR="0044539B" w:rsidRPr="00E303DF" w:rsidRDefault="0044539B" w:rsidP="00C11045">
            <w:pPr>
              <w:spacing w:line="240" w:lineRule="auto"/>
              <w:rPr>
                <w:rFonts w:ascii="Calibri" w:eastAsia="Calibri" w:hAnsi="Calibri"/>
                <w:sz w:val="22"/>
                <w:szCs w:val="22"/>
                <w:lang w:val="nl-NL"/>
              </w:rPr>
            </w:pPr>
            <w:r w:rsidRPr="00E303DF">
              <w:rPr>
                <w:rFonts w:ascii="Calibri" w:eastAsia="Calibri" w:hAnsi="Calibri"/>
                <w:sz w:val="22"/>
                <w:szCs w:val="22"/>
                <w:lang w:val="nl-NL"/>
              </w:rPr>
              <w:t xml:space="preserve">IKSS </w:t>
            </w:r>
            <w:proofErr w:type="spellStart"/>
            <w:r w:rsidRPr="00E303DF">
              <w:rPr>
                <w:rFonts w:ascii="Calibri" w:eastAsia="Calibri" w:hAnsi="Calibri"/>
                <w:sz w:val="22"/>
                <w:szCs w:val="22"/>
                <w:lang w:val="nl-NL"/>
              </w:rPr>
              <w:t>functioning</w:t>
            </w:r>
            <w:proofErr w:type="spellEnd"/>
            <w:r w:rsidRPr="00E303DF">
              <w:rPr>
                <w:rFonts w:ascii="Calibri" w:eastAsia="Calibri" w:hAnsi="Calibri"/>
                <w:sz w:val="22"/>
                <w:szCs w:val="22"/>
                <w:lang w:val="nl-NL"/>
              </w:rPr>
              <w:t xml:space="preserve"> &lt;60</w:t>
            </w:r>
          </w:p>
          <w:p w14:paraId="377EB4C1" w14:textId="52C3C5A9" w:rsidR="0044539B" w:rsidRPr="00E303DF" w:rsidRDefault="0044539B" w:rsidP="00C11045">
            <w:pPr>
              <w:spacing w:line="240" w:lineRule="auto"/>
              <w:rPr>
                <w:rFonts w:ascii="Calibri" w:eastAsia="Calibri" w:hAnsi="Calibri"/>
                <w:iCs/>
                <w:sz w:val="16"/>
                <w:szCs w:val="16"/>
                <w:lang w:val="en-GB"/>
              </w:rPr>
            </w:pPr>
            <w:r w:rsidRPr="00E303DF">
              <w:rPr>
                <w:rFonts w:ascii="Calibri" w:eastAsia="Calibri" w:hAnsi="Calibri"/>
                <w:iCs/>
                <w:sz w:val="16"/>
                <w:szCs w:val="16"/>
                <w:lang w:val="en-GB"/>
              </w:rPr>
              <w:t>(</w:t>
            </w:r>
            <w:proofErr w:type="spellStart"/>
            <w:r w:rsidRPr="00E303DF">
              <w:rPr>
                <w:rFonts w:ascii="Calibri" w:eastAsia="Calibri" w:hAnsi="Calibri"/>
                <w:iCs/>
                <w:sz w:val="16"/>
                <w:szCs w:val="16"/>
                <w:lang w:val="en-GB"/>
              </w:rPr>
              <w:t>Dowsey</w:t>
            </w:r>
            <w:proofErr w:type="spellEnd"/>
            <w:r w:rsidRPr="00E303DF">
              <w:rPr>
                <w:rFonts w:ascii="Calibri" w:eastAsia="Calibri" w:hAnsi="Calibri"/>
                <w:iCs/>
                <w:sz w:val="16"/>
                <w:szCs w:val="16"/>
                <w:lang w:val="en-GB"/>
              </w:rPr>
              <w:t>, 2012</w:t>
            </w:r>
            <w:r w:rsidR="002620A4">
              <w:rPr>
                <w:rFonts w:ascii="Calibri" w:eastAsia="Calibri" w:hAnsi="Calibri"/>
                <w:iCs/>
                <w:sz w:val="16"/>
                <w:szCs w:val="16"/>
                <w:lang w:val="en-GB"/>
              </w:rPr>
              <w:t xml:space="preserve"> </w:t>
            </w:r>
            <w:r w:rsidRPr="00E303DF">
              <w:rPr>
                <w:rFonts w:ascii="Calibri" w:eastAsia="Calibri" w:hAnsi="Calibri"/>
                <w:iCs/>
                <w:noProof/>
                <w:sz w:val="16"/>
                <w:szCs w:val="16"/>
                <w:lang w:val="en-GB"/>
              </w:rPr>
              <w:t>(40)</w:t>
            </w:r>
            <w:r w:rsidRPr="00E303DF">
              <w:rPr>
                <w:rFonts w:ascii="Calibri" w:eastAsia="Calibri" w:hAnsi="Calibri"/>
                <w:iCs/>
                <w:sz w:val="16"/>
                <w:szCs w:val="16"/>
                <w:lang w:val="en-GB"/>
              </w:rPr>
              <w:t>)</w:t>
            </w:r>
          </w:p>
        </w:tc>
        <w:tc>
          <w:tcPr>
            <w:tcW w:w="8587" w:type="dxa"/>
            <w:shd w:val="clear" w:color="auto" w:fill="auto"/>
          </w:tcPr>
          <w:p w14:paraId="12E9247C" w14:textId="6DC0ABA5" w:rsidR="0044539B" w:rsidRPr="00E303DF" w:rsidRDefault="0044539B" w:rsidP="00C11045">
            <w:pPr>
              <w:spacing w:line="240" w:lineRule="auto"/>
              <w:rPr>
                <w:rFonts w:ascii="Calibri" w:eastAsia="Calibri" w:hAnsi="Calibri" w:cs="Calibri"/>
                <w:sz w:val="22"/>
                <w:szCs w:val="22"/>
                <w:lang w:val="nl-NL"/>
              </w:rPr>
            </w:pPr>
            <w:r w:rsidRPr="00E303DF">
              <w:rPr>
                <w:rFonts w:ascii="Calibri" w:eastAsia="Calibri" w:hAnsi="Calibri"/>
                <w:sz w:val="22"/>
                <w:szCs w:val="22"/>
              </w:rPr>
              <w:t xml:space="preserve">According to Asif et al. </w:t>
            </w:r>
            <w:r w:rsidR="009D101F">
              <w:rPr>
                <w:rFonts w:ascii="Calibri" w:eastAsia="Calibri" w:hAnsi="Calibri"/>
                <w:sz w:val="22"/>
                <w:szCs w:val="22"/>
              </w:rPr>
              <w:fldChar w:fldCharType="begin" w:fldLock="1"/>
            </w:r>
            <w:r w:rsidR="005A7914">
              <w:rPr>
                <w:rFonts w:ascii="Calibri" w:eastAsia="Calibri" w:hAnsi="Calibri"/>
                <w:sz w:val="22"/>
                <w:szCs w:val="22"/>
              </w:rPr>
              <w:instrText>ADDIN CSL_CITATION {"citationItems":[{"id":"ITEM-1","itemData":{"ISSN":"10225536","PMID":"16365492","abstract":"PURPOSE: To evaluate the midterm results of 50 patients who underwent total knee replacement using Press Fit Condylar (PFC) Sigma system. METHODS: We retrospectively reviewed 87 consecutive cases (50 patients with 37 bilateral cases) of PFC Sigma total knee replacement performed between January 1998 and December 1999. Patients were evaluated clinically and radiographically by an independent observer. The American Knee Society Score, Oxford Knee Score, and Knee Society radiographic assessment were used to rate knee function and to determine the satisfaction level of each patient. RESULTS: The mean age of the patients at the time of operation was 65 years (range, 41-85 years). The mean follow-up period was 5.4 years (range, 4.5-6.4 years). 44 patients (79 knees) were available for follow-up, 3 patients (3 knees) were lost to follow-up, and 3 patients (5 knees) died of unrelated causes. At the final follow-up, the mean Oxford Knee Score was 22. Using the American Knee Society Score, 88% of the knees were rated excellent, 4% good, 2% fair, and 6% poor. Five knees required revision surgery, the indications being infection in 4 knees and aseptic loosening in one knee. The survival rate of the implants was 94% at 6 years. CONCLUSION: The PFC Sigma total knee arthroplasty system has demonstrated good midterm results at our institution.","author":[{"dropping-particle":"","family":"Asif","given":"S","non-dropping-particle":"","parse-names":false,"suffix":""},{"dropping-particle":"","family":"Choon","given":"DS","non-dropping-particle":"","parse-names":false,"suffix":""}],"container-title":"J Orthop Surg (Hong Kong)","id":"ITEM-1","issue":"3","issued":{"date-parts":[["2005"]]},"page":"280-284","title":"Midterm results of cemented Press Fit Condylar Sigma total knee arthroplasty system.","type":"article-journal","volume":"13"},"uris":["http://www.mendeley.com/documents/?uuid=11562d3f-116d-49c5-b38a-ff32ce971233"]}],"mendeley":{"formattedCitation":"(7)","plainTextFormattedCitation":"(7)","previouslyFormattedCitation":"(7)"},"properties":{"noteIndex":0},"schema":"https://github.com/citation-style-language/schema/raw/master/csl-citation.json"}</w:instrText>
            </w:r>
            <w:r w:rsidR="009D101F">
              <w:rPr>
                <w:rFonts w:ascii="Calibri" w:eastAsia="Calibri" w:hAnsi="Calibri"/>
                <w:sz w:val="22"/>
                <w:szCs w:val="22"/>
              </w:rPr>
              <w:fldChar w:fldCharType="separate"/>
            </w:r>
            <w:r w:rsidR="00117A4F" w:rsidRPr="00117A4F">
              <w:rPr>
                <w:rFonts w:ascii="Calibri" w:eastAsia="Calibri" w:hAnsi="Calibri"/>
                <w:noProof/>
                <w:sz w:val="22"/>
                <w:szCs w:val="22"/>
              </w:rPr>
              <w:t>(7)</w:t>
            </w:r>
            <w:r w:rsidR="009D101F">
              <w:rPr>
                <w:rFonts w:ascii="Calibri" w:eastAsia="Calibri" w:hAnsi="Calibri"/>
                <w:sz w:val="22"/>
                <w:szCs w:val="22"/>
              </w:rPr>
              <w:fldChar w:fldCharType="end"/>
            </w:r>
            <w:r w:rsidRPr="00E303DF">
              <w:rPr>
                <w:rFonts w:ascii="Calibri" w:eastAsia="Calibri" w:hAnsi="Calibri"/>
                <w:sz w:val="22"/>
                <w:szCs w:val="22"/>
                <w:lang w:val="nl-NL"/>
              </w:rPr>
              <w:t>.</w:t>
            </w:r>
          </w:p>
        </w:tc>
      </w:tr>
      <w:tr w:rsidR="0044539B" w:rsidRPr="00E303DF" w14:paraId="6CB8C7AB" w14:textId="77777777" w:rsidTr="00C11045">
        <w:trPr>
          <w:trHeight w:val="800"/>
        </w:trPr>
        <w:tc>
          <w:tcPr>
            <w:tcW w:w="5046" w:type="dxa"/>
            <w:shd w:val="clear" w:color="auto" w:fill="auto"/>
          </w:tcPr>
          <w:p w14:paraId="71D76F6E" w14:textId="77777777" w:rsidR="0044539B" w:rsidRPr="00E303DF" w:rsidRDefault="0044539B" w:rsidP="00C11045">
            <w:pPr>
              <w:spacing w:line="240" w:lineRule="auto"/>
              <w:rPr>
                <w:rFonts w:ascii="Calibri" w:eastAsia="Calibri" w:hAnsi="Calibri"/>
                <w:sz w:val="22"/>
                <w:szCs w:val="22"/>
                <w:lang w:val="en-GB"/>
              </w:rPr>
            </w:pPr>
            <w:r w:rsidRPr="00E303DF">
              <w:rPr>
                <w:rFonts w:ascii="Calibri" w:eastAsia="Calibri" w:hAnsi="Calibri"/>
                <w:sz w:val="22"/>
                <w:szCs w:val="22"/>
              </w:rPr>
              <w:lastRenderedPageBreak/>
              <w:t xml:space="preserve">WOMAC functioning </w:t>
            </w:r>
            <w:r w:rsidRPr="00E303DF">
              <w:rPr>
                <w:rFonts w:ascii="Calibri" w:eastAsia="Calibri" w:hAnsi="Calibri"/>
                <w:sz w:val="22"/>
                <w:szCs w:val="22"/>
                <w:lang w:val="en-GB"/>
              </w:rPr>
              <w:t>&lt;50% improvement from baseline to 6M FU</w:t>
            </w:r>
          </w:p>
          <w:p w14:paraId="70DACE90" w14:textId="3B82B624" w:rsidR="0044539B" w:rsidRPr="00E303DF" w:rsidRDefault="0044539B" w:rsidP="00C11045">
            <w:pPr>
              <w:spacing w:line="240" w:lineRule="auto"/>
              <w:rPr>
                <w:rFonts w:ascii="Calibri" w:eastAsia="Calibri" w:hAnsi="Calibri"/>
                <w:sz w:val="16"/>
                <w:szCs w:val="16"/>
                <w:lang w:val="nl-NL"/>
              </w:rPr>
            </w:pPr>
            <w:r w:rsidRPr="00E303DF">
              <w:rPr>
                <w:rFonts w:ascii="Calibri" w:eastAsia="Calibri" w:hAnsi="Calibri"/>
                <w:sz w:val="16"/>
                <w:szCs w:val="16"/>
                <w:lang w:val="nl-NL"/>
              </w:rPr>
              <w:t>(</w:t>
            </w:r>
            <w:proofErr w:type="spellStart"/>
            <w:r w:rsidRPr="00E303DF">
              <w:rPr>
                <w:rFonts w:ascii="Calibri" w:eastAsia="Calibri" w:hAnsi="Calibri"/>
                <w:sz w:val="16"/>
                <w:szCs w:val="16"/>
                <w:lang w:val="nl-NL"/>
              </w:rPr>
              <w:t>Riddle</w:t>
            </w:r>
            <w:proofErr w:type="spellEnd"/>
            <w:r w:rsidRPr="00E303DF">
              <w:rPr>
                <w:rFonts w:ascii="Calibri" w:eastAsia="Calibri" w:hAnsi="Calibri"/>
                <w:sz w:val="16"/>
                <w:szCs w:val="16"/>
                <w:lang w:val="nl-NL"/>
              </w:rPr>
              <w:t>, 2010</w:t>
            </w:r>
            <w:r w:rsidR="002620A4">
              <w:rPr>
                <w:rFonts w:ascii="Calibri" w:eastAsia="Calibri" w:hAnsi="Calibri"/>
                <w:sz w:val="16"/>
                <w:szCs w:val="16"/>
                <w:lang w:val="nl-NL"/>
              </w:rPr>
              <w:t xml:space="preserve"> </w:t>
            </w:r>
            <w:r w:rsidRPr="00E303DF">
              <w:rPr>
                <w:rFonts w:ascii="Calibri" w:eastAsia="Calibri" w:hAnsi="Calibri"/>
                <w:noProof/>
                <w:sz w:val="16"/>
                <w:szCs w:val="16"/>
                <w:lang w:val="nl-NL"/>
              </w:rPr>
              <w:t>(32)</w:t>
            </w:r>
            <w:r w:rsidRPr="00E303DF">
              <w:rPr>
                <w:rFonts w:ascii="Calibri" w:eastAsia="Calibri" w:hAnsi="Calibri"/>
                <w:sz w:val="16"/>
                <w:szCs w:val="16"/>
                <w:lang w:val="nl-NL"/>
              </w:rPr>
              <w:t>)</w:t>
            </w:r>
          </w:p>
        </w:tc>
        <w:tc>
          <w:tcPr>
            <w:tcW w:w="8587" w:type="dxa"/>
            <w:shd w:val="clear" w:color="auto" w:fill="auto"/>
          </w:tcPr>
          <w:p w14:paraId="1533510B" w14:textId="77777777"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 xml:space="preserve">“Patients were dichotomized into those who did and those who did not improve by 50% or greater based on changes in WOMAC function scores from baseline to 6 months </w:t>
            </w:r>
            <w:proofErr w:type="spellStart"/>
            <w:r w:rsidRPr="00E303DF">
              <w:rPr>
                <w:rFonts w:ascii="Calibri" w:eastAsia="Calibri" w:hAnsi="Calibri"/>
                <w:sz w:val="22"/>
                <w:szCs w:val="22"/>
              </w:rPr>
              <w:t>postsurgery</w:t>
            </w:r>
            <w:proofErr w:type="spellEnd"/>
            <w:r w:rsidRPr="00E303DF">
              <w:rPr>
                <w:rFonts w:ascii="Calibri" w:eastAsia="Calibri" w:hAnsi="Calibri"/>
                <w:sz w:val="22"/>
                <w:szCs w:val="22"/>
              </w:rPr>
              <w:t>. Our rationale for this approach is that large sample studies generally indicate average improvement for patients is approximately 50% relative to initial scores.”</w:t>
            </w:r>
          </w:p>
        </w:tc>
      </w:tr>
      <w:tr w:rsidR="0044539B" w:rsidRPr="00E303DF" w14:paraId="626D1DAC" w14:textId="77777777" w:rsidTr="00C11045">
        <w:trPr>
          <w:trHeight w:val="463"/>
        </w:trPr>
        <w:tc>
          <w:tcPr>
            <w:tcW w:w="5046" w:type="dxa"/>
            <w:shd w:val="clear" w:color="auto" w:fill="auto"/>
          </w:tcPr>
          <w:p w14:paraId="07D0DF90" w14:textId="77777777" w:rsidR="0044539B" w:rsidRPr="00E303DF" w:rsidRDefault="0044539B" w:rsidP="00C11045">
            <w:pPr>
              <w:spacing w:line="240" w:lineRule="auto"/>
              <w:rPr>
                <w:rFonts w:ascii="Calibri" w:eastAsia="Calibri" w:hAnsi="Calibri"/>
                <w:sz w:val="22"/>
                <w:szCs w:val="22"/>
                <w:lang w:val="en-GB"/>
              </w:rPr>
            </w:pPr>
            <w:r w:rsidRPr="00E303DF">
              <w:rPr>
                <w:rFonts w:ascii="Calibri" w:eastAsia="Calibri" w:hAnsi="Calibri"/>
                <w:sz w:val="22"/>
                <w:szCs w:val="22"/>
              </w:rPr>
              <w:t xml:space="preserve">WOMAC functioning </w:t>
            </w:r>
            <w:r w:rsidRPr="00E303DF">
              <w:rPr>
                <w:rFonts w:ascii="Calibri" w:eastAsia="Calibri" w:hAnsi="Calibri"/>
                <w:sz w:val="22"/>
                <w:szCs w:val="22"/>
                <w:lang w:val="en-GB"/>
              </w:rPr>
              <w:t>MCID ≤15</w:t>
            </w:r>
          </w:p>
          <w:p w14:paraId="731D5547" w14:textId="20926370" w:rsidR="0044539B" w:rsidRPr="00E303DF" w:rsidRDefault="0044539B" w:rsidP="00C11045">
            <w:pPr>
              <w:spacing w:line="240" w:lineRule="auto"/>
              <w:rPr>
                <w:rFonts w:ascii="Calibri" w:eastAsia="Calibri" w:hAnsi="Calibri"/>
                <w:sz w:val="16"/>
                <w:szCs w:val="16"/>
                <w:lang w:val="en-GB"/>
              </w:rPr>
            </w:pPr>
            <w:r w:rsidRPr="00E303DF">
              <w:rPr>
                <w:rFonts w:ascii="Calibri" w:eastAsia="Calibri" w:hAnsi="Calibri"/>
                <w:sz w:val="16"/>
                <w:szCs w:val="16"/>
                <w:lang w:val="en-GB"/>
              </w:rPr>
              <w:t>(Riddle, 2010</w:t>
            </w:r>
            <w:r w:rsidR="002620A4">
              <w:rPr>
                <w:rFonts w:ascii="Calibri" w:eastAsia="Calibri" w:hAnsi="Calibri"/>
                <w:sz w:val="16"/>
                <w:szCs w:val="16"/>
                <w:lang w:val="en-GB"/>
              </w:rPr>
              <w:t xml:space="preserve"> </w:t>
            </w:r>
            <w:r w:rsidRPr="00E303DF">
              <w:rPr>
                <w:rFonts w:ascii="Calibri" w:eastAsia="Calibri" w:hAnsi="Calibri"/>
                <w:noProof/>
                <w:sz w:val="16"/>
                <w:szCs w:val="16"/>
                <w:lang w:val="en-GB"/>
              </w:rPr>
              <w:t>(32)</w:t>
            </w:r>
            <w:r w:rsidRPr="00E303DF">
              <w:rPr>
                <w:rFonts w:ascii="Calibri" w:eastAsia="Calibri" w:hAnsi="Calibri"/>
                <w:sz w:val="16"/>
                <w:szCs w:val="16"/>
                <w:lang w:val="en-GB"/>
              </w:rPr>
              <w:t>)</w:t>
            </w:r>
          </w:p>
          <w:p w14:paraId="475D66F3" w14:textId="77777777" w:rsidR="0044539B" w:rsidRPr="00E303DF" w:rsidRDefault="0044539B" w:rsidP="00C11045">
            <w:pPr>
              <w:spacing w:line="240" w:lineRule="auto"/>
              <w:rPr>
                <w:rFonts w:ascii="Calibri" w:eastAsia="Calibri" w:hAnsi="Calibri"/>
                <w:sz w:val="22"/>
                <w:szCs w:val="22"/>
              </w:rPr>
            </w:pPr>
          </w:p>
        </w:tc>
        <w:tc>
          <w:tcPr>
            <w:tcW w:w="8587" w:type="dxa"/>
            <w:shd w:val="clear" w:color="auto" w:fill="auto"/>
          </w:tcPr>
          <w:p w14:paraId="65435051" w14:textId="1930CEED" w:rsidR="0044539B" w:rsidRPr="00E303DF" w:rsidRDefault="0044539B" w:rsidP="00C11045">
            <w:pPr>
              <w:spacing w:line="240" w:lineRule="auto"/>
              <w:rPr>
                <w:rFonts w:ascii="Calibri" w:eastAsia="Calibri" w:hAnsi="Calibri"/>
                <w:sz w:val="22"/>
                <w:szCs w:val="22"/>
                <w:lang w:val="nl-NL"/>
              </w:rPr>
            </w:pPr>
            <w:r w:rsidRPr="00E303DF">
              <w:rPr>
                <w:rFonts w:ascii="Calibri" w:eastAsia="Calibri" w:hAnsi="Calibri"/>
                <w:sz w:val="22"/>
                <w:szCs w:val="22"/>
              </w:rPr>
              <w:t>“For 6-month change scores, we dichotomized our sample based on whether changes exceed the 6-month minimal clinically important difference (MCID)</w:t>
            </w:r>
            <w:r w:rsidR="00F8573E">
              <w:rPr>
                <w:rFonts w:ascii="Calibri" w:eastAsia="Calibri" w:hAnsi="Calibri"/>
                <w:sz w:val="22"/>
                <w:szCs w:val="22"/>
              </w:rPr>
              <w:fldChar w:fldCharType="begin" w:fldLock="1"/>
            </w:r>
            <w:r w:rsidR="005A7914">
              <w:rPr>
                <w:rFonts w:ascii="Calibri" w:eastAsia="Calibri" w:hAnsi="Calibri"/>
                <w:sz w:val="22"/>
                <w:szCs w:val="22"/>
              </w:rPr>
              <w:instrText>ADDIN CSL_CITATION {"citationItems":[{"id":"ITEM-1","itemData":{"ISSN":"10634584","abstract":"Objectives: To study responsiveness and establish the minimal clinically important differences (MCIDs) and minimal detectable change (MDC) in patients undergoing total knee replacement (TKR) using the Short Form 36 (SF-36) and Western Ontario and McMaster Universities Osteoarthritis Index (WOMAC). Methods: Prospective observational study in three public hospitals of all consecutive patients on waiting lists to undergo TKR intervention with diagnosis of knee osteoarthritis (OA). Patients were asked to complete before the intervention and at 6 months and 2 years afterward the SF-36 and the WOMAC health-related quality of life questionnaires (HRQoL), and additional transition questions which measured the changes in their joint at 6 months. In both questionnaires the possible range of values is from 0 to 100 points. Results: In WOMAC improvement at 6 months after a TKR was between 27 (stiffness) and 31 points (pain). The SF-36 showed improvements between the 28.3 points of role physical and 2.79 of general health. From 6 months to 2 years, WOMAC improvements were between 2 and 6 points. The MCID ranged from 14.52 (stiffness) to 22.87 (pain) on the WOMAC and in the physical domains of SF-36 from 11.56 (physical function) to 16.86 (bodily pain). On the WOMAC, the MDC ranged from 13.11 (function) to 29.12 (stiffness), and on SF-36 from 19.50 (physical function) to 41.23 (social functioning). Conclusions: The MCID for TKR is around 15 on WOMAC, while with the SF-36 of at least 10 points. These values should not be considered as absolute thresholds. © 2006 Osteoarthritis Research Society International.","author":[{"dropping-particle":"","family":"Escobar","given":"A","non-dropping-particle":"","parse-names":false,"suffix":""},{"dropping-particle":"","family":"Quintana","given":"JM","non-dropping-particle":"","parse-names":false,"suffix":""},{"dropping-particle":"","family":"Bilbao","given":"A","non-dropping-particle":"","parse-names":false,"suffix":""},{"dropping-particle":"","family":"Aróstegui","given":"I","non-dropping-particle":"","parse-names":false,"suffix":""},{"dropping-particle":"","family":"Lafuente","given":"I","non-dropping-particle":"","parse-names":false,"suffix":""},{"dropping-particle":"","family":"Vidaurreta","given":"I","non-dropping-particle":"","parse-names":false,"suffix":""}],"container-title":"Osteoarthritis and Cartilage","id":"ITEM-1","issue":"3","issued":{"date-parts":[["2007"]]},"page":"273-280","title":"Responsiveness and clinically important differences for the WOMAC and SF-36 after total knee replacement","type":"article-journal","volume":"15"},"uris":["http://www.mendeley.com/documents/?uuid=371e9e80-5ffd-46a7-925a-cc6460ba7ce2"]}],"mendeley":{"formattedCitation":"(2)","plainTextFormattedCitation":"(2)","previouslyFormattedCitation":"(2)"},"properties":{"noteIndex":0},"schema":"https://github.com/citation-style-language/schema/raw/master/csl-citation.json"}</w:instrText>
            </w:r>
            <w:r w:rsidR="00F8573E">
              <w:rPr>
                <w:rFonts w:ascii="Calibri" w:eastAsia="Calibri" w:hAnsi="Calibri"/>
                <w:sz w:val="22"/>
                <w:szCs w:val="22"/>
              </w:rPr>
              <w:fldChar w:fldCharType="separate"/>
            </w:r>
            <w:r w:rsidR="00117A4F" w:rsidRPr="00117A4F">
              <w:rPr>
                <w:rFonts w:ascii="Calibri" w:eastAsia="Calibri" w:hAnsi="Calibri"/>
                <w:noProof/>
                <w:sz w:val="22"/>
                <w:szCs w:val="22"/>
              </w:rPr>
              <w:t>(2)</w:t>
            </w:r>
            <w:r w:rsidR="00F8573E">
              <w:rPr>
                <w:rFonts w:ascii="Calibri" w:eastAsia="Calibri" w:hAnsi="Calibri"/>
                <w:sz w:val="22"/>
                <w:szCs w:val="22"/>
              </w:rPr>
              <w:fldChar w:fldCharType="end"/>
            </w:r>
            <w:r w:rsidRPr="00E303DF">
              <w:rPr>
                <w:rFonts w:ascii="Calibri" w:eastAsia="Calibri" w:hAnsi="Calibri"/>
                <w:sz w:val="22"/>
                <w:szCs w:val="22"/>
              </w:rPr>
              <w:t xml:space="preserve">. </w:t>
            </w:r>
            <w:r w:rsidRPr="00E303DF">
              <w:rPr>
                <w:rFonts w:ascii="Calibri" w:eastAsia="Calibri" w:hAnsi="Calibri"/>
                <w:sz w:val="22"/>
                <w:szCs w:val="22"/>
                <w:lang w:val="nl-NL"/>
              </w:rPr>
              <w:t xml:space="preserve">These changes </w:t>
            </w:r>
            <w:proofErr w:type="spellStart"/>
            <w:r w:rsidRPr="00E303DF">
              <w:rPr>
                <w:rFonts w:ascii="Calibri" w:eastAsia="Calibri" w:hAnsi="Calibri"/>
                <w:sz w:val="22"/>
                <w:szCs w:val="22"/>
                <w:lang w:val="nl-NL"/>
              </w:rPr>
              <w:t>were</w:t>
            </w:r>
            <w:proofErr w:type="spellEnd"/>
            <w:r w:rsidRPr="00E303DF">
              <w:rPr>
                <w:rFonts w:ascii="Calibri" w:eastAsia="Calibri" w:hAnsi="Calibri"/>
                <w:sz w:val="22"/>
                <w:szCs w:val="22"/>
                <w:lang w:val="nl-NL"/>
              </w:rPr>
              <w:t xml:space="preserve"> </w:t>
            </w:r>
            <w:proofErr w:type="spellStart"/>
            <w:r w:rsidRPr="00E303DF">
              <w:rPr>
                <w:rFonts w:ascii="Calibri" w:eastAsia="Calibri" w:hAnsi="Calibri"/>
                <w:sz w:val="22"/>
                <w:szCs w:val="22"/>
                <w:lang w:val="nl-NL"/>
              </w:rPr>
              <w:t>greater</w:t>
            </w:r>
            <w:proofErr w:type="spellEnd"/>
            <w:r w:rsidRPr="00E303DF">
              <w:rPr>
                <w:rFonts w:ascii="Calibri" w:eastAsia="Calibri" w:hAnsi="Calibri"/>
                <w:sz w:val="22"/>
                <w:szCs w:val="22"/>
                <w:lang w:val="nl-NL"/>
              </w:rPr>
              <w:t xml:space="preserve"> </w:t>
            </w:r>
            <w:proofErr w:type="spellStart"/>
            <w:r w:rsidRPr="00E303DF">
              <w:rPr>
                <w:rFonts w:ascii="Calibri" w:eastAsia="Calibri" w:hAnsi="Calibri"/>
                <w:sz w:val="22"/>
                <w:szCs w:val="22"/>
                <w:lang w:val="nl-NL"/>
              </w:rPr>
              <w:t>than</w:t>
            </w:r>
            <w:proofErr w:type="spellEnd"/>
            <w:r w:rsidRPr="00E303DF">
              <w:rPr>
                <w:rFonts w:ascii="Calibri" w:eastAsia="Calibri" w:hAnsi="Calibri"/>
                <w:sz w:val="22"/>
                <w:szCs w:val="22"/>
                <w:lang w:val="nl-NL"/>
              </w:rPr>
              <w:t xml:space="preserve"> 15 points </w:t>
            </w:r>
            <w:proofErr w:type="spellStart"/>
            <w:r w:rsidRPr="00E303DF">
              <w:rPr>
                <w:rFonts w:ascii="Calibri" w:eastAsia="Calibri" w:hAnsi="Calibri"/>
                <w:sz w:val="22"/>
                <w:szCs w:val="22"/>
                <w:lang w:val="nl-NL"/>
              </w:rPr>
              <w:t>for</w:t>
            </w:r>
            <w:proofErr w:type="spellEnd"/>
            <w:r w:rsidRPr="00E303DF">
              <w:rPr>
                <w:rFonts w:ascii="Calibri" w:eastAsia="Calibri" w:hAnsi="Calibri"/>
                <w:sz w:val="22"/>
                <w:szCs w:val="22"/>
                <w:lang w:val="nl-NL"/>
              </w:rPr>
              <w:t xml:space="preserve"> WOMAC </w:t>
            </w:r>
            <w:proofErr w:type="spellStart"/>
            <w:r w:rsidRPr="00E303DF">
              <w:rPr>
                <w:rFonts w:ascii="Calibri" w:eastAsia="Calibri" w:hAnsi="Calibri"/>
                <w:sz w:val="22"/>
                <w:szCs w:val="22"/>
                <w:lang w:val="nl-NL"/>
              </w:rPr>
              <w:t>function</w:t>
            </w:r>
            <w:proofErr w:type="spellEnd"/>
            <w:r w:rsidRPr="00E303DF">
              <w:rPr>
                <w:rFonts w:ascii="Calibri" w:eastAsia="Calibri" w:hAnsi="Calibri"/>
                <w:sz w:val="22"/>
                <w:szCs w:val="22"/>
                <w:lang w:val="nl-NL"/>
              </w:rPr>
              <w:t>.”</w:t>
            </w:r>
          </w:p>
        </w:tc>
      </w:tr>
      <w:tr w:rsidR="0044539B" w:rsidRPr="00E303DF" w14:paraId="31CABD06" w14:textId="77777777" w:rsidTr="00C11045">
        <w:trPr>
          <w:trHeight w:val="463"/>
        </w:trPr>
        <w:tc>
          <w:tcPr>
            <w:tcW w:w="5046" w:type="dxa"/>
            <w:shd w:val="clear" w:color="auto" w:fill="auto"/>
          </w:tcPr>
          <w:p w14:paraId="0F183F0E" w14:textId="77777777" w:rsidR="0044539B" w:rsidRPr="00E303DF" w:rsidRDefault="0044539B" w:rsidP="00C11045">
            <w:pPr>
              <w:spacing w:line="240" w:lineRule="auto"/>
              <w:rPr>
                <w:rFonts w:ascii="Calibri" w:eastAsia="Calibri" w:hAnsi="Calibri"/>
                <w:sz w:val="22"/>
                <w:szCs w:val="22"/>
                <w:lang w:val="en-GB"/>
              </w:rPr>
            </w:pPr>
            <w:r w:rsidRPr="00E303DF">
              <w:rPr>
                <w:rFonts w:ascii="Calibri" w:eastAsia="Calibri" w:hAnsi="Calibri"/>
                <w:sz w:val="22"/>
                <w:szCs w:val="22"/>
                <w:lang w:val="nl-NL"/>
              </w:rPr>
              <w:t xml:space="preserve">New KSS, </w:t>
            </w:r>
            <w:proofErr w:type="spellStart"/>
            <w:r w:rsidRPr="00E303DF">
              <w:rPr>
                <w:rFonts w:ascii="Calibri" w:eastAsia="Calibri" w:hAnsi="Calibri"/>
                <w:sz w:val="22"/>
                <w:szCs w:val="22"/>
                <w:lang w:val="nl-NL"/>
              </w:rPr>
              <w:t>satisfaction</w:t>
            </w:r>
            <w:proofErr w:type="spellEnd"/>
            <w:r w:rsidRPr="00E303DF">
              <w:rPr>
                <w:rFonts w:ascii="Calibri" w:eastAsia="Calibri" w:hAnsi="Calibri"/>
                <w:sz w:val="22"/>
                <w:szCs w:val="22"/>
                <w:lang w:val="nl-NL"/>
              </w:rPr>
              <w:t xml:space="preserve"> </w:t>
            </w:r>
            <w:r w:rsidRPr="00E303DF">
              <w:rPr>
                <w:rFonts w:ascii="Calibri" w:eastAsia="Calibri" w:hAnsi="Calibri"/>
                <w:sz w:val="22"/>
                <w:szCs w:val="22"/>
                <w:lang w:val="en-GB"/>
              </w:rPr>
              <w:t>&lt;20</w:t>
            </w:r>
          </w:p>
          <w:p w14:paraId="3037C152" w14:textId="2AFD89CB" w:rsidR="0044539B" w:rsidRPr="00E303DF" w:rsidRDefault="0044539B" w:rsidP="00C11045">
            <w:pPr>
              <w:spacing w:line="240" w:lineRule="auto"/>
              <w:rPr>
                <w:rFonts w:ascii="Calibri" w:eastAsia="Calibri" w:hAnsi="Calibri"/>
                <w:iCs/>
                <w:sz w:val="16"/>
                <w:szCs w:val="16"/>
                <w:lang w:val="nl-NL"/>
              </w:rPr>
            </w:pPr>
            <w:r w:rsidRPr="00E303DF">
              <w:rPr>
                <w:rFonts w:ascii="Calibri" w:eastAsia="Calibri" w:hAnsi="Calibri"/>
                <w:iCs/>
                <w:sz w:val="16"/>
                <w:szCs w:val="16"/>
                <w:lang w:val="en-GB"/>
              </w:rPr>
              <w:t>(</w:t>
            </w:r>
            <w:proofErr w:type="spellStart"/>
            <w:r w:rsidRPr="00E303DF">
              <w:rPr>
                <w:rFonts w:ascii="Calibri" w:eastAsia="Calibri" w:hAnsi="Calibri"/>
                <w:iCs/>
                <w:sz w:val="16"/>
                <w:szCs w:val="16"/>
                <w:lang w:val="en-GB"/>
              </w:rPr>
              <w:t>Onsem</w:t>
            </w:r>
            <w:proofErr w:type="spellEnd"/>
            <w:r w:rsidRPr="00E303DF">
              <w:rPr>
                <w:rFonts w:ascii="Calibri" w:eastAsia="Calibri" w:hAnsi="Calibri"/>
                <w:iCs/>
                <w:sz w:val="16"/>
                <w:szCs w:val="16"/>
                <w:lang w:val="en-GB"/>
              </w:rPr>
              <w:t>, 2016</w:t>
            </w:r>
            <w:r w:rsidR="002620A4">
              <w:rPr>
                <w:rFonts w:ascii="Calibri" w:eastAsia="Calibri" w:hAnsi="Calibri"/>
                <w:iCs/>
                <w:sz w:val="16"/>
                <w:szCs w:val="16"/>
                <w:lang w:val="en-GB"/>
              </w:rPr>
              <w:t xml:space="preserve"> </w:t>
            </w:r>
            <w:r w:rsidRPr="00E303DF">
              <w:rPr>
                <w:rFonts w:ascii="Calibri" w:eastAsia="Calibri" w:hAnsi="Calibri"/>
                <w:iCs/>
                <w:noProof/>
                <w:sz w:val="16"/>
                <w:szCs w:val="16"/>
                <w:lang w:val="en-GB"/>
              </w:rPr>
              <w:t>(51)</w:t>
            </w:r>
            <w:r w:rsidRPr="00E303DF">
              <w:rPr>
                <w:rFonts w:ascii="Calibri" w:eastAsia="Calibri" w:hAnsi="Calibri"/>
                <w:iCs/>
                <w:sz w:val="16"/>
                <w:szCs w:val="16"/>
                <w:lang w:val="en-GB"/>
              </w:rPr>
              <w:t>)</w:t>
            </w:r>
          </w:p>
        </w:tc>
        <w:tc>
          <w:tcPr>
            <w:tcW w:w="8587" w:type="dxa"/>
            <w:shd w:val="clear" w:color="auto" w:fill="auto"/>
          </w:tcPr>
          <w:p w14:paraId="66003A55" w14:textId="77777777" w:rsidR="0044539B" w:rsidRPr="00E303DF" w:rsidRDefault="0044539B" w:rsidP="00C11045">
            <w:pPr>
              <w:spacing w:line="240" w:lineRule="auto"/>
              <w:rPr>
                <w:rFonts w:ascii="Calibri" w:eastAsia="Calibri" w:hAnsi="Calibri"/>
                <w:sz w:val="22"/>
                <w:szCs w:val="22"/>
                <w:lang w:val="nl-NL"/>
              </w:rPr>
            </w:pPr>
            <w:r w:rsidRPr="00E303DF">
              <w:rPr>
                <w:rFonts w:ascii="Calibri" w:eastAsia="Calibri" w:hAnsi="Calibri"/>
                <w:sz w:val="22"/>
                <w:szCs w:val="22"/>
              </w:rPr>
              <w:t xml:space="preserve">“A score of more than 20 meant that the patient selected “satisfied” at least one time and a score lower than 20 that the patient selected “dissatisfied” at least once. </w:t>
            </w:r>
            <w:r w:rsidRPr="00E303DF">
              <w:rPr>
                <w:rFonts w:ascii="Calibri" w:eastAsia="Calibri" w:hAnsi="Calibri"/>
                <w:sz w:val="22"/>
                <w:szCs w:val="22"/>
                <w:lang w:val="nl-NL"/>
              </w:rPr>
              <w:t xml:space="preserve">We </w:t>
            </w:r>
            <w:proofErr w:type="spellStart"/>
            <w:r w:rsidRPr="00E303DF">
              <w:rPr>
                <w:rFonts w:ascii="Calibri" w:eastAsia="Calibri" w:hAnsi="Calibri"/>
                <w:sz w:val="22"/>
                <w:szCs w:val="22"/>
                <w:lang w:val="nl-NL"/>
              </w:rPr>
              <w:t>considered</w:t>
            </w:r>
            <w:proofErr w:type="spellEnd"/>
            <w:r w:rsidRPr="00E303DF">
              <w:rPr>
                <w:rFonts w:ascii="Calibri" w:eastAsia="Calibri" w:hAnsi="Calibri"/>
                <w:sz w:val="22"/>
                <w:szCs w:val="22"/>
                <w:lang w:val="nl-NL"/>
              </w:rPr>
              <w:t xml:space="preserve"> 20 as </w:t>
            </w:r>
            <w:proofErr w:type="spellStart"/>
            <w:r w:rsidRPr="00E303DF">
              <w:rPr>
                <w:rFonts w:ascii="Calibri" w:eastAsia="Calibri" w:hAnsi="Calibri"/>
                <w:sz w:val="22"/>
                <w:szCs w:val="22"/>
                <w:lang w:val="nl-NL"/>
              </w:rPr>
              <w:t>the</w:t>
            </w:r>
            <w:proofErr w:type="spellEnd"/>
            <w:r w:rsidRPr="00E303DF">
              <w:rPr>
                <w:rFonts w:ascii="Calibri" w:eastAsia="Calibri" w:hAnsi="Calibri"/>
                <w:sz w:val="22"/>
                <w:szCs w:val="22"/>
                <w:lang w:val="nl-NL"/>
              </w:rPr>
              <w:t xml:space="preserve"> cut off </w:t>
            </w:r>
            <w:proofErr w:type="spellStart"/>
            <w:r w:rsidRPr="00E303DF">
              <w:rPr>
                <w:rFonts w:ascii="Calibri" w:eastAsia="Calibri" w:hAnsi="Calibri"/>
                <w:sz w:val="22"/>
                <w:szCs w:val="22"/>
                <w:lang w:val="nl-NL"/>
              </w:rPr>
              <w:t>value</w:t>
            </w:r>
            <w:proofErr w:type="spellEnd"/>
            <w:r w:rsidRPr="00E303DF">
              <w:rPr>
                <w:rFonts w:ascii="Calibri" w:eastAsia="Calibri" w:hAnsi="Calibri"/>
                <w:sz w:val="22"/>
                <w:szCs w:val="22"/>
                <w:lang w:val="nl-NL"/>
              </w:rPr>
              <w:t xml:space="preserve"> </w:t>
            </w:r>
            <w:proofErr w:type="spellStart"/>
            <w:r w:rsidRPr="00E303DF">
              <w:rPr>
                <w:rFonts w:ascii="Calibri" w:eastAsia="Calibri" w:hAnsi="Calibri"/>
                <w:sz w:val="22"/>
                <w:szCs w:val="22"/>
                <w:lang w:val="nl-NL"/>
              </w:rPr>
              <w:t>for</w:t>
            </w:r>
            <w:proofErr w:type="spellEnd"/>
            <w:r w:rsidRPr="00E303DF">
              <w:rPr>
                <w:rFonts w:ascii="Calibri" w:eastAsia="Calibri" w:hAnsi="Calibri"/>
                <w:sz w:val="22"/>
                <w:szCs w:val="22"/>
                <w:lang w:val="nl-NL"/>
              </w:rPr>
              <w:t xml:space="preserve"> </w:t>
            </w:r>
            <w:proofErr w:type="spellStart"/>
            <w:r w:rsidRPr="00E303DF">
              <w:rPr>
                <w:rFonts w:ascii="Calibri" w:eastAsia="Calibri" w:hAnsi="Calibri"/>
                <w:sz w:val="22"/>
                <w:szCs w:val="22"/>
                <w:lang w:val="nl-NL"/>
              </w:rPr>
              <w:t>satisfaction</w:t>
            </w:r>
            <w:proofErr w:type="spellEnd"/>
            <w:r w:rsidRPr="00E303DF">
              <w:rPr>
                <w:rFonts w:ascii="Calibri" w:eastAsia="Calibri" w:hAnsi="Calibri"/>
                <w:sz w:val="22"/>
                <w:szCs w:val="22"/>
                <w:lang w:val="nl-NL"/>
              </w:rPr>
              <w:t>.”</w:t>
            </w:r>
          </w:p>
        </w:tc>
      </w:tr>
      <w:tr w:rsidR="0044539B" w:rsidRPr="00E303DF" w14:paraId="07EE11EB" w14:textId="77777777" w:rsidTr="00C11045">
        <w:trPr>
          <w:trHeight w:val="266"/>
        </w:trPr>
        <w:tc>
          <w:tcPr>
            <w:tcW w:w="5046" w:type="dxa"/>
            <w:shd w:val="clear" w:color="auto" w:fill="auto"/>
          </w:tcPr>
          <w:p w14:paraId="49C26978" w14:textId="77777777" w:rsidR="0044539B" w:rsidRPr="00E303DF" w:rsidRDefault="0044539B" w:rsidP="00C11045">
            <w:pPr>
              <w:spacing w:line="240" w:lineRule="auto"/>
              <w:rPr>
                <w:rFonts w:ascii="Calibri" w:eastAsia="Calibri" w:hAnsi="Calibri"/>
                <w:sz w:val="22"/>
                <w:szCs w:val="22"/>
                <w:lang w:val="en-GB"/>
              </w:rPr>
            </w:pPr>
            <w:r w:rsidRPr="00E303DF">
              <w:rPr>
                <w:rFonts w:ascii="Calibri" w:eastAsia="Calibri" w:hAnsi="Calibri"/>
                <w:sz w:val="22"/>
                <w:szCs w:val="22"/>
                <w:lang w:val="nl-NL"/>
              </w:rPr>
              <w:t xml:space="preserve">HADS </w:t>
            </w:r>
            <w:proofErr w:type="spellStart"/>
            <w:r w:rsidRPr="00E303DF">
              <w:rPr>
                <w:rFonts w:ascii="Calibri" w:eastAsia="Calibri" w:hAnsi="Calibri"/>
                <w:sz w:val="22"/>
                <w:szCs w:val="22"/>
                <w:lang w:val="nl-NL"/>
              </w:rPr>
              <w:t>anxiety</w:t>
            </w:r>
            <w:proofErr w:type="spellEnd"/>
            <w:r w:rsidRPr="00E303DF">
              <w:rPr>
                <w:rFonts w:ascii="Calibri" w:eastAsia="Calibri" w:hAnsi="Calibri"/>
                <w:sz w:val="22"/>
                <w:szCs w:val="22"/>
                <w:lang w:val="nl-NL"/>
              </w:rPr>
              <w:t xml:space="preserve"> &amp; </w:t>
            </w:r>
            <w:proofErr w:type="spellStart"/>
            <w:r w:rsidRPr="00E303DF">
              <w:rPr>
                <w:rFonts w:ascii="Calibri" w:eastAsia="Calibri" w:hAnsi="Calibri"/>
                <w:sz w:val="22"/>
                <w:szCs w:val="22"/>
                <w:lang w:val="nl-NL"/>
              </w:rPr>
              <w:t>depression</w:t>
            </w:r>
            <w:proofErr w:type="spellEnd"/>
            <w:r w:rsidRPr="00E303DF">
              <w:rPr>
                <w:rFonts w:ascii="Calibri" w:eastAsia="Calibri" w:hAnsi="Calibri"/>
                <w:sz w:val="22"/>
                <w:szCs w:val="22"/>
                <w:lang w:val="nl-NL"/>
              </w:rPr>
              <w:t xml:space="preserve"> </w:t>
            </w:r>
            <w:r w:rsidRPr="00E303DF">
              <w:rPr>
                <w:rFonts w:ascii="Calibri" w:eastAsia="Calibri" w:hAnsi="Calibri"/>
                <w:sz w:val="22"/>
                <w:szCs w:val="22"/>
                <w:lang w:val="en-GB"/>
              </w:rPr>
              <w:t>≥8</w:t>
            </w:r>
          </w:p>
          <w:p w14:paraId="4254F5B6" w14:textId="5B9BFCDF" w:rsidR="0044539B" w:rsidRPr="00E303DF" w:rsidRDefault="0044539B" w:rsidP="00C11045">
            <w:pPr>
              <w:spacing w:line="240" w:lineRule="auto"/>
              <w:rPr>
                <w:rFonts w:ascii="Calibri" w:eastAsia="Calibri" w:hAnsi="Calibri"/>
                <w:sz w:val="16"/>
                <w:szCs w:val="16"/>
                <w:lang w:val="nl-NL"/>
              </w:rPr>
            </w:pPr>
            <w:r w:rsidRPr="00E303DF">
              <w:rPr>
                <w:rFonts w:ascii="Calibri" w:eastAsia="Calibri" w:hAnsi="Calibri"/>
                <w:sz w:val="16"/>
                <w:szCs w:val="16"/>
                <w:lang w:val="en-GB"/>
              </w:rPr>
              <w:t>(</w:t>
            </w:r>
            <w:proofErr w:type="spellStart"/>
            <w:r w:rsidRPr="00E303DF">
              <w:rPr>
                <w:rFonts w:ascii="Calibri" w:eastAsia="Calibri" w:hAnsi="Calibri"/>
                <w:sz w:val="16"/>
                <w:szCs w:val="16"/>
                <w:lang w:val="en-GB"/>
              </w:rPr>
              <w:t>Vissers</w:t>
            </w:r>
            <w:proofErr w:type="spellEnd"/>
            <w:r w:rsidRPr="00E303DF">
              <w:rPr>
                <w:rFonts w:ascii="Calibri" w:eastAsia="Calibri" w:hAnsi="Calibri"/>
                <w:sz w:val="16"/>
                <w:szCs w:val="16"/>
                <w:lang w:val="en-GB"/>
              </w:rPr>
              <w:t>, 2010</w:t>
            </w:r>
            <w:r w:rsidR="002620A4">
              <w:rPr>
                <w:rFonts w:ascii="Calibri" w:eastAsia="Calibri" w:hAnsi="Calibri"/>
                <w:sz w:val="16"/>
                <w:szCs w:val="16"/>
                <w:lang w:val="en-GB"/>
              </w:rPr>
              <w:t xml:space="preserve"> </w:t>
            </w:r>
            <w:r w:rsidRPr="00E303DF">
              <w:rPr>
                <w:rFonts w:ascii="Calibri" w:eastAsia="Calibri" w:hAnsi="Calibri"/>
                <w:noProof/>
                <w:sz w:val="16"/>
                <w:szCs w:val="16"/>
                <w:lang w:val="en-GB"/>
              </w:rPr>
              <w:t>(55)</w:t>
            </w:r>
            <w:r w:rsidRPr="00E303DF">
              <w:rPr>
                <w:rFonts w:ascii="Calibri" w:eastAsia="Calibri" w:hAnsi="Calibri"/>
                <w:sz w:val="16"/>
                <w:szCs w:val="16"/>
                <w:lang w:val="en-GB"/>
              </w:rPr>
              <w:t>)</w:t>
            </w:r>
          </w:p>
        </w:tc>
        <w:tc>
          <w:tcPr>
            <w:tcW w:w="8587" w:type="dxa"/>
            <w:shd w:val="clear" w:color="auto" w:fill="auto"/>
          </w:tcPr>
          <w:p w14:paraId="50632E25" w14:textId="541ED387" w:rsidR="0044539B" w:rsidRPr="00E303DF" w:rsidRDefault="0044539B" w:rsidP="00C11045">
            <w:pPr>
              <w:spacing w:line="240" w:lineRule="auto"/>
              <w:rPr>
                <w:rFonts w:ascii="Calibri" w:eastAsia="Calibri" w:hAnsi="Calibri"/>
                <w:sz w:val="22"/>
                <w:szCs w:val="22"/>
                <w:lang w:val="nl-NL"/>
              </w:rPr>
            </w:pPr>
            <w:r w:rsidRPr="00E303DF">
              <w:rPr>
                <w:rFonts w:ascii="Calibri" w:eastAsia="Calibri" w:hAnsi="Calibri"/>
                <w:sz w:val="22"/>
                <w:szCs w:val="22"/>
              </w:rPr>
              <w:t xml:space="preserve">According to </w:t>
            </w:r>
            <w:proofErr w:type="spellStart"/>
            <w:r w:rsidRPr="00E303DF">
              <w:rPr>
                <w:rFonts w:ascii="Calibri" w:eastAsia="Calibri" w:hAnsi="Calibri"/>
                <w:sz w:val="22"/>
                <w:szCs w:val="22"/>
              </w:rPr>
              <w:t>Zigm</w:t>
            </w:r>
            <w:r w:rsidR="00F51A0C">
              <w:rPr>
                <w:rFonts w:ascii="Calibri" w:eastAsia="Calibri" w:hAnsi="Calibri"/>
                <w:sz w:val="22"/>
                <w:szCs w:val="22"/>
              </w:rPr>
              <w:t>o</w:t>
            </w:r>
            <w:r w:rsidRPr="00E303DF">
              <w:rPr>
                <w:rFonts w:ascii="Calibri" w:eastAsia="Calibri" w:hAnsi="Calibri"/>
                <w:sz w:val="22"/>
                <w:szCs w:val="22"/>
              </w:rPr>
              <w:t>nd</w:t>
            </w:r>
            <w:proofErr w:type="spellEnd"/>
            <w:r w:rsidRPr="00E303DF">
              <w:rPr>
                <w:rFonts w:ascii="Calibri" w:eastAsia="Calibri" w:hAnsi="Calibri"/>
                <w:sz w:val="22"/>
                <w:szCs w:val="22"/>
              </w:rPr>
              <w:t xml:space="preserve"> et al. </w:t>
            </w:r>
            <w:r w:rsidR="00F8573E">
              <w:rPr>
                <w:rFonts w:ascii="Calibri" w:eastAsia="Calibri" w:hAnsi="Calibri"/>
                <w:sz w:val="22"/>
                <w:szCs w:val="22"/>
              </w:rPr>
              <w:fldChar w:fldCharType="begin" w:fldLock="1"/>
            </w:r>
            <w:r w:rsidR="005A7914">
              <w:rPr>
                <w:rFonts w:ascii="Calibri" w:eastAsia="Calibri" w:hAnsi="Calibri"/>
                <w:sz w:val="22"/>
                <w:szCs w:val="22"/>
              </w:rPr>
              <w:instrText>ADDIN CSL_CITATION {"citationItems":[{"id":"ITEM-1","itemData":{"ISSN":"14718405","author":[{"dropping-particle":"","family":"Zigmond","given":"AS","non-dropping-particle":"","parse-names":false,"suffix":""},{"dropping-particle":"","family":"Snaith","given":"RP","non-dropping-particle":"","parse-names":false,"suffix":""}],"container-title":"Acta psychiatr. scand.","id":"ITEM-1","issued":{"date-parts":[["1983"]]},"page":"361-370","title":"The Hospital Anxiety and Depression Scale","type":"article-journal","volume":"67"},"uris":["http://www.mendeley.com/documents/?uuid=7596211a-97fd-4eb8-8e07-7c97710a6c24"]}],"mendeley":{"formattedCitation":"(8)","plainTextFormattedCitation":"(8)","previouslyFormattedCitation":"(8)"},"properties":{"noteIndex":0},"schema":"https://github.com/citation-style-language/schema/raw/master/csl-citation.json"}</w:instrText>
            </w:r>
            <w:r w:rsidR="00F8573E">
              <w:rPr>
                <w:rFonts w:ascii="Calibri" w:eastAsia="Calibri" w:hAnsi="Calibri"/>
                <w:sz w:val="22"/>
                <w:szCs w:val="22"/>
              </w:rPr>
              <w:fldChar w:fldCharType="separate"/>
            </w:r>
            <w:r w:rsidR="00117A4F" w:rsidRPr="00117A4F">
              <w:rPr>
                <w:rFonts w:ascii="Calibri" w:eastAsia="Calibri" w:hAnsi="Calibri"/>
                <w:noProof/>
                <w:sz w:val="22"/>
                <w:szCs w:val="22"/>
              </w:rPr>
              <w:t>(8)</w:t>
            </w:r>
            <w:r w:rsidR="00F8573E">
              <w:rPr>
                <w:rFonts w:ascii="Calibri" w:eastAsia="Calibri" w:hAnsi="Calibri"/>
                <w:sz w:val="22"/>
                <w:szCs w:val="22"/>
              </w:rPr>
              <w:fldChar w:fldCharType="end"/>
            </w:r>
            <w:r w:rsidRPr="00E303DF">
              <w:rPr>
                <w:rFonts w:ascii="Calibri" w:eastAsia="Calibri" w:hAnsi="Calibri"/>
                <w:sz w:val="22"/>
                <w:szCs w:val="22"/>
                <w:lang w:val="nl-NL"/>
              </w:rPr>
              <w:t>.</w:t>
            </w:r>
          </w:p>
        </w:tc>
      </w:tr>
      <w:tr w:rsidR="0044539B" w:rsidRPr="00E303DF" w14:paraId="7729635A" w14:textId="77777777" w:rsidTr="00C11045">
        <w:trPr>
          <w:trHeight w:val="266"/>
        </w:trPr>
        <w:tc>
          <w:tcPr>
            <w:tcW w:w="5046" w:type="dxa"/>
            <w:shd w:val="clear" w:color="auto" w:fill="auto"/>
          </w:tcPr>
          <w:p w14:paraId="53321AFE" w14:textId="77777777" w:rsidR="0044539B" w:rsidRPr="00E303DF" w:rsidRDefault="0044539B" w:rsidP="00C11045">
            <w:pPr>
              <w:spacing w:line="240" w:lineRule="auto"/>
              <w:rPr>
                <w:rFonts w:ascii="Calibri" w:eastAsia="Calibri" w:hAnsi="Calibri"/>
                <w:sz w:val="22"/>
                <w:szCs w:val="22"/>
                <w:lang w:val="en-GB"/>
              </w:rPr>
            </w:pPr>
            <w:r w:rsidRPr="00E303DF">
              <w:rPr>
                <w:rFonts w:ascii="Calibri" w:eastAsia="Calibri" w:hAnsi="Calibri"/>
                <w:sz w:val="22"/>
                <w:szCs w:val="22"/>
              </w:rPr>
              <w:t xml:space="preserve">HADS </w:t>
            </w:r>
            <w:r w:rsidRPr="00E303DF">
              <w:rPr>
                <w:rFonts w:ascii="Calibri" w:eastAsia="Calibri" w:hAnsi="Calibri"/>
                <w:sz w:val="22"/>
                <w:szCs w:val="22"/>
                <w:lang w:val="en-GB"/>
              </w:rPr>
              <w:t>Equivalent or higher scores than 5 for partial scores and 10 for the total score</w:t>
            </w:r>
          </w:p>
          <w:p w14:paraId="44426C12" w14:textId="0A40E5D6" w:rsidR="0044539B" w:rsidRPr="00E303DF" w:rsidRDefault="0044539B" w:rsidP="00C11045">
            <w:pPr>
              <w:spacing w:line="240" w:lineRule="auto"/>
              <w:rPr>
                <w:rFonts w:ascii="Calibri" w:eastAsia="Calibri" w:hAnsi="Calibri"/>
                <w:sz w:val="16"/>
                <w:szCs w:val="16"/>
                <w:lang w:val="nl-NL"/>
              </w:rPr>
            </w:pPr>
            <w:r w:rsidRPr="00E303DF">
              <w:rPr>
                <w:rFonts w:ascii="Calibri" w:eastAsia="Calibri" w:hAnsi="Calibri"/>
                <w:sz w:val="16"/>
                <w:szCs w:val="16"/>
                <w:lang w:val="en-GB"/>
              </w:rPr>
              <w:t>(</w:t>
            </w:r>
            <w:proofErr w:type="spellStart"/>
            <w:r w:rsidRPr="00E303DF">
              <w:rPr>
                <w:rFonts w:ascii="Calibri" w:eastAsia="Calibri" w:hAnsi="Calibri"/>
                <w:sz w:val="16"/>
                <w:szCs w:val="16"/>
                <w:lang w:val="en-GB"/>
              </w:rPr>
              <w:t>Caracciolo</w:t>
            </w:r>
            <w:proofErr w:type="spellEnd"/>
            <w:r w:rsidRPr="00E303DF">
              <w:rPr>
                <w:rFonts w:ascii="Calibri" w:eastAsia="Calibri" w:hAnsi="Calibri"/>
                <w:sz w:val="16"/>
                <w:szCs w:val="16"/>
                <w:lang w:val="en-GB"/>
              </w:rPr>
              <w:t>, 2005</w:t>
            </w:r>
            <w:r w:rsidR="002620A4">
              <w:rPr>
                <w:rFonts w:ascii="Calibri" w:eastAsia="Calibri" w:hAnsi="Calibri"/>
                <w:sz w:val="16"/>
                <w:szCs w:val="16"/>
                <w:lang w:val="en-GB"/>
              </w:rPr>
              <w:t xml:space="preserve"> </w:t>
            </w:r>
            <w:r w:rsidRPr="00E303DF">
              <w:rPr>
                <w:rFonts w:ascii="Calibri" w:eastAsia="Calibri" w:hAnsi="Calibri"/>
                <w:noProof/>
                <w:sz w:val="16"/>
                <w:szCs w:val="16"/>
                <w:lang w:val="en-GB"/>
              </w:rPr>
              <w:t>(60)</w:t>
            </w:r>
            <w:r w:rsidRPr="00E303DF">
              <w:rPr>
                <w:rFonts w:ascii="Calibri" w:eastAsia="Calibri" w:hAnsi="Calibri"/>
                <w:sz w:val="16"/>
                <w:szCs w:val="16"/>
                <w:lang w:val="en-GB"/>
              </w:rPr>
              <w:t>)</w:t>
            </w:r>
          </w:p>
        </w:tc>
        <w:tc>
          <w:tcPr>
            <w:tcW w:w="8587" w:type="dxa"/>
            <w:shd w:val="clear" w:color="auto" w:fill="auto"/>
          </w:tcPr>
          <w:p w14:paraId="4338DAA9" w14:textId="442CE486" w:rsidR="0044539B" w:rsidRPr="00E303DF" w:rsidRDefault="00DB3EA8" w:rsidP="00C11045">
            <w:pPr>
              <w:spacing w:line="240" w:lineRule="auto"/>
              <w:rPr>
                <w:rFonts w:ascii="Calibri" w:eastAsia="Calibri" w:hAnsi="Calibri"/>
                <w:sz w:val="22"/>
                <w:szCs w:val="22"/>
              </w:rPr>
            </w:pPr>
            <w:r>
              <w:rPr>
                <w:rFonts w:ascii="Calibri" w:eastAsia="Calibri" w:hAnsi="Calibri"/>
                <w:sz w:val="22"/>
                <w:szCs w:val="22"/>
              </w:rPr>
              <w:t>“</w:t>
            </w:r>
            <w:r w:rsidR="0044539B" w:rsidRPr="00E303DF">
              <w:rPr>
                <w:rFonts w:ascii="Calibri" w:eastAsia="Calibri" w:hAnsi="Calibri"/>
                <w:sz w:val="22"/>
                <w:szCs w:val="22"/>
              </w:rPr>
              <w:t>The cut-off scores for the Italian version are fixed at 5 for the partial scores and at 10 for the total score. Equivalent or higher scores classify subjects as psychologically distressed. The evaluations were established at admission and at discharge.</w:t>
            </w:r>
            <w:r>
              <w:rPr>
                <w:rFonts w:ascii="Calibri" w:eastAsia="Calibri" w:hAnsi="Calibri"/>
                <w:sz w:val="22"/>
                <w:szCs w:val="22"/>
              </w:rPr>
              <w:t>”</w:t>
            </w:r>
          </w:p>
        </w:tc>
      </w:tr>
      <w:tr w:rsidR="0044539B" w:rsidRPr="00E303DF" w14:paraId="0EC0E1DF" w14:textId="77777777" w:rsidTr="00C11045">
        <w:trPr>
          <w:trHeight w:val="266"/>
        </w:trPr>
        <w:tc>
          <w:tcPr>
            <w:tcW w:w="5046" w:type="dxa"/>
            <w:shd w:val="clear" w:color="auto" w:fill="auto"/>
          </w:tcPr>
          <w:p w14:paraId="09D56B5C" w14:textId="77777777"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OKS pain &amp; functioning &lt;27</w:t>
            </w:r>
          </w:p>
          <w:p w14:paraId="5B845F0B" w14:textId="76BDE8A7" w:rsidR="0044539B" w:rsidRPr="00E303DF" w:rsidRDefault="0044539B" w:rsidP="00C11045">
            <w:pPr>
              <w:spacing w:line="240" w:lineRule="auto"/>
              <w:rPr>
                <w:rFonts w:ascii="Calibri" w:eastAsia="Calibri" w:hAnsi="Calibri"/>
                <w:sz w:val="16"/>
                <w:szCs w:val="16"/>
              </w:rPr>
            </w:pPr>
            <w:r w:rsidRPr="00E303DF">
              <w:rPr>
                <w:rFonts w:ascii="Calibri" w:eastAsia="Calibri" w:hAnsi="Calibri"/>
                <w:sz w:val="16"/>
                <w:szCs w:val="16"/>
              </w:rPr>
              <w:t>(</w:t>
            </w:r>
            <w:proofErr w:type="spellStart"/>
            <w:r w:rsidRPr="00E303DF">
              <w:rPr>
                <w:rFonts w:ascii="Calibri" w:eastAsia="Calibri" w:hAnsi="Calibri"/>
                <w:sz w:val="16"/>
                <w:szCs w:val="16"/>
              </w:rPr>
              <w:t>Seah</w:t>
            </w:r>
            <w:proofErr w:type="spellEnd"/>
            <w:r w:rsidRPr="00E303DF">
              <w:rPr>
                <w:rFonts w:ascii="Calibri" w:eastAsia="Calibri" w:hAnsi="Calibri"/>
                <w:sz w:val="16"/>
                <w:szCs w:val="16"/>
              </w:rPr>
              <w:t>, 2017</w:t>
            </w:r>
            <w:r w:rsidR="002620A4">
              <w:rPr>
                <w:rFonts w:ascii="Calibri" w:eastAsia="Calibri" w:hAnsi="Calibri"/>
                <w:sz w:val="16"/>
                <w:szCs w:val="16"/>
              </w:rPr>
              <w:t xml:space="preserve"> </w:t>
            </w:r>
            <w:r w:rsidRPr="00E303DF">
              <w:rPr>
                <w:rFonts w:ascii="Calibri" w:eastAsia="Calibri" w:hAnsi="Calibri"/>
                <w:noProof/>
                <w:sz w:val="16"/>
                <w:szCs w:val="16"/>
              </w:rPr>
              <w:t>(61)</w:t>
            </w:r>
            <w:r w:rsidRPr="00E303DF">
              <w:rPr>
                <w:rFonts w:ascii="Calibri" w:eastAsia="Calibri" w:hAnsi="Calibri"/>
                <w:sz w:val="16"/>
                <w:szCs w:val="16"/>
              </w:rPr>
              <w:t>)</w:t>
            </w:r>
          </w:p>
        </w:tc>
        <w:tc>
          <w:tcPr>
            <w:tcW w:w="8587" w:type="dxa"/>
            <w:shd w:val="clear" w:color="auto" w:fill="auto"/>
          </w:tcPr>
          <w:p w14:paraId="003F12CD" w14:textId="78F538A1" w:rsidR="0044539B" w:rsidRPr="007F03EC" w:rsidRDefault="00DB3EA8" w:rsidP="00C11045">
            <w:pPr>
              <w:spacing w:line="240" w:lineRule="auto"/>
              <w:rPr>
                <w:rFonts w:ascii="Calibri" w:eastAsia="Calibri" w:hAnsi="Calibri"/>
                <w:i/>
                <w:iCs/>
                <w:sz w:val="22"/>
                <w:szCs w:val="22"/>
              </w:rPr>
            </w:pPr>
            <w:r>
              <w:rPr>
                <w:rFonts w:ascii="Calibri" w:eastAsia="Calibri" w:hAnsi="Calibri"/>
                <w:sz w:val="22"/>
                <w:szCs w:val="22"/>
              </w:rPr>
              <w:t>“</w:t>
            </w:r>
            <w:r w:rsidR="0044539B" w:rsidRPr="00E303DF">
              <w:rPr>
                <w:rFonts w:ascii="Calibri" w:eastAsia="Calibri" w:hAnsi="Calibri"/>
                <w:sz w:val="22"/>
                <w:szCs w:val="22"/>
              </w:rPr>
              <w:t>Unexplained pain after primary TKA and an Oxford knee score (OKS) less than 27 (which is considered a poor outcome</w:t>
            </w:r>
            <w:r w:rsidR="00F8573E">
              <w:rPr>
                <w:rFonts w:ascii="Calibri" w:eastAsia="Calibri" w:hAnsi="Calibri"/>
                <w:sz w:val="22"/>
                <w:szCs w:val="22"/>
              </w:rPr>
              <w:t xml:space="preserve"> </w:t>
            </w:r>
            <w:r w:rsidR="00F8573E">
              <w:rPr>
                <w:rFonts w:ascii="Calibri" w:eastAsia="Calibri" w:hAnsi="Calibri"/>
                <w:sz w:val="22"/>
                <w:szCs w:val="22"/>
              </w:rPr>
              <w:fldChar w:fldCharType="begin" w:fldLock="1"/>
            </w:r>
            <w:r w:rsidR="005A7914">
              <w:rPr>
                <w:rFonts w:ascii="Calibri" w:eastAsia="Calibri" w:hAnsi="Calibri"/>
                <w:sz w:val="22"/>
                <w:szCs w:val="22"/>
              </w:rPr>
              <w:instrText>ADDIN CSL_CITATION {"citationItems":[{"id":"ITEM-1","itemData":{"ISSN":"0301620X","abstract":"The Oxford hip and knee scores are used to measure the outcome after primary total hip and knee replacement. We propose a new layout for the instrument in which patients are always asked about both limbs. In addition, we have defined an alternative scoring method which accounts for missing data. Over a period of 4.5 years, 4086 (1423 patients) and 5708 (1458 patients) questionnaires were completed for hips and knees, respectively. The hip score had a pre-operative median of 70.8 (interquartile range (IQR) 58.3 to 81.2) decreasing to 20.8 (IQR 10.4 to 35.4) after one year. The knee score had a pre-operative median of 68.8 (IQR 56.2 to 79.2) decreasing to 29.2 (IQR 14.6 to 45.8). There was no further significant change in either score after one year. As a result of the data analysis, we suggest that the score percentiles can be used as a standard for auditing patients before and after operation. ©2005 British Editorial Society of Bone and Joint Surgery.","author":[{"dropping-particle":"","family":"Pynsent","given":"PB","non-dropping-particle":"","parse-names":false,"suffix":""},{"dropping-particle":"","family":"Adams","given":"DJ","non-dropping-particle":"","parse-names":false,"suffix":""},{"dropping-particle":"","family":"Disney","given":"SP","non-dropping-particle":"","parse-names":false,"suffix":""}],"container-title":"J Bone Joint Surg Br","id":"ITEM-1","issue":"2","issued":{"date-parts":[["2005"]]},"page":"241-248","title":"The Oxford hip and knee outcome questionnaires for arthroplasty","type":"article-journal","volume":"87-B"},"uris":["http://www.mendeley.com/documents/?uuid=970918e4-d374-4a17-94af-304f1f8d91c0"]}],"mendeley":{"formattedCitation":"(9)","plainTextFormattedCitation":"(9)","previouslyFormattedCitation":"(9)"},"properties":{"noteIndex":0},"schema":"https://github.com/citation-style-language/schema/raw/master/csl-citation.json"}</w:instrText>
            </w:r>
            <w:r w:rsidR="00F8573E">
              <w:rPr>
                <w:rFonts w:ascii="Calibri" w:eastAsia="Calibri" w:hAnsi="Calibri"/>
                <w:sz w:val="22"/>
                <w:szCs w:val="22"/>
              </w:rPr>
              <w:fldChar w:fldCharType="separate"/>
            </w:r>
            <w:r w:rsidR="00117A4F" w:rsidRPr="00117A4F">
              <w:rPr>
                <w:rFonts w:ascii="Calibri" w:eastAsia="Calibri" w:hAnsi="Calibri"/>
                <w:noProof/>
                <w:sz w:val="22"/>
                <w:szCs w:val="22"/>
              </w:rPr>
              <w:t>(9)</w:t>
            </w:r>
            <w:r w:rsidR="00F8573E">
              <w:rPr>
                <w:rFonts w:ascii="Calibri" w:eastAsia="Calibri" w:hAnsi="Calibri"/>
                <w:sz w:val="22"/>
                <w:szCs w:val="22"/>
              </w:rPr>
              <w:fldChar w:fldCharType="end"/>
            </w:r>
            <w:r w:rsidR="0044539B" w:rsidRPr="00E303DF">
              <w:rPr>
                <w:rFonts w:ascii="Calibri" w:eastAsia="Calibri" w:hAnsi="Calibri"/>
                <w:sz w:val="22"/>
                <w:szCs w:val="22"/>
              </w:rPr>
              <w:t xml:space="preserve"> at 6 months.</w:t>
            </w:r>
            <w:r>
              <w:rPr>
                <w:rFonts w:ascii="Calibri" w:eastAsia="Calibri" w:hAnsi="Calibri"/>
                <w:sz w:val="22"/>
                <w:szCs w:val="22"/>
              </w:rPr>
              <w:t>”</w:t>
            </w:r>
            <w:r w:rsidR="0044539B" w:rsidRPr="007F03EC">
              <w:rPr>
                <w:rFonts w:ascii="Calibri" w:eastAsia="Calibri" w:hAnsi="Calibri"/>
                <w:i/>
                <w:iCs/>
                <w:color w:val="FF0000"/>
                <w:sz w:val="22"/>
                <w:szCs w:val="22"/>
              </w:rPr>
              <w:t xml:space="preserve"> </w:t>
            </w:r>
          </w:p>
        </w:tc>
      </w:tr>
      <w:tr w:rsidR="0044539B" w:rsidRPr="00E303DF" w14:paraId="778E38BE" w14:textId="77777777" w:rsidTr="00C11045">
        <w:trPr>
          <w:trHeight w:val="266"/>
        </w:trPr>
        <w:tc>
          <w:tcPr>
            <w:tcW w:w="5046" w:type="dxa"/>
            <w:shd w:val="clear" w:color="auto" w:fill="auto"/>
          </w:tcPr>
          <w:p w14:paraId="18A5DF9D" w14:textId="77777777" w:rsidR="0044539B" w:rsidRPr="00E303DF" w:rsidRDefault="0044539B" w:rsidP="00C11045">
            <w:pPr>
              <w:spacing w:line="240" w:lineRule="auto"/>
              <w:rPr>
                <w:rFonts w:ascii="Calibri" w:eastAsia="Calibri" w:hAnsi="Calibri"/>
                <w:sz w:val="22"/>
                <w:szCs w:val="22"/>
                <w:lang w:val="en-GB"/>
              </w:rPr>
            </w:pPr>
            <w:r w:rsidRPr="00E303DF">
              <w:rPr>
                <w:rFonts w:ascii="Calibri" w:eastAsia="Calibri" w:hAnsi="Calibri"/>
                <w:sz w:val="22"/>
                <w:szCs w:val="22"/>
              </w:rPr>
              <w:t>OKS pain &amp; functioning MCID</w:t>
            </w:r>
            <w:r w:rsidRPr="00E303DF">
              <w:rPr>
                <w:rFonts w:ascii="Calibri" w:eastAsia="Calibri" w:hAnsi="Calibri"/>
                <w:sz w:val="22"/>
                <w:szCs w:val="22"/>
                <w:lang w:val="en-GB"/>
              </w:rPr>
              <w:t>≤5</w:t>
            </w:r>
          </w:p>
          <w:p w14:paraId="2E804357" w14:textId="6E934B6C" w:rsidR="0044539B" w:rsidRPr="00E303DF" w:rsidRDefault="0044539B" w:rsidP="00C11045">
            <w:pPr>
              <w:spacing w:line="240" w:lineRule="auto"/>
              <w:rPr>
                <w:rFonts w:ascii="Calibri" w:eastAsia="Calibri" w:hAnsi="Calibri"/>
                <w:sz w:val="16"/>
                <w:szCs w:val="16"/>
              </w:rPr>
            </w:pPr>
            <w:r w:rsidRPr="00E303DF">
              <w:rPr>
                <w:rFonts w:ascii="Calibri" w:eastAsia="Calibri" w:hAnsi="Calibri"/>
                <w:sz w:val="16"/>
                <w:szCs w:val="16"/>
              </w:rPr>
              <w:t>(</w:t>
            </w:r>
            <w:proofErr w:type="spellStart"/>
            <w:r w:rsidRPr="00E303DF">
              <w:rPr>
                <w:rFonts w:ascii="Calibri" w:eastAsia="Calibri" w:hAnsi="Calibri"/>
                <w:sz w:val="16"/>
                <w:szCs w:val="16"/>
              </w:rPr>
              <w:t>Alzahrani</w:t>
            </w:r>
            <w:proofErr w:type="spellEnd"/>
            <w:r w:rsidRPr="00E303DF">
              <w:rPr>
                <w:rFonts w:ascii="Calibri" w:eastAsia="Calibri" w:hAnsi="Calibri"/>
                <w:sz w:val="16"/>
                <w:szCs w:val="16"/>
              </w:rPr>
              <w:t>, 2011</w:t>
            </w:r>
            <w:r w:rsidR="002620A4">
              <w:rPr>
                <w:rFonts w:ascii="Calibri" w:eastAsia="Calibri" w:hAnsi="Calibri"/>
                <w:sz w:val="16"/>
                <w:szCs w:val="16"/>
              </w:rPr>
              <w:t xml:space="preserve"> </w:t>
            </w:r>
            <w:r w:rsidRPr="00E303DF">
              <w:rPr>
                <w:rFonts w:ascii="Calibri" w:eastAsia="Calibri" w:hAnsi="Calibri"/>
                <w:noProof/>
                <w:sz w:val="16"/>
                <w:szCs w:val="16"/>
              </w:rPr>
              <w:t>(62)</w:t>
            </w:r>
            <w:r w:rsidRPr="00E303DF">
              <w:rPr>
                <w:rFonts w:ascii="Calibri" w:eastAsia="Calibri" w:hAnsi="Calibri"/>
                <w:sz w:val="16"/>
                <w:szCs w:val="16"/>
              </w:rPr>
              <w:t>)</w:t>
            </w:r>
          </w:p>
        </w:tc>
        <w:tc>
          <w:tcPr>
            <w:tcW w:w="8587" w:type="dxa"/>
            <w:shd w:val="clear" w:color="auto" w:fill="auto"/>
          </w:tcPr>
          <w:p w14:paraId="09A41A36" w14:textId="04AB3D70" w:rsidR="0044539B" w:rsidRPr="00E303DF" w:rsidRDefault="0044539B" w:rsidP="00C11045">
            <w:pPr>
              <w:spacing w:line="240" w:lineRule="auto"/>
              <w:rPr>
                <w:rFonts w:ascii="Calibri" w:eastAsia="Calibri" w:hAnsi="Calibri"/>
                <w:sz w:val="22"/>
                <w:szCs w:val="22"/>
                <w:lang w:val="nl-NL"/>
              </w:rPr>
            </w:pPr>
            <w:r w:rsidRPr="00E303DF">
              <w:rPr>
                <w:rFonts w:ascii="Calibri" w:eastAsia="Calibri" w:hAnsi="Calibri"/>
                <w:sz w:val="22"/>
                <w:szCs w:val="22"/>
              </w:rPr>
              <w:t>“We defined the MCID for the OKS as a 5-point change or less, as suggested by Murray et al.</w:t>
            </w:r>
            <w:r w:rsidR="00F8573E">
              <w:rPr>
                <w:rFonts w:ascii="Calibri" w:eastAsia="Calibri" w:hAnsi="Calibri"/>
                <w:sz w:val="22"/>
                <w:szCs w:val="22"/>
              </w:rPr>
              <w:t xml:space="preserve"> </w:t>
            </w:r>
            <w:r w:rsidR="00F8573E">
              <w:rPr>
                <w:rFonts w:ascii="Calibri" w:eastAsia="Calibri" w:hAnsi="Calibri"/>
                <w:sz w:val="22"/>
                <w:szCs w:val="22"/>
              </w:rPr>
              <w:fldChar w:fldCharType="begin" w:fldLock="1"/>
            </w:r>
            <w:r w:rsidR="005A7914">
              <w:rPr>
                <w:rFonts w:ascii="Calibri" w:eastAsia="Calibri" w:hAnsi="Calibri"/>
                <w:sz w:val="22"/>
                <w:szCs w:val="22"/>
              </w:rPr>
              <w:instrText>ADDIN CSL_CITATION {"citationItems":[{"id":"ITEM-1","itemData":{"ISSN":"0301620X","abstract":"The Oxford hip and knee scores have been extensively used since they were first described in 1996 and 1998. During this time, they have been modified and used for many different purposes. This paper describes how they should be used and seeks to clarify areas of confusion. ©2007 British Editorial Society of Bone and Joint Surgery.","author":[{"dropping-particle":"","family":"Murray","given":"DW","non-dropping-particle":"","parse-names":false,"suffix":""},{"dropping-particle":"","family":"Fitzpatrick","given":"R","non-dropping-particle":"","parse-names":false,"suffix":""},{"dropping-particle":"","family":"Rogers","given":"K","non-dropping-particle":"","parse-names":false,"suffix":""},{"dropping-particle":"","family":"Pandit","given":"H","non-dropping-particle":"","parse-names":false,"suffix":""},{"dropping-particle":"","family":"Beard","given":"DJ","non-dropping-particle":"","parse-names":false,"suffix":""},{"dropping-particle":"","family":"Carr","given":"AJ","non-dropping-particle":"","parse-names":false,"suffix":""},{"dropping-particle":"","family":"Dawson","given":"J","non-dropping-particle":"","parse-names":false,"suffix":""}],"container-title":"J Bone Joint Surg Br","id":"ITEM-1","issue":"8","issued":{"date-parts":[["2007"]]},"page":"1010-1014","title":"The use of the Oxford hip and knee scores","type":"article-journal","volume":"89-B"},"uris":["http://www.mendeley.com/documents/?uuid=7b98f203-1ec1-4a2e-b499-b78d70a7ae76"]}],"mendeley":{"formattedCitation":"(10)","plainTextFormattedCitation":"(10)","previouslyFormattedCitation":"(10)"},"properties":{"noteIndex":0},"schema":"https://github.com/citation-style-language/schema/raw/master/csl-citation.json"}</w:instrText>
            </w:r>
            <w:r w:rsidR="00F8573E">
              <w:rPr>
                <w:rFonts w:ascii="Calibri" w:eastAsia="Calibri" w:hAnsi="Calibri"/>
                <w:sz w:val="22"/>
                <w:szCs w:val="22"/>
              </w:rPr>
              <w:fldChar w:fldCharType="separate"/>
            </w:r>
            <w:r w:rsidR="00117A4F" w:rsidRPr="00117A4F">
              <w:rPr>
                <w:rFonts w:ascii="Calibri" w:eastAsia="Calibri" w:hAnsi="Calibri"/>
                <w:noProof/>
                <w:sz w:val="22"/>
                <w:szCs w:val="22"/>
              </w:rPr>
              <w:t>(10)</w:t>
            </w:r>
            <w:r w:rsidR="00F8573E">
              <w:rPr>
                <w:rFonts w:ascii="Calibri" w:eastAsia="Calibri" w:hAnsi="Calibri"/>
                <w:sz w:val="22"/>
                <w:szCs w:val="22"/>
              </w:rPr>
              <w:fldChar w:fldCharType="end"/>
            </w:r>
            <w:r w:rsidRPr="00E303DF">
              <w:rPr>
                <w:rFonts w:ascii="Calibri" w:eastAsia="Calibri" w:hAnsi="Calibri"/>
                <w:sz w:val="22"/>
                <w:szCs w:val="22"/>
                <w:lang w:val="nl-NL"/>
              </w:rPr>
              <w:t>.”</w:t>
            </w:r>
          </w:p>
        </w:tc>
      </w:tr>
      <w:tr w:rsidR="0044539B" w:rsidRPr="00E303DF" w14:paraId="64980BE3" w14:textId="77777777" w:rsidTr="00C11045">
        <w:trPr>
          <w:trHeight w:val="266"/>
        </w:trPr>
        <w:tc>
          <w:tcPr>
            <w:tcW w:w="5046" w:type="dxa"/>
            <w:shd w:val="clear" w:color="auto" w:fill="auto"/>
          </w:tcPr>
          <w:p w14:paraId="2623DAE5" w14:textId="77777777" w:rsidR="0044539B" w:rsidRPr="00E303DF" w:rsidRDefault="0044539B" w:rsidP="00C11045">
            <w:pPr>
              <w:spacing w:line="240" w:lineRule="auto"/>
              <w:rPr>
                <w:rFonts w:ascii="Calibri" w:eastAsia="Calibri" w:hAnsi="Calibri"/>
                <w:sz w:val="22"/>
                <w:szCs w:val="22"/>
                <w:lang w:val="en-GB"/>
              </w:rPr>
            </w:pPr>
            <w:r w:rsidRPr="00E303DF">
              <w:rPr>
                <w:rFonts w:ascii="Calibri" w:eastAsia="Calibri" w:hAnsi="Calibri"/>
                <w:sz w:val="22"/>
                <w:szCs w:val="22"/>
              </w:rPr>
              <w:t>OKS pain &amp; functioning MCID</w:t>
            </w:r>
            <w:r w:rsidRPr="00E303DF">
              <w:rPr>
                <w:rFonts w:ascii="Calibri" w:eastAsia="Calibri" w:hAnsi="Calibri"/>
                <w:sz w:val="22"/>
                <w:szCs w:val="22"/>
                <w:lang w:val="en-GB"/>
              </w:rPr>
              <w:t>≤6</w:t>
            </w:r>
          </w:p>
          <w:p w14:paraId="48913F0F" w14:textId="23C158B6" w:rsidR="0044539B" w:rsidRPr="00E303DF" w:rsidRDefault="0044539B" w:rsidP="00C11045">
            <w:pPr>
              <w:spacing w:line="240" w:lineRule="auto"/>
              <w:rPr>
                <w:rFonts w:ascii="Calibri" w:eastAsia="Calibri" w:hAnsi="Calibri"/>
                <w:sz w:val="16"/>
                <w:szCs w:val="16"/>
              </w:rPr>
            </w:pPr>
            <w:r w:rsidRPr="00E303DF">
              <w:rPr>
                <w:rFonts w:ascii="Calibri" w:eastAsia="Calibri" w:hAnsi="Calibri"/>
                <w:sz w:val="16"/>
                <w:szCs w:val="16"/>
              </w:rPr>
              <w:t>(</w:t>
            </w:r>
            <w:proofErr w:type="spellStart"/>
            <w:r w:rsidRPr="00E303DF">
              <w:rPr>
                <w:rFonts w:ascii="Calibri" w:eastAsia="Calibri" w:hAnsi="Calibri"/>
                <w:sz w:val="16"/>
                <w:szCs w:val="16"/>
              </w:rPr>
              <w:t>Filbay</w:t>
            </w:r>
            <w:proofErr w:type="spellEnd"/>
            <w:r w:rsidRPr="00E303DF">
              <w:rPr>
                <w:rFonts w:ascii="Calibri" w:eastAsia="Calibri" w:hAnsi="Calibri"/>
                <w:sz w:val="16"/>
                <w:szCs w:val="16"/>
              </w:rPr>
              <w:t>, 2019</w:t>
            </w:r>
            <w:r w:rsidR="002620A4">
              <w:rPr>
                <w:rFonts w:ascii="Calibri" w:eastAsia="Calibri" w:hAnsi="Calibri"/>
                <w:sz w:val="16"/>
                <w:szCs w:val="16"/>
              </w:rPr>
              <w:t xml:space="preserve"> </w:t>
            </w:r>
            <w:r w:rsidRPr="00E303DF">
              <w:rPr>
                <w:rFonts w:ascii="Calibri" w:eastAsia="Calibri" w:hAnsi="Calibri"/>
                <w:noProof/>
                <w:sz w:val="16"/>
                <w:szCs w:val="16"/>
              </w:rPr>
              <w:t>(49)</w:t>
            </w:r>
            <w:r w:rsidRPr="00E303DF">
              <w:rPr>
                <w:rFonts w:ascii="Calibri" w:eastAsia="Calibri" w:hAnsi="Calibri"/>
                <w:sz w:val="16"/>
                <w:szCs w:val="16"/>
              </w:rPr>
              <w:t>)</w:t>
            </w:r>
          </w:p>
        </w:tc>
        <w:tc>
          <w:tcPr>
            <w:tcW w:w="8587" w:type="dxa"/>
            <w:shd w:val="clear" w:color="auto" w:fill="auto"/>
          </w:tcPr>
          <w:p w14:paraId="072D0150" w14:textId="32CFFFA8"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 xml:space="preserve">“The MIC for the OKS following TKA at an individual level, has been estimated to be 7-points (considered as the minimal amount of change necessary to distinguish between patients ‘a little better’ from those ‘about the same’ in a UK sample of 94,502 individuals undergoing knee arthroplasty) </w:t>
            </w:r>
            <w:r w:rsidR="00F8573E">
              <w:rPr>
                <w:rFonts w:ascii="Calibri" w:eastAsia="Calibri" w:hAnsi="Calibri"/>
                <w:sz w:val="22"/>
                <w:szCs w:val="22"/>
              </w:rPr>
              <w:fldChar w:fldCharType="begin" w:fldLock="1"/>
            </w:r>
            <w:r w:rsidR="005A7914">
              <w:rPr>
                <w:rFonts w:ascii="Calibri" w:eastAsia="Calibri" w:hAnsi="Calibri"/>
                <w:sz w:val="22"/>
                <w:szCs w:val="22"/>
              </w:rPr>
              <w:instrText xml:space="preserve">ADDIN CSL_CITATION {"citationItems":[{"id":"ITEM-1","itemData":{"ISSN":"18785921","abstract":"Objectives To present estimates of clinically meaningful or minimal important changes for the Oxford Hip Score (OHS) and the Oxford Knee Score (OKS) after joint replacement surgery. Study Design and Setting Secondary data analysis of the NHS patient-reported outcome measures data set that included 82,415 patients listed for hip replacement surgery and 94,015 patients listed for knee replacement surgery was performed. Results Anchor-based methods revealed that meaningful change indices at the group level [minimal important change (MIC)], for example in cohort studies, were </w:instrText>
            </w:r>
            <w:r w:rsidR="005A7914">
              <w:rPr>
                <w:rFonts w:ascii="Cambria Math" w:eastAsia="Calibri" w:hAnsi="Cambria Math" w:cs="Cambria Math"/>
                <w:sz w:val="22"/>
                <w:szCs w:val="22"/>
              </w:rPr>
              <w:instrText>∼</w:instrText>
            </w:r>
            <w:r w:rsidR="005A7914">
              <w:rPr>
                <w:rFonts w:ascii="Calibri" w:eastAsia="Calibri" w:hAnsi="Calibri"/>
                <w:sz w:val="22"/>
                <w:szCs w:val="22"/>
              </w:rPr>
              <w:instrText xml:space="preserve">11 points for the OHS and </w:instrText>
            </w:r>
            <w:r w:rsidR="005A7914">
              <w:rPr>
                <w:rFonts w:ascii="Cambria Math" w:eastAsia="Calibri" w:hAnsi="Cambria Math" w:cs="Cambria Math"/>
                <w:sz w:val="22"/>
                <w:szCs w:val="22"/>
              </w:rPr>
              <w:instrText>∼</w:instrText>
            </w:r>
            <w:r w:rsidR="005A7914">
              <w:rPr>
                <w:rFonts w:ascii="Calibri" w:eastAsia="Calibri" w:hAnsi="Calibri"/>
                <w:sz w:val="22"/>
                <w:szCs w:val="22"/>
              </w:rPr>
              <w:instrText xml:space="preserve">9 points for the OKS. For assessment of individual patients, receiver operating characteristic analysis produced MICs of 8 and 7 points for OHS and OKS, respectively. Additionally, the between group minimal important difference (MID), which allows the estimation of a clinically relevant difference in change scores from baseline when comparing two groups, that is, for clinical trials, was estimated to be </w:instrText>
            </w:r>
            <w:r w:rsidR="005A7914">
              <w:rPr>
                <w:rFonts w:ascii="Cambria Math" w:eastAsia="Calibri" w:hAnsi="Cambria Math" w:cs="Cambria Math"/>
                <w:sz w:val="22"/>
                <w:szCs w:val="22"/>
              </w:rPr>
              <w:instrText>∼</w:instrText>
            </w:r>
            <w:r w:rsidR="005A7914">
              <w:rPr>
                <w:rFonts w:ascii="Calibri" w:eastAsia="Calibri" w:hAnsi="Calibri"/>
                <w:sz w:val="22"/>
                <w:szCs w:val="22"/>
              </w:rPr>
              <w:instrText>5 points for both the OKS and the OHS. The distribution-based minimal detectable change (MDC90) estimates for the OKS and OHS were 4 and 5 points, respectively. Conclusion This study has produced and discussed estimates of minimal important change/difference for the OKS/OHS. These estimates should be used in the power calculations and the interpretation of studies using the OKS and OHS. The MDC90 (</w:instrText>
            </w:r>
            <w:r w:rsidR="005A7914">
              <w:rPr>
                <w:rFonts w:ascii="Cambria Math" w:eastAsia="Calibri" w:hAnsi="Cambria Math" w:cs="Cambria Math"/>
                <w:sz w:val="22"/>
                <w:szCs w:val="22"/>
              </w:rPr>
              <w:instrText>∼</w:instrText>
            </w:r>
            <w:r w:rsidR="005A7914">
              <w:rPr>
                <w:rFonts w:ascii="Calibri" w:eastAsia="Calibri" w:hAnsi="Calibri"/>
                <w:sz w:val="22"/>
                <w:szCs w:val="22"/>
              </w:rPr>
              <w:instrText xml:space="preserve">4 points OKS and </w:instrText>
            </w:r>
            <w:r w:rsidR="005A7914">
              <w:rPr>
                <w:rFonts w:ascii="Cambria Math" w:eastAsia="Calibri" w:hAnsi="Cambria Math" w:cs="Cambria Math"/>
                <w:sz w:val="22"/>
                <w:szCs w:val="22"/>
              </w:rPr>
              <w:instrText>∼</w:instrText>
            </w:r>
            <w:r w:rsidR="005A7914">
              <w:rPr>
                <w:rFonts w:ascii="Calibri" w:eastAsia="Calibri" w:hAnsi="Calibri"/>
                <w:sz w:val="22"/>
                <w:szCs w:val="22"/>
              </w:rPr>
              <w:instrText>5 points OHS) represents the smallest possible detectable change for each of these instruments, thus indicating that any lower value would fall within measurement error.","author":[{"dropping-particle":"","family":"Beard","given":"DJ","non-dropping-particle":"","parse-names":false,"suffix":""},{"dropping-particle":"","family":"Harris","given":"K","non-dropping-particle":"","parse-names":false,"suffix":""},{"dropping-particle":"","family":"Dawson","given":"J","non-dropping-particle":"","parse-names":false,"suffix":""},{"dropping-particle":"","family":"Doll","given":"H","non-dropping-particle":"","parse-names":false,"suffix":""},{"dropping-particle":"","family":"Murray","given":"DW","non-dropping-particle":"","parse-names":false,"suffix":""},{"dropping-particle":"","family":"Carr","given":"AJ","non-dropping-particle":"","parse-names":false,"suffix":""},{"dropping-particle":"","family":"Price","given":"AJ","non-dropping-particle":"","parse-names":false,"suffix":""}],"container-title":"Journal of Clinical Epidemiology","id":"ITEM-1","issue":"1","issued":{"date-parts":[["2015"]]},"page":"73-79","publisher":"Elsevier Inc","title":"Meaningful changes for the Oxford hip and knee scores after joint replacement surgery","type":"article-journal","volume":"68"},"uris":["http://www.mendeley.com/documents/?uuid=0991b572-8356-4f02-bef0-2f05c4eee824"]}],"mendeley":{"formattedCitation":"(11)","plainTextFormattedCitation":"(11)","previouslyFormattedCitation":"(11)"},"properties":{"noteIndex":0},"schema":"https://github.com/citation-style-language/schema/raw/master/csl-citation.json"}</w:instrText>
            </w:r>
            <w:r w:rsidR="00F8573E">
              <w:rPr>
                <w:rFonts w:ascii="Calibri" w:eastAsia="Calibri" w:hAnsi="Calibri"/>
                <w:sz w:val="22"/>
                <w:szCs w:val="22"/>
              </w:rPr>
              <w:fldChar w:fldCharType="separate"/>
            </w:r>
            <w:r w:rsidR="00117A4F" w:rsidRPr="00117A4F">
              <w:rPr>
                <w:rFonts w:ascii="Calibri" w:eastAsia="Calibri" w:hAnsi="Calibri"/>
                <w:noProof/>
                <w:sz w:val="22"/>
                <w:szCs w:val="22"/>
              </w:rPr>
              <w:t>(11)</w:t>
            </w:r>
            <w:r w:rsidR="00F8573E">
              <w:rPr>
                <w:rFonts w:ascii="Calibri" w:eastAsia="Calibri" w:hAnsi="Calibri"/>
                <w:sz w:val="22"/>
                <w:szCs w:val="22"/>
              </w:rPr>
              <w:fldChar w:fldCharType="end"/>
            </w:r>
            <w:r w:rsidRPr="00E303DF">
              <w:rPr>
                <w:rFonts w:ascii="Calibri" w:eastAsia="Calibri" w:hAnsi="Calibri"/>
                <w:sz w:val="22"/>
                <w:szCs w:val="22"/>
              </w:rPr>
              <w:t xml:space="preserve">. To enhance interpretation of findings and maintain consistency with other binary outcomes, the OKS was </w:t>
            </w:r>
            <w:proofErr w:type="spellStart"/>
            <w:r w:rsidRPr="00E303DF">
              <w:rPr>
                <w:rFonts w:ascii="Calibri" w:eastAsia="Calibri" w:hAnsi="Calibri"/>
                <w:sz w:val="22"/>
                <w:szCs w:val="22"/>
              </w:rPr>
              <w:t>dichotomised</w:t>
            </w:r>
            <w:proofErr w:type="spellEnd"/>
            <w:r w:rsidRPr="00E303DF">
              <w:rPr>
                <w:rFonts w:ascii="Calibri" w:eastAsia="Calibri" w:hAnsi="Calibri"/>
                <w:sz w:val="22"/>
                <w:szCs w:val="22"/>
              </w:rPr>
              <w:t xml:space="preserve"> using a cut-off of 7-points, whereby patients reporting an improvement of 6-points or less on the OKS between baseline and one-year follow-up were </w:t>
            </w:r>
            <w:proofErr w:type="spellStart"/>
            <w:r w:rsidRPr="00E303DF">
              <w:rPr>
                <w:rFonts w:ascii="Calibri" w:eastAsia="Calibri" w:hAnsi="Calibri"/>
                <w:sz w:val="22"/>
                <w:szCs w:val="22"/>
              </w:rPr>
              <w:t>categorised</w:t>
            </w:r>
            <w:proofErr w:type="spellEnd"/>
            <w:r w:rsidRPr="00E303DF">
              <w:rPr>
                <w:rFonts w:ascii="Calibri" w:eastAsia="Calibri" w:hAnsi="Calibri"/>
                <w:sz w:val="22"/>
                <w:szCs w:val="22"/>
              </w:rPr>
              <w:t xml:space="preserve"> as ‘not achieving OKS MIC.”</w:t>
            </w:r>
          </w:p>
        </w:tc>
      </w:tr>
      <w:tr w:rsidR="0044539B" w:rsidRPr="00E303DF" w14:paraId="4257603F" w14:textId="77777777" w:rsidTr="00C11045">
        <w:trPr>
          <w:trHeight w:val="256"/>
        </w:trPr>
        <w:tc>
          <w:tcPr>
            <w:tcW w:w="5046" w:type="dxa"/>
            <w:shd w:val="clear" w:color="auto" w:fill="auto"/>
          </w:tcPr>
          <w:p w14:paraId="380CFBA7" w14:textId="77777777" w:rsidR="0044539B" w:rsidRPr="00E303DF" w:rsidRDefault="0044539B" w:rsidP="00C11045">
            <w:pPr>
              <w:spacing w:line="240" w:lineRule="auto"/>
              <w:rPr>
                <w:rFonts w:ascii="Calibri" w:eastAsia="Calibri" w:hAnsi="Calibri"/>
                <w:sz w:val="22"/>
                <w:szCs w:val="22"/>
                <w:lang w:val="nl-NL"/>
              </w:rPr>
            </w:pPr>
            <w:r w:rsidRPr="00E303DF">
              <w:rPr>
                <w:rFonts w:ascii="Calibri" w:eastAsia="Calibri" w:hAnsi="Calibri"/>
                <w:sz w:val="22"/>
                <w:szCs w:val="22"/>
                <w:lang w:val="nl-NL"/>
              </w:rPr>
              <w:t xml:space="preserve">WOMAC </w:t>
            </w:r>
            <w:proofErr w:type="spellStart"/>
            <w:r w:rsidRPr="00E303DF">
              <w:rPr>
                <w:rFonts w:ascii="Calibri" w:eastAsia="Calibri" w:hAnsi="Calibri"/>
                <w:sz w:val="22"/>
                <w:szCs w:val="22"/>
                <w:lang w:val="nl-NL"/>
              </w:rPr>
              <w:t>pain</w:t>
            </w:r>
            <w:proofErr w:type="spellEnd"/>
            <w:r w:rsidRPr="00E303DF">
              <w:rPr>
                <w:rFonts w:ascii="Calibri" w:eastAsia="Calibri" w:hAnsi="Calibri"/>
                <w:sz w:val="22"/>
                <w:szCs w:val="22"/>
                <w:lang w:val="nl-NL"/>
              </w:rPr>
              <w:t xml:space="preserve"> &amp; </w:t>
            </w:r>
            <w:proofErr w:type="spellStart"/>
            <w:r w:rsidRPr="00E303DF">
              <w:rPr>
                <w:rFonts w:ascii="Calibri" w:eastAsia="Calibri" w:hAnsi="Calibri"/>
                <w:sz w:val="22"/>
                <w:szCs w:val="22"/>
                <w:lang w:val="nl-NL"/>
              </w:rPr>
              <w:t>functioning</w:t>
            </w:r>
            <w:proofErr w:type="spellEnd"/>
            <w:r w:rsidRPr="00E303DF">
              <w:rPr>
                <w:rFonts w:ascii="Calibri" w:eastAsia="Calibri" w:hAnsi="Calibri"/>
                <w:sz w:val="22"/>
                <w:szCs w:val="22"/>
                <w:lang w:val="nl-NL"/>
              </w:rPr>
              <w:t xml:space="preserve"> &lt;60 </w:t>
            </w:r>
          </w:p>
          <w:p w14:paraId="651EF6A1" w14:textId="4B74F5F0" w:rsidR="0044539B" w:rsidRPr="00E303DF" w:rsidRDefault="0044539B" w:rsidP="00C11045">
            <w:pPr>
              <w:spacing w:line="240" w:lineRule="auto"/>
              <w:rPr>
                <w:rFonts w:ascii="Calibri" w:eastAsia="Calibri" w:hAnsi="Calibri"/>
                <w:sz w:val="16"/>
                <w:szCs w:val="16"/>
                <w:lang w:val="nl-NL"/>
              </w:rPr>
            </w:pPr>
            <w:r w:rsidRPr="00E303DF">
              <w:rPr>
                <w:rFonts w:ascii="Calibri" w:eastAsia="Calibri" w:hAnsi="Calibri"/>
                <w:sz w:val="16"/>
                <w:szCs w:val="16"/>
                <w:lang w:val="nl-NL"/>
              </w:rPr>
              <w:t>(Katz, 2007</w:t>
            </w:r>
            <w:r w:rsidR="002620A4">
              <w:rPr>
                <w:rFonts w:ascii="Calibri" w:eastAsia="Calibri" w:hAnsi="Calibri"/>
                <w:sz w:val="16"/>
                <w:szCs w:val="16"/>
                <w:lang w:val="nl-NL"/>
              </w:rPr>
              <w:t xml:space="preserve"> </w:t>
            </w:r>
            <w:r w:rsidRPr="00E303DF">
              <w:rPr>
                <w:rFonts w:ascii="Calibri" w:eastAsia="Calibri" w:hAnsi="Calibri"/>
                <w:noProof/>
                <w:sz w:val="16"/>
                <w:szCs w:val="16"/>
                <w:lang w:val="nl-NL"/>
              </w:rPr>
              <w:t>(63)</w:t>
            </w:r>
            <w:r w:rsidRPr="00E303DF">
              <w:rPr>
                <w:rFonts w:ascii="Calibri" w:eastAsia="Calibri" w:hAnsi="Calibri"/>
                <w:sz w:val="16"/>
                <w:szCs w:val="16"/>
                <w:lang w:val="nl-NL"/>
              </w:rPr>
              <w:t>)</w:t>
            </w:r>
          </w:p>
        </w:tc>
        <w:tc>
          <w:tcPr>
            <w:tcW w:w="8587" w:type="dxa"/>
            <w:shd w:val="clear" w:color="auto" w:fill="auto"/>
          </w:tcPr>
          <w:p w14:paraId="6FE86AD5" w14:textId="0EFB8B6C"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 xml:space="preserve">“Scores &lt;60 indicated poor outcome. Sixty is a typical preoperative score </w:t>
            </w:r>
            <w:r w:rsidR="00F8573E">
              <w:rPr>
                <w:rFonts w:ascii="Calibri" w:eastAsia="Calibri" w:hAnsi="Calibri"/>
                <w:sz w:val="22"/>
                <w:szCs w:val="22"/>
              </w:rPr>
              <w:fldChar w:fldCharType="begin" w:fldLock="1"/>
            </w:r>
            <w:r w:rsidR="005A7914">
              <w:rPr>
                <w:rFonts w:ascii="Calibri" w:eastAsia="Calibri" w:hAnsi="Calibri"/>
                <w:sz w:val="22"/>
                <w:szCs w:val="22"/>
              </w:rPr>
              <w:instrText>ADDIN CSL_CITATION {"citationItems":[{"id":"ITEM-1","itemData":{"ISSN":"00043591","abstract":"Objective. To determine whether patients with knee or hip osteoarthritis (OA) who have worse physical function preoperatively achieve a postoperative status that is similar to that of patients with better preoperative function. Methods. This study surveyed an observational cohort of 379 consecutive patients with definite OA who were without other inflammatory joint diseases and were undergoing either total hip or knee replacement in a US (Boston) and a Canadian (Montreal) referral center. Questionnaires on health status (the Short Form 36 and Western Ontario and McMaster Universities Osteoarthritis Index) were administered preoperatively and at 3 and 6 months postoperatively. Physical function and pain due to OA were deemed the most significant outcomes to study. Results. Two hundred twenty-two patients returned their questionnaires. Patients in the 2 centers were comparable in age, sex, time to surgery, and proportion of hip/knee surgery. The Boston group had more education, lower comorbidity, and more cemented knee prostheses. Patients undergoing hip or knee replacement in Montreal had lower preoperative physical function and more pain than their Boston counterparts. In patients with lower preoperative physical function, function and pain were not improved postoperatively to the level achieved by those with higher preoperative function. This was most striking in patients undergoing total knee replacement. Conclusion. Surgery performed later in the natural history of functional decline due to OA of the knee, and possibly of the hip, results in worse postoperative functional status.","author":[{"dropping-particle":"","family":"Fortin","given":"PR","non-dropping-particle":"","parse-names":false,"suffix":""},{"dropping-particle":"","family":"Clarke","given":"AE","non-dropping-particle":"","parse-names":false,"suffix":""},{"dropping-particle":"","family":"Joseph","given":"L","non-dropping-particle":"","parse-names":false,"suffix":""},{"dropping-particle":"","family":"Liang","given":"MH","non-dropping-particle":"","parse-names":false,"suffix":""},{"dropping-particle":"","family":"Tanzer","given":"M","non-dropping-particle":"","parse-names":false,"suffix":""},{"dropping-particle":"","family":"Ferland","given":"D","non-dropping-particle":"","parse-names":false,"suffix":""},{"dropping-particle":"","family":"Phillips","given":"C","non-dropping-particle":"","parse-names":false,"suffix":""},{"dropping-particle":"","family":"Partridge","given":"AJ","non-dropping-particle":"","parse-names":false,"suffix":""},{"dropping-particle":"","family":"Bélisle","given":"P","non-dropping-particle":"","parse-names":false,"suffix":""},{"dropping-particle":"","family":"Fossel","given":"AH","non-dropping-particle":"","parse-names":false,"suffix":""},{"dropping-particle":"","family":"Mahomed","given":"N","non-dropping-particle":"","parse-names":false,"suffix":""},{"dropping-particle":"","family":"Sledge","given":"CB","non-dropping-particle":"","parse-names":false,"suffix":""},{"dropping-particle":"","family":"Katz","given":"JN","non-dropping-particle":"","parse-names":false,"suffix":""}],"container-title":"Arthritis and Rheumatism","id":"ITEM-1","issue":"8","issued":{"date-parts":[["1999"]]},"page":"1722-1728","title":"Outcomes of total hip and knee replacement: Preoperative functional status predicts outcomes at six months after surgery","type":"article-journal","volume":"42"},"uris":["http://www.mendeley.com/documents/?uuid=6c662881-4e3c-4a7a-ab5e-2060403387c9"]}],"mendeley":{"formattedCitation":"(12)","plainTextFormattedCitation":"(12)","previouslyFormattedCitation":"(12)"},"properties":{"noteIndex":0},"schema":"https://github.com/citation-style-language/schema/raw/master/csl-citation.json"}</w:instrText>
            </w:r>
            <w:r w:rsidR="00F8573E">
              <w:rPr>
                <w:rFonts w:ascii="Calibri" w:eastAsia="Calibri" w:hAnsi="Calibri"/>
                <w:sz w:val="22"/>
                <w:szCs w:val="22"/>
              </w:rPr>
              <w:fldChar w:fldCharType="separate"/>
            </w:r>
            <w:r w:rsidR="00117A4F" w:rsidRPr="00117A4F">
              <w:rPr>
                <w:rFonts w:ascii="Calibri" w:eastAsia="Calibri" w:hAnsi="Calibri"/>
                <w:noProof/>
                <w:sz w:val="22"/>
                <w:szCs w:val="22"/>
              </w:rPr>
              <w:t>(12)</w:t>
            </w:r>
            <w:r w:rsidR="00F8573E">
              <w:rPr>
                <w:rFonts w:ascii="Calibri" w:eastAsia="Calibri" w:hAnsi="Calibri"/>
                <w:sz w:val="22"/>
                <w:szCs w:val="22"/>
              </w:rPr>
              <w:fldChar w:fldCharType="end"/>
            </w:r>
            <w:r w:rsidRPr="00E303DF">
              <w:rPr>
                <w:rFonts w:ascii="Calibri" w:eastAsia="Calibri" w:hAnsi="Calibri"/>
                <w:sz w:val="22"/>
                <w:szCs w:val="22"/>
              </w:rPr>
              <w:t>.”</w:t>
            </w:r>
          </w:p>
        </w:tc>
      </w:tr>
      <w:tr w:rsidR="0044539B" w:rsidRPr="00E303DF" w14:paraId="7C9505D6" w14:textId="77777777" w:rsidTr="00C11045">
        <w:trPr>
          <w:trHeight w:val="256"/>
        </w:trPr>
        <w:tc>
          <w:tcPr>
            <w:tcW w:w="5046" w:type="dxa"/>
            <w:shd w:val="clear" w:color="auto" w:fill="auto"/>
          </w:tcPr>
          <w:p w14:paraId="2D1415E6" w14:textId="77777777" w:rsidR="0044539B" w:rsidRPr="00E303DF" w:rsidRDefault="0044539B" w:rsidP="00C11045">
            <w:pPr>
              <w:spacing w:line="240" w:lineRule="auto"/>
              <w:rPr>
                <w:rFonts w:ascii="Calibri" w:eastAsia="Calibri" w:hAnsi="Calibri"/>
                <w:sz w:val="22"/>
                <w:szCs w:val="22"/>
                <w:lang w:val="en-GB"/>
              </w:rPr>
            </w:pPr>
            <w:r w:rsidRPr="00E303DF">
              <w:rPr>
                <w:rFonts w:ascii="Calibri" w:eastAsia="Calibri" w:hAnsi="Calibri"/>
                <w:sz w:val="22"/>
                <w:szCs w:val="22"/>
              </w:rPr>
              <w:t xml:space="preserve">OMERACT-OARSI responder criteria (WOMAC, pain &amp; functioning and global score): </w:t>
            </w:r>
            <w:r w:rsidRPr="00E303DF">
              <w:rPr>
                <w:rFonts w:ascii="Calibri" w:eastAsia="Calibri" w:hAnsi="Calibri"/>
                <w:sz w:val="22"/>
                <w:szCs w:val="22"/>
                <w:lang w:val="en-GB"/>
              </w:rPr>
              <w:t>Non-responder: &lt;50% improvement and less than an absolute improvement of 20 points in either pain or function OR</w:t>
            </w:r>
          </w:p>
          <w:p w14:paraId="7698D731" w14:textId="77777777" w:rsidR="0044539B" w:rsidRPr="00E303DF" w:rsidRDefault="0044539B" w:rsidP="00C11045">
            <w:pPr>
              <w:spacing w:line="240" w:lineRule="auto"/>
              <w:rPr>
                <w:rFonts w:ascii="Calibri" w:eastAsia="Calibri" w:hAnsi="Calibri"/>
                <w:sz w:val="22"/>
                <w:szCs w:val="22"/>
                <w:lang w:val="en-GB"/>
              </w:rPr>
            </w:pPr>
            <w:r w:rsidRPr="00E303DF">
              <w:rPr>
                <w:rFonts w:ascii="Calibri" w:eastAsia="Calibri" w:hAnsi="Calibri"/>
                <w:sz w:val="22"/>
                <w:szCs w:val="22"/>
                <w:lang w:val="en-GB"/>
              </w:rPr>
              <w:t xml:space="preserve">if there was improvement in 2 of the 3 following: pain of &lt;20% and an absolute change of &lt;10, function </w:t>
            </w:r>
            <w:r w:rsidRPr="00E303DF">
              <w:rPr>
                <w:rFonts w:ascii="Calibri" w:eastAsia="Calibri" w:hAnsi="Calibri"/>
                <w:sz w:val="22"/>
                <w:szCs w:val="22"/>
                <w:lang w:val="en-GB"/>
              </w:rPr>
              <w:lastRenderedPageBreak/>
              <w:t>&lt;20% and an absolute change of &lt;10</w:t>
            </w:r>
            <w:r w:rsidRPr="00E303DF">
              <w:rPr>
                <w:rFonts w:ascii="Calibri" w:eastAsia="Calibri" w:hAnsi="Calibri"/>
                <w:i/>
                <w:sz w:val="22"/>
                <w:szCs w:val="22"/>
                <w:lang w:val="en-GB"/>
              </w:rPr>
              <w:t xml:space="preserve">, global improvement of  </w:t>
            </w:r>
            <w:r w:rsidRPr="00E303DF">
              <w:rPr>
                <w:rFonts w:ascii="Calibri" w:eastAsia="Calibri" w:hAnsi="Calibri"/>
                <w:sz w:val="22"/>
                <w:szCs w:val="22"/>
                <w:lang w:val="en-GB"/>
              </w:rPr>
              <w:t>&lt;20% and an absolute change of &lt;10</w:t>
            </w:r>
          </w:p>
          <w:p w14:paraId="60846D4F" w14:textId="07727F32" w:rsidR="0044539B" w:rsidRPr="00E303DF" w:rsidRDefault="0044539B" w:rsidP="00C11045">
            <w:pPr>
              <w:spacing w:line="240" w:lineRule="auto"/>
              <w:rPr>
                <w:rFonts w:ascii="Calibri" w:eastAsia="Calibri" w:hAnsi="Calibri"/>
                <w:sz w:val="16"/>
                <w:szCs w:val="16"/>
                <w:lang w:val="nl-NL"/>
              </w:rPr>
            </w:pPr>
            <w:r w:rsidRPr="00E303DF">
              <w:rPr>
                <w:rFonts w:ascii="Calibri" w:eastAsia="Calibri" w:hAnsi="Calibri"/>
                <w:sz w:val="16"/>
                <w:szCs w:val="16"/>
                <w:lang w:val="en-GB"/>
              </w:rPr>
              <w:t>(</w:t>
            </w:r>
            <w:proofErr w:type="spellStart"/>
            <w:r w:rsidRPr="00E303DF">
              <w:rPr>
                <w:rFonts w:ascii="Calibri" w:eastAsia="Calibri" w:hAnsi="Calibri"/>
                <w:sz w:val="16"/>
                <w:szCs w:val="16"/>
                <w:lang w:val="en-GB"/>
              </w:rPr>
              <w:t>Dowsey</w:t>
            </w:r>
            <w:proofErr w:type="spellEnd"/>
            <w:r w:rsidRPr="00E303DF">
              <w:rPr>
                <w:rFonts w:ascii="Calibri" w:eastAsia="Calibri" w:hAnsi="Calibri"/>
                <w:sz w:val="16"/>
                <w:szCs w:val="16"/>
                <w:lang w:val="en-GB"/>
              </w:rPr>
              <w:t>, 2016</w:t>
            </w:r>
            <w:r w:rsidR="002620A4">
              <w:rPr>
                <w:rFonts w:ascii="Calibri" w:eastAsia="Calibri" w:hAnsi="Calibri"/>
                <w:sz w:val="16"/>
                <w:szCs w:val="16"/>
                <w:lang w:val="en-GB"/>
              </w:rPr>
              <w:t xml:space="preserve"> </w:t>
            </w:r>
            <w:r w:rsidRPr="00E303DF">
              <w:rPr>
                <w:rFonts w:ascii="Calibri" w:eastAsia="Calibri" w:hAnsi="Calibri"/>
                <w:noProof/>
                <w:sz w:val="16"/>
                <w:szCs w:val="16"/>
                <w:lang w:val="en-GB"/>
              </w:rPr>
              <w:t>(66)</w:t>
            </w:r>
            <w:r w:rsidRPr="00E303DF">
              <w:rPr>
                <w:rFonts w:ascii="Calibri" w:eastAsia="Calibri" w:hAnsi="Calibri"/>
                <w:sz w:val="16"/>
                <w:szCs w:val="16"/>
                <w:lang w:val="en-GB"/>
              </w:rPr>
              <w:t xml:space="preserve"> &amp; 2017</w:t>
            </w:r>
            <w:r w:rsidR="002620A4">
              <w:rPr>
                <w:rFonts w:ascii="Calibri" w:eastAsia="Calibri" w:hAnsi="Calibri"/>
                <w:sz w:val="16"/>
                <w:szCs w:val="16"/>
                <w:lang w:val="en-GB"/>
              </w:rPr>
              <w:t xml:space="preserve"> </w:t>
            </w:r>
            <w:r w:rsidRPr="00E303DF">
              <w:rPr>
                <w:rFonts w:ascii="Calibri" w:eastAsia="Calibri" w:hAnsi="Calibri"/>
                <w:noProof/>
                <w:sz w:val="16"/>
                <w:szCs w:val="16"/>
                <w:lang w:val="en-GB"/>
              </w:rPr>
              <w:t>(24)</w:t>
            </w:r>
            <w:r w:rsidRPr="00E303DF">
              <w:rPr>
                <w:rFonts w:ascii="Calibri" w:eastAsia="Calibri" w:hAnsi="Calibri"/>
                <w:sz w:val="16"/>
                <w:szCs w:val="16"/>
                <w:lang w:val="en-GB"/>
              </w:rPr>
              <w:t>; Riddle, 2017</w:t>
            </w:r>
            <w:r w:rsidR="002620A4">
              <w:rPr>
                <w:rFonts w:ascii="Calibri" w:eastAsia="Calibri" w:hAnsi="Calibri"/>
                <w:sz w:val="16"/>
                <w:szCs w:val="16"/>
                <w:lang w:val="en-GB"/>
              </w:rPr>
              <w:t xml:space="preserve"> </w:t>
            </w:r>
            <w:r w:rsidRPr="00E303DF">
              <w:rPr>
                <w:rFonts w:ascii="Calibri" w:eastAsia="Calibri" w:hAnsi="Calibri"/>
                <w:noProof/>
                <w:sz w:val="16"/>
                <w:szCs w:val="16"/>
                <w:lang w:val="en-GB"/>
              </w:rPr>
              <w:t>(22)</w:t>
            </w:r>
            <w:r w:rsidRPr="00E303DF">
              <w:rPr>
                <w:rFonts w:ascii="Calibri" w:eastAsia="Calibri" w:hAnsi="Calibri"/>
                <w:sz w:val="16"/>
                <w:szCs w:val="16"/>
                <w:lang w:val="en-GB"/>
              </w:rPr>
              <w:t>; Weber, 2018</w:t>
            </w:r>
            <w:r w:rsidR="002620A4">
              <w:rPr>
                <w:rFonts w:ascii="Calibri" w:eastAsia="Calibri" w:hAnsi="Calibri"/>
                <w:sz w:val="16"/>
                <w:szCs w:val="16"/>
                <w:lang w:val="en-GB"/>
              </w:rPr>
              <w:t xml:space="preserve"> </w:t>
            </w:r>
            <w:r w:rsidRPr="00E303DF">
              <w:rPr>
                <w:rFonts w:ascii="Calibri" w:eastAsia="Calibri" w:hAnsi="Calibri"/>
                <w:noProof/>
                <w:sz w:val="16"/>
                <w:szCs w:val="16"/>
                <w:lang w:val="en-GB"/>
              </w:rPr>
              <w:t>(26)</w:t>
            </w:r>
            <w:r w:rsidRPr="00E303DF">
              <w:rPr>
                <w:rFonts w:ascii="Calibri" w:eastAsia="Calibri" w:hAnsi="Calibri"/>
                <w:sz w:val="16"/>
                <w:szCs w:val="16"/>
                <w:lang w:val="en-GB"/>
              </w:rPr>
              <w:t>)</w:t>
            </w:r>
          </w:p>
        </w:tc>
        <w:tc>
          <w:tcPr>
            <w:tcW w:w="8587" w:type="dxa"/>
            <w:shd w:val="clear" w:color="auto" w:fill="auto"/>
          </w:tcPr>
          <w:p w14:paraId="536248F0" w14:textId="205F2FFB" w:rsidR="0044539B" w:rsidRPr="00E303DF" w:rsidRDefault="0044539B" w:rsidP="00C11045">
            <w:pPr>
              <w:spacing w:line="240" w:lineRule="auto"/>
              <w:rPr>
                <w:rFonts w:ascii="Calibri" w:eastAsia="Calibri" w:hAnsi="Calibri"/>
                <w:sz w:val="22"/>
                <w:szCs w:val="22"/>
                <w:lang w:val="nl-NL"/>
              </w:rPr>
            </w:pPr>
            <w:r w:rsidRPr="00E303DF">
              <w:rPr>
                <w:rFonts w:ascii="Calibri" w:eastAsia="Calibri" w:hAnsi="Calibri"/>
                <w:sz w:val="22"/>
                <w:szCs w:val="22"/>
              </w:rPr>
              <w:lastRenderedPageBreak/>
              <w:t xml:space="preserve">References made to Pham et al. </w:t>
            </w:r>
            <w:r w:rsidR="00F8573E">
              <w:rPr>
                <w:rFonts w:ascii="Calibri" w:eastAsia="Calibri" w:hAnsi="Calibri"/>
                <w:sz w:val="22"/>
                <w:szCs w:val="22"/>
              </w:rPr>
              <w:fldChar w:fldCharType="begin" w:fldLock="1"/>
            </w:r>
            <w:r w:rsidR="005A7914">
              <w:rPr>
                <w:rFonts w:ascii="Calibri" w:eastAsia="Calibri" w:hAnsi="Calibri"/>
                <w:sz w:val="22"/>
                <w:szCs w:val="22"/>
              </w:rPr>
              <w:instrText>ADDIN CSL_CITATION {"citationItems":[{"id":"ITEM-1","itemData":{"ISSN":"0315162X","PMID":"12858473","abstract":"Improvement in analysis and reporting results of osteoarthritis (OA) clinical trials has been recently obtained because of harmonization and standardization of the selection of outcome variables (OMERACT 3 and OARSI). Moreover, OARSI has recently proposed the OARSI responder criteria. This composite index permits presentation of results of symptom modifying clinical trials in OA based on individual patient responses (responder yes/no). The 2 organizations (OMERACT and OARSI) established a task force aimed at evaluating: (1) the variability of observed placebo and active treatment effects using the OARSI responder criteria; and (2) the possibility of proposing a simplified set of criteria. The conclusions of the task force were presented and discussed during the OMERACT 6 conference, where a simplified set of responder criteria (OMERACT-OARSI set of criteria) was proposed.","author":[{"dropping-particle":"","family":"Pham","given":"T","non-dropping-particle":"","parse-names":false,"suffix":""},{"dropping-particle":"","family":"Heijde","given":"D","non-dropping-particle":"Van Der","parse-names":false,"suffix":""},{"dropping-particle":"","family":"Lassere","given":"M","non-dropping-particle":"","parse-names":false,"suffix":""},{"dropping-particle":"","family":"Altman","given":"RD","non-dropping-particle":"","parse-names":false,"suffix":""},{"dropping-particle":"","family":"Anderson","given":"JJ","non-dropping-particle":"","parse-names":false,"suffix":""},{"dropping-particle":"","family":"Bellamy","given":"N","non-dropping-particle":"","parse-names":false,"suffix":""},{"dropping-particle":"","family":"Hochberg","given":"M","non-dropping-particle":"","parse-names":false,"suffix":""},{"dropping-particle":"","family":"Simon","given":"L","non-dropping-particle":"","parse-names":false,"suffix":""},{"dropping-particle":"","family":"Strand","given":"V","non-dropping-particle":"","parse-names":false,"suffix":""},{"dropping-particle":"","family":"Woodworth","given":"T","non-dropping-particle":"","parse-names":false,"suffix":""},{"dropping-particle":"","family":"Dougados","given":"M","non-dropping-particle":"","parse-names":false,"suffix":""}],"container-title":"Journal of Rheumatology","id":"ITEM-1","issue":"7","issued":{"date-parts":[["2003"]]},"page":"1648-1654","title":"Outcome variables for osteoarthritis clinical trials: The OMERACT-OARSI set of responder criteria","type":"article-journal","volume":"30"},"uris":["http://www.mendeley.com/documents/?uuid=0e61d203-1d4e-448e-8340-44621ebdda82"]}],"mendeley":{"formattedCitation":"(13)","plainTextFormattedCitation":"(13)","previouslyFormattedCitation":"(13)"},"properties":{"noteIndex":0},"schema":"https://github.com/citation-style-language/schema/raw/master/csl-citation.json"}</w:instrText>
            </w:r>
            <w:r w:rsidR="00F8573E">
              <w:rPr>
                <w:rFonts w:ascii="Calibri" w:eastAsia="Calibri" w:hAnsi="Calibri"/>
                <w:sz w:val="22"/>
                <w:szCs w:val="22"/>
              </w:rPr>
              <w:fldChar w:fldCharType="separate"/>
            </w:r>
            <w:r w:rsidR="00117A4F" w:rsidRPr="00117A4F">
              <w:rPr>
                <w:rFonts w:ascii="Calibri" w:eastAsia="Calibri" w:hAnsi="Calibri"/>
                <w:noProof/>
                <w:sz w:val="22"/>
                <w:szCs w:val="22"/>
              </w:rPr>
              <w:t>(13)</w:t>
            </w:r>
            <w:r w:rsidR="00F8573E">
              <w:rPr>
                <w:rFonts w:ascii="Calibri" w:eastAsia="Calibri" w:hAnsi="Calibri"/>
                <w:sz w:val="22"/>
                <w:szCs w:val="22"/>
              </w:rPr>
              <w:fldChar w:fldCharType="end"/>
            </w:r>
            <w:r w:rsidRPr="00E303DF">
              <w:rPr>
                <w:rFonts w:ascii="Calibri" w:eastAsia="Calibri" w:hAnsi="Calibri"/>
                <w:sz w:val="22"/>
                <w:szCs w:val="22"/>
                <w:lang w:val="nl-NL"/>
              </w:rPr>
              <w:t>.</w:t>
            </w:r>
          </w:p>
        </w:tc>
      </w:tr>
      <w:tr w:rsidR="0044539B" w:rsidRPr="00E303DF" w14:paraId="6E3E9445" w14:textId="77777777" w:rsidTr="00C11045">
        <w:trPr>
          <w:trHeight w:val="256"/>
        </w:trPr>
        <w:tc>
          <w:tcPr>
            <w:tcW w:w="5046" w:type="dxa"/>
            <w:shd w:val="clear" w:color="auto" w:fill="auto"/>
          </w:tcPr>
          <w:p w14:paraId="7C0DDD19" w14:textId="77777777"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WOMAC pain, stiffness &amp; functioning &gt;40.4</w:t>
            </w:r>
          </w:p>
          <w:p w14:paraId="3AE7F9C0" w14:textId="4E86674C" w:rsidR="0044539B" w:rsidRPr="00E303DF" w:rsidRDefault="0044539B" w:rsidP="00C11045">
            <w:pPr>
              <w:spacing w:line="240" w:lineRule="auto"/>
              <w:rPr>
                <w:rFonts w:ascii="Calibri" w:eastAsia="Calibri" w:hAnsi="Calibri"/>
                <w:sz w:val="16"/>
                <w:szCs w:val="16"/>
              </w:rPr>
            </w:pPr>
            <w:r w:rsidRPr="00E303DF">
              <w:rPr>
                <w:rFonts w:ascii="Calibri" w:eastAsia="Calibri" w:hAnsi="Calibri"/>
                <w:sz w:val="16"/>
                <w:szCs w:val="16"/>
              </w:rPr>
              <w:t>(Lungu, 2014</w:t>
            </w:r>
            <w:r w:rsidR="002620A4">
              <w:rPr>
                <w:rFonts w:ascii="Calibri" w:eastAsia="Calibri" w:hAnsi="Calibri"/>
                <w:sz w:val="16"/>
                <w:szCs w:val="16"/>
              </w:rPr>
              <w:t xml:space="preserve"> </w:t>
            </w:r>
            <w:r w:rsidRPr="00E303DF">
              <w:rPr>
                <w:rFonts w:ascii="Calibri" w:eastAsia="Calibri" w:hAnsi="Calibri"/>
                <w:noProof/>
                <w:sz w:val="16"/>
                <w:szCs w:val="16"/>
              </w:rPr>
              <w:t>(67)</w:t>
            </w:r>
            <w:r w:rsidRPr="00E303DF">
              <w:rPr>
                <w:rFonts w:ascii="Calibri" w:eastAsia="Calibri" w:hAnsi="Calibri"/>
                <w:sz w:val="16"/>
                <w:szCs w:val="16"/>
              </w:rPr>
              <w:t>)</w:t>
            </w:r>
          </w:p>
        </w:tc>
        <w:tc>
          <w:tcPr>
            <w:tcW w:w="8587" w:type="dxa"/>
            <w:shd w:val="clear" w:color="auto" w:fill="auto"/>
          </w:tcPr>
          <w:p w14:paraId="7065035A" w14:textId="77777777" w:rsidR="0044539B" w:rsidRPr="00E303DF" w:rsidRDefault="0044539B" w:rsidP="00C11045">
            <w:pPr>
              <w:spacing w:line="240" w:lineRule="auto"/>
              <w:rPr>
                <w:rFonts w:ascii="Calibri" w:eastAsia="Calibri" w:hAnsi="Calibri"/>
                <w:sz w:val="22"/>
                <w:szCs w:val="22"/>
                <w:lang w:val="nl-NL"/>
              </w:rPr>
            </w:pPr>
            <w:r w:rsidRPr="00E303DF">
              <w:rPr>
                <w:rFonts w:ascii="Calibri" w:eastAsia="Calibri" w:hAnsi="Calibri"/>
                <w:sz w:val="22"/>
                <w:szCs w:val="22"/>
              </w:rPr>
              <w:t xml:space="preserve">“As there is no universal agreement on what is considered poor outcome following TKA surgery, it was defined as the last quintile of the six-month postoperative WOMAC score (i.e. WOMAC score &gt; 40.4); a satisfactory outcome was defined….. </w:t>
            </w:r>
            <w:proofErr w:type="spellStart"/>
            <w:r w:rsidRPr="00E303DF">
              <w:rPr>
                <w:rFonts w:ascii="Calibri" w:eastAsia="Calibri" w:hAnsi="Calibri"/>
                <w:sz w:val="22"/>
                <w:szCs w:val="22"/>
                <w:lang w:val="nl-NL"/>
              </w:rPr>
              <w:t>distribution</w:t>
            </w:r>
            <w:proofErr w:type="spellEnd"/>
            <w:r w:rsidRPr="00E303DF">
              <w:rPr>
                <w:rFonts w:ascii="Calibri" w:eastAsia="Calibri" w:hAnsi="Calibri"/>
                <w:sz w:val="22"/>
                <w:szCs w:val="22"/>
                <w:lang w:val="nl-NL"/>
              </w:rPr>
              <w:t xml:space="preserve"> (i.e. score ≤ 40.4).”</w:t>
            </w:r>
          </w:p>
        </w:tc>
      </w:tr>
      <w:tr w:rsidR="0044539B" w:rsidRPr="00E303DF" w14:paraId="5E1A1613" w14:textId="77777777" w:rsidTr="00C11045">
        <w:trPr>
          <w:trHeight w:val="256"/>
        </w:trPr>
        <w:tc>
          <w:tcPr>
            <w:tcW w:w="5046" w:type="dxa"/>
            <w:shd w:val="clear" w:color="auto" w:fill="auto"/>
          </w:tcPr>
          <w:p w14:paraId="71CB0F94" w14:textId="77777777" w:rsidR="0044539B" w:rsidRPr="00E303DF" w:rsidRDefault="0044539B" w:rsidP="00C11045">
            <w:pPr>
              <w:spacing w:line="240" w:lineRule="auto"/>
              <w:rPr>
                <w:rFonts w:ascii="Calibri" w:eastAsia="Calibri" w:hAnsi="Calibri"/>
                <w:sz w:val="22"/>
                <w:szCs w:val="22"/>
              </w:rPr>
            </w:pPr>
            <w:r w:rsidRPr="00E303DF">
              <w:rPr>
                <w:rFonts w:ascii="Calibri" w:eastAsia="Calibri" w:hAnsi="Calibri"/>
                <w:sz w:val="22"/>
                <w:szCs w:val="22"/>
              </w:rPr>
              <w:t>WOMAC pain, stiffness &amp; functioning MCID&lt;7.5</w:t>
            </w:r>
          </w:p>
          <w:p w14:paraId="16218BFE" w14:textId="1535A90D" w:rsidR="0044539B" w:rsidRPr="00E303DF" w:rsidRDefault="0044539B" w:rsidP="00C11045">
            <w:pPr>
              <w:spacing w:line="240" w:lineRule="auto"/>
              <w:rPr>
                <w:rFonts w:ascii="Calibri" w:eastAsia="Calibri" w:hAnsi="Calibri"/>
                <w:sz w:val="16"/>
                <w:szCs w:val="16"/>
                <w:lang w:val="nl-NL"/>
              </w:rPr>
            </w:pPr>
            <w:r w:rsidRPr="00E303DF">
              <w:rPr>
                <w:rFonts w:ascii="Calibri" w:eastAsia="Calibri" w:hAnsi="Calibri"/>
                <w:sz w:val="16"/>
                <w:szCs w:val="16"/>
                <w:lang w:val="nl-NL"/>
              </w:rPr>
              <w:t>(</w:t>
            </w:r>
            <w:proofErr w:type="spellStart"/>
            <w:r w:rsidRPr="00E303DF">
              <w:rPr>
                <w:rFonts w:ascii="Calibri" w:eastAsia="Calibri" w:hAnsi="Calibri"/>
                <w:sz w:val="16"/>
                <w:szCs w:val="16"/>
                <w:lang w:val="nl-NL"/>
              </w:rPr>
              <w:t>Alzahrani</w:t>
            </w:r>
            <w:proofErr w:type="spellEnd"/>
            <w:r w:rsidRPr="00E303DF">
              <w:rPr>
                <w:rFonts w:ascii="Calibri" w:eastAsia="Calibri" w:hAnsi="Calibri"/>
                <w:sz w:val="16"/>
                <w:szCs w:val="16"/>
                <w:lang w:val="nl-NL"/>
              </w:rPr>
              <w:t>, 2011</w:t>
            </w:r>
            <w:r w:rsidR="002620A4">
              <w:rPr>
                <w:rFonts w:ascii="Calibri" w:eastAsia="Calibri" w:hAnsi="Calibri"/>
                <w:sz w:val="16"/>
                <w:szCs w:val="16"/>
                <w:lang w:val="nl-NL"/>
              </w:rPr>
              <w:t xml:space="preserve"> </w:t>
            </w:r>
            <w:r w:rsidRPr="00E303DF">
              <w:rPr>
                <w:rFonts w:ascii="Calibri" w:eastAsia="Calibri" w:hAnsi="Calibri"/>
                <w:noProof/>
                <w:sz w:val="16"/>
                <w:szCs w:val="16"/>
                <w:lang w:val="nl-NL"/>
              </w:rPr>
              <w:t>(62)</w:t>
            </w:r>
            <w:r w:rsidRPr="00E303DF">
              <w:rPr>
                <w:rFonts w:ascii="Calibri" w:eastAsia="Calibri" w:hAnsi="Calibri"/>
                <w:sz w:val="16"/>
                <w:szCs w:val="16"/>
                <w:lang w:val="nl-NL"/>
              </w:rPr>
              <w:t>)</w:t>
            </w:r>
          </w:p>
        </w:tc>
        <w:tc>
          <w:tcPr>
            <w:tcW w:w="8587" w:type="dxa"/>
            <w:shd w:val="clear" w:color="auto" w:fill="auto"/>
          </w:tcPr>
          <w:p w14:paraId="2004400E" w14:textId="50FD2EC9" w:rsidR="0044539B" w:rsidRPr="00E303DF" w:rsidRDefault="0044539B" w:rsidP="00C11045">
            <w:pPr>
              <w:spacing w:line="240" w:lineRule="auto"/>
              <w:rPr>
                <w:rFonts w:ascii="Calibri" w:eastAsia="Calibri" w:hAnsi="Calibri"/>
                <w:color w:val="FF0000"/>
                <w:sz w:val="22"/>
                <w:szCs w:val="22"/>
                <w:lang w:val="nl-NL"/>
              </w:rPr>
            </w:pPr>
            <w:r w:rsidRPr="00E303DF">
              <w:rPr>
                <w:rFonts w:ascii="Calibri" w:eastAsia="Calibri" w:hAnsi="Calibri"/>
                <w:sz w:val="22"/>
                <w:szCs w:val="22"/>
              </w:rPr>
              <w:t>According to M</w:t>
            </w:r>
            <w:r w:rsidR="00F8573E">
              <w:rPr>
                <w:rFonts w:ascii="Calibri" w:eastAsia="Calibri" w:hAnsi="Calibri"/>
                <w:sz w:val="22"/>
                <w:szCs w:val="22"/>
              </w:rPr>
              <w:t>a</w:t>
            </w:r>
            <w:r w:rsidRPr="00E303DF">
              <w:rPr>
                <w:rFonts w:ascii="Calibri" w:eastAsia="Calibri" w:hAnsi="Calibri"/>
                <w:sz w:val="22"/>
                <w:szCs w:val="22"/>
              </w:rPr>
              <w:t>h</w:t>
            </w:r>
            <w:r w:rsidR="00F8573E">
              <w:rPr>
                <w:rFonts w:ascii="Calibri" w:eastAsia="Calibri" w:hAnsi="Calibri"/>
                <w:sz w:val="22"/>
                <w:szCs w:val="22"/>
              </w:rPr>
              <w:t>o</w:t>
            </w:r>
            <w:r w:rsidRPr="00E303DF">
              <w:rPr>
                <w:rFonts w:ascii="Calibri" w:eastAsia="Calibri" w:hAnsi="Calibri"/>
                <w:sz w:val="22"/>
                <w:szCs w:val="22"/>
              </w:rPr>
              <w:t>med et al.</w:t>
            </w:r>
            <w:r w:rsidR="00F8573E">
              <w:rPr>
                <w:rFonts w:ascii="Calibri" w:eastAsia="Calibri" w:hAnsi="Calibri"/>
                <w:sz w:val="22"/>
                <w:szCs w:val="22"/>
              </w:rPr>
              <w:t xml:space="preserve"> </w:t>
            </w:r>
            <w:r w:rsidR="00F8573E">
              <w:rPr>
                <w:rFonts w:ascii="Calibri" w:eastAsia="Calibri" w:hAnsi="Calibri"/>
                <w:sz w:val="22"/>
                <w:szCs w:val="22"/>
              </w:rPr>
              <w:fldChar w:fldCharType="begin" w:fldLock="1"/>
            </w:r>
            <w:r w:rsidR="005A7914">
              <w:rPr>
                <w:rFonts w:ascii="Calibri" w:eastAsia="Calibri" w:hAnsi="Calibri"/>
                <w:sz w:val="22"/>
                <w:szCs w:val="22"/>
              </w:rPr>
              <w:instrText>ADDIN CSL_CITATION {"citationItems":[{"id":"ITEM-1","itemData":{"ISSN":"00219355","abstract":"Background: Home-based rehabilitation is increasingly utilized to reduce health-care costs; however, with a shorter hospital stay, the possibility arises for an increase in adverse clinical outcomes. We evaluated the effectiveness and cost of care of home-based compared with inpatient rehabilitation following primary total hip or knee joint replacement. Methods: We randomized 234 patients, using block randomization techniques, to either home-based or inpatient rehabilitation following total joint replacement. All patients followed standardized care pathways and were evaluated, with use of validated outcome measures (Western Ontario and McMaster Universities Osteoarthritis Index [WOMAC], Short Form-36, and patient satisfaction), prior to surgery and at three and twelve months following surgery. The primary outcome was the WOMAC function score at three months after surgery. Results: The mean length of stay (and standard deviation) in the acute care hospital was 6.3 ± 2.5 days for the group designated for inpatient rehabilitation prior to transfer to that facility compared with 7.0 ± 3.0 days for the home-based rehabilitation group prior to discharge home (p = 0.06). The mean length of stay in inpatient rehabilitation was 17.7 ± 8.6 days. The mean number of postoperative home-based rehabilitation visits was eight. The prevalence of postoperative complications up to twelve months postoperatively was similar in both groups, which each had a 2% rate of dislocation and a 3% rate of clinically important deep venous thrombosis. The prevalence of infection was 0% in the home-based group and 2% in the inpatient group. None of these differences was clinically important. Both groups showed substantial improvements at three and twelve months, with no significant differences between the groups with respect to WOMAC, Short Form-36, or patient satisfaction scores (p &gt; 0.05). The total episode-of-care costs (in Canadian dollars) for the inpatient rehabilitation and home-based rehabilitation arms were $14,532 and $11,082, respectively (p &lt; 0.01). Conclusions: Despite concerns about early hospital discharge, there was no difference in pain, functional outcomes, or patient satisfaction between the group that received home-based rehabilitation and the group that had inpatient rehabilitation. On the basis of our findings, we recommend the use of a home-based rehabilitation protocol following elective primary total hip or knee replacement as it is the more cost-effective strat…","author":[{"dropping-particle":"","family":"Mahomed","given":"NN","non-dropping-particle":"","parse-names":false,"suffix":""},{"dropping-particle":"","family":"Davis","given":"AM","non-dropping-particle":"","parse-names":false,"suffix":""},{"dropping-particle":"","family":"Hawker","given":"G","non-dropping-particle":"","parse-names":false,"suffix":""},{"dropping-particle":"","family":"Badley","given":"E","non-dropping-particle":"","parse-names":false,"suffix":""},{"dropping-particle":"","family":"Davey","given":"JR","non-dropping-particle":"","parse-names":false,"suffix":""},{"dropping-particle":"","family":"Syed","given":"KA","non-dropping-particle":"","parse-names":false,"suffix":""},{"dropping-particle":"","family":"Coyte","given":"PC","non-dropping-particle":"","parse-names":false,"suffix":""},{"dropping-particle":"","family":"Gandhi","given":"R","non-dropping-particle":"","parse-names":false,"suffix":""},{"dropping-particle":"","family":"Wright","given":"JG","non-dropping-particle":"","parse-names":false,"suffix":""}],"container-title":"J Bone Joint Surg Am","id":"ITEM-1","issue":"8","issued":{"date-parts":[["2008"]]},"page":"1673-1680","title":"Inpatient compared with home-based rehabilitation following primary unilateral total hip or knee replacement: A randomized controlled trial","type":"article-journal","volume":"90"},"uris":["http://www.mendeley.com/documents/?uuid=308591c2-7f69-4d41-a80a-126a9ca4cb05"]}],"mendeley":{"formattedCitation":"(14)","plainTextFormattedCitation":"(14)","previouslyFormattedCitation":"(14)"},"properties":{"noteIndex":0},"schema":"https://github.com/citation-style-language/schema/raw/master/csl-citation.json"}</w:instrText>
            </w:r>
            <w:r w:rsidR="00F8573E">
              <w:rPr>
                <w:rFonts w:ascii="Calibri" w:eastAsia="Calibri" w:hAnsi="Calibri"/>
                <w:sz w:val="22"/>
                <w:szCs w:val="22"/>
              </w:rPr>
              <w:fldChar w:fldCharType="separate"/>
            </w:r>
            <w:r w:rsidR="00117A4F" w:rsidRPr="00117A4F">
              <w:rPr>
                <w:rFonts w:ascii="Calibri" w:eastAsia="Calibri" w:hAnsi="Calibri"/>
                <w:noProof/>
                <w:sz w:val="22"/>
                <w:szCs w:val="22"/>
              </w:rPr>
              <w:t>(14)</w:t>
            </w:r>
            <w:r w:rsidR="00F8573E">
              <w:rPr>
                <w:rFonts w:ascii="Calibri" w:eastAsia="Calibri" w:hAnsi="Calibri"/>
                <w:sz w:val="22"/>
                <w:szCs w:val="22"/>
              </w:rPr>
              <w:fldChar w:fldCharType="end"/>
            </w:r>
            <w:r w:rsidRPr="00E303DF">
              <w:rPr>
                <w:rFonts w:ascii="Calibri" w:eastAsia="Calibri" w:hAnsi="Calibri"/>
                <w:sz w:val="22"/>
                <w:szCs w:val="22"/>
                <w:lang w:val="nl-NL"/>
              </w:rPr>
              <w:t>.</w:t>
            </w:r>
          </w:p>
        </w:tc>
      </w:tr>
    </w:tbl>
    <w:p w14:paraId="49C81FB1" w14:textId="77777777" w:rsidR="00DB3EA8" w:rsidRDefault="00DB3EA8" w:rsidP="005A7914">
      <w:pPr>
        <w:widowControl w:val="0"/>
        <w:autoSpaceDE w:val="0"/>
        <w:autoSpaceDN w:val="0"/>
        <w:adjustRightInd w:val="0"/>
        <w:ind w:left="640" w:hanging="640"/>
        <w:rPr>
          <w:sz w:val="16"/>
          <w:szCs w:val="16"/>
        </w:rPr>
      </w:pPr>
    </w:p>
    <w:p w14:paraId="2B111B27" w14:textId="6765DC7A" w:rsidR="005A7914" w:rsidRPr="005A7914" w:rsidRDefault="00117A4F" w:rsidP="005A7914">
      <w:pPr>
        <w:widowControl w:val="0"/>
        <w:autoSpaceDE w:val="0"/>
        <w:autoSpaceDN w:val="0"/>
        <w:adjustRightInd w:val="0"/>
        <w:ind w:left="640" w:hanging="640"/>
        <w:rPr>
          <w:noProof/>
          <w:sz w:val="16"/>
        </w:rPr>
      </w:pPr>
      <w:r w:rsidRPr="00117A4F">
        <w:rPr>
          <w:sz w:val="16"/>
          <w:szCs w:val="16"/>
        </w:rPr>
        <w:fldChar w:fldCharType="begin" w:fldLock="1"/>
      </w:r>
      <w:r w:rsidRPr="00117A4F">
        <w:rPr>
          <w:sz w:val="16"/>
          <w:szCs w:val="16"/>
        </w:rPr>
        <w:instrText xml:space="preserve">ADDIN Mendeley Bibliography CSL_BIBLIOGRAPHY </w:instrText>
      </w:r>
      <w:r w:rsidRPr="00117A4F">
        <w:rPr>
          <w:sz w:val="16"/>
          <w:szCs w:val="16"/>
        </w:rPr>
        <w:fldChar w:fldCharType="separate"/>
      </w:r>
      <w:r w:rsidR="005A7914" w:rsidRPr="005A7914">
        <w:rPr>
          <w:noProof/>
          <w:sz w:val="16"/>
        </w:rPr>
        <w:t xml:space="preserve">1. </w:t>
      </w:r>
      <w:r w:rsidR="005A7914" w:rsidRPr="005A7914">
        <w:rPr>
          <w:noProof/>
          <w:sz w:val="16"/>
        </w:rPr>
        <w:tab/>
        <w:t xml:space="preserve">Dolan P, Sutton M. Mapping visual analogue scale health state valuations onto standard gamble and time trade-off values. Soc Sci Med. 1997;44(10):1519–30. </w:t>
      </w:r>
    </w:p>
    <w:p w14:paraId="4A4B80B5" w14:textId="77777777" w:rsidR="005A7914" w:rsidRPr="005A7914" w:rsidRDefault="005A7914" w:rsidP="005A7914">
      <w:pPr>
        <w:widowControl w:val="0"/>
        <w:autoSpaceDE w:val="0"/>
        <w:autoSpaceDN w:val="0"/>
        <w:adjustRightInd w:val="0"/>
        <w:ind w:left="640" w:hanging="640"/>
        <w:rPr>
          <w:noProof/>
          <w:sz w:val="16"/>
        </w:rPr>
      </w:pPr>
      <w:r w:rsidRPr="005A7914">
        <w:rPr>
          <w:noProof/>
          <w:sz w:val="16"/>
        </w:rPr>
        <w:t xml:space="preserve">2. </w:t>
      </w:r>
      <w:r w:rsidRPr="005A7914">
        <w:rPr>
          <w:noProof/>
          <w:sz w:val="16"/>
        </w:rPr>
        <w:tab/>
        <w:t xml:space="preserve">Escobar A, Quintana J, Bilbao A, Aróstegui I, Lafuente I, Vidaurreta I. Responsiveness and clinically important differences for the WOMAC and SF-36 after total knee replacement. Osteoarthr Cartil. 2007;15(3):273–80. </w:t>
      </w:r>
    </w:p>
    <w:p w14:paraId="4D957BEA" w14:textId="77777777" w:rsidR="005A7914" w:rsidRPr="005A7914" w:rsidRDefault="005A7914" w:rsidP="005A7914">
      <w:pPr>
        <w:widowControl w:val="0"/>
        <w:autoSpaceDE w:val="0"/>
        <w:autoSpaceDN w:val="0"/>
        <w:adjustRightInd w:val="0"/>
        <w:ind w:left="640" w:hanging="640"/>
        <w:rPr>
          <w:noProof/>
          <w:sz w:val="16"/>
        </w:rPr>
      </w:pPr>
      <w:r w:rsidRPr="005A7914">
        <w:rPr>
          <w:noProof/>
          <w:sz w:val="16"/>
        </w:rPr>
        <w:t xml:space="preserve">3. </w:t>
      </w:r>
      <w:r w:rsidRPr="005A7914">
        <w:rPr>
          <w:noProof/>
          <w:sz w:val="16"/>
        </w:rPr>
        <w:tab/>
        <w:t xml:space="preserve">Insall JN, Dorr LD, Scott RD, Scott WN. Rationale of the Knee Society clinical rating system. Clin Orthop Relat Res. 1989;248(November (248)):13–4. </w:t>
      </w:r>
    </w:p>
    <w:p w14:paraId="7ABFA9E1" w14:textId="77777777" w:rsidR="005A7914" w:rsidRPr="005A7914" w:rsidRDefault="005A7914" w:rsidP="005A7914">
      <w:pPr>
        <w:widowControl w:val="0"/>
        <w:autoSpaceDE w:val="0"/>
        <w:autoSpaceDN w:val="0"/>
        <w:adjustRightInd w:val="0"/>
        <w:ind w:left="640" w:hanging="640"/>
        <w:rPr>
          <w:noProof/>
          <w:sz w:val="16"/>
        </w:rPr>
      </w:pPr>
      <w:r w:rsidRPr="005A7914">
        <w:rPr>
          <w:noProof/>
          <w:sz w:val="16"/>
        </w:rPr>
        <w:t xml:space="preserve">4. </w:t>
      </w:r>
      <w:r w:rsidRPr="005A7914">
        <w:rPr>
          <w:noProof/>
          <w:sz w:val="16"/>
        </w:rPr>
        <w:tab/>
        <w:t xml:space="preserve">Vuorenmaa M, Ylinen J, Kiviranta I, Intke A, Kautiainen H, Mälkiä E, et al. Changes in pain and physical function during waiting time and 3 months after knee joint arthroplasty. J Rehabil Med. 2008;40(7):570–5. </w:t>
      </w:r>
    </w:p>
    <w:p w14:paraId="25E50FD4" w14:textId="77777777" w:rsidR="005A7914" w:rsidRPr="005A7914" w:rsidRDefault="005A7914" w:rsidP="005A7914">
      <w:pPr>
        <w:widowControl w:val="0"/>
        <w:autoSpaceDE w:val="0"/>
        <w:autoSpaceDN w:val="0"/>
        <w:adjustRightInd w:val="0"/>
        <w:ind w:left="640" w:hanging="640"/>
        <w:rPr>
          <w:noProof/>
          <w:sz w:val="16"/>
        </w:rPr>
      </w:pPr>
      <w:r w:rsidRPr="005A7914">
        <w:rPr>
          <w:noProof/>
          <w:sz w:val="16"/>
        </w:rPr>
        <w:t xml:space="preserve">5. </w:t>
      </w:r>
      <w:r w:rsidRPr="005A7914">
        <w:rPr>
          <w:noProof/>
          <w:sz w:val="16"/>
        </w:rPr>
        <w:tab/>
        <w:t xml:space="preserve">Dihle A, Helseth S, Paul S, Miaskowski C. The exploration of the establishment of cutpoints to categorize the severity of acute postoperative pain. Clin J Pain. 2006;22(7):617–24. </w:t>
      </w:r>
    </w:p>
    <w:p w14:paraId="5F9D11DA" w14:textId="77777777" w:rsidR="005A7914" w:rsidRPr="005A7914" w:rsidRDefault="005A7914" w:rsidP="005A7914">
      <w:pPr>
        <w:widowControl w:val="0"/>
        <w:autoSpaceDE w:val="0"/>
        <w:autoSpaceDN w:val="0"/>
        <w:adjustRightInd w:val="0"/>
        <w:ind w:left="640" w:hanging="640"/>
        <w:rPr>
          <w:noProof/>
          <w:sz w:val="16"/>
        </w:rPr>
      </w:pPr>
      <w:r w:rsidRPr="005A7914">
        <w:rPr>
          <w:noProof/>
          <w:sz w:val="16"/>
        </w:rPr>
        <w:t xml:space="preserve">6. </w:t>
      </w:r>
      <w:r w:rsidRPr="005A7914">
        <w:rPr>
          <w:noProof/>
          <w:sz w:val="16"/>
        </w:rPr>
        <w:tab/>
        <w:t xml:space="preserve">Bodian C, Freedman G, Hossain S, Eisenkraft J, Beilin Y. The visual analog scale for pain. Clinical significance in postoperative patients. Anesthesiology. 2001;95(6):1356–61. </w:t>
      </w:r>
    </w:p>
    <w:p w14:paraId="27C2D03B" w14:textId="77777777" w:rsidR="005A7914" w:rsidRPr="005A7914" w:rsidRDefault="005A7914" w:rsidP="005A7914">
      <w:pPr>
        <w:widowControl w:val="0"/>
        <w:autoSpaceDE w:val="0"/>
        <w:autoSpaceDN w:val="0"/>
        <w:adjustRightInd w:val="0"/>
        <w:ind w:left="640" w:hanging="640"/>
        <w:rPr>
          <w:noProof/>
          <w:sz w:val="16"/>
        </w:rPr>
      </w:pPr>
      <w:r w:rsidRPr="005A7914">
        <w:rPr>
          <w:noProof/>
          <w:sz w:val="16"/>
        </w:rPr>
        <w:t xml:space="preserve">7. </w:t>
      </w:r>
      <w:r w:rsidRPr="005A7914">
        <w:rPr>
          <w:noProof/>
          <w:sz w:val="16"/>
        </w:rPr>
        <w:tab/>
        <w:t xml:space="preserve">Asif S, Choon D. Midterm results of cemented Press Fit Condylar Sigma total knee arthroplasty system. J Orthop Surg (Hong Kong). 2005;13(3):280–4. </w:t>
      </w:r>
    </w:p>
    <w:p w14:paraId="77BB40D2" w14:textId="77777777" w:rsidR="005A7914" w:rsidRPr="005A7914" w:rsidRDefault="005A7914" w:rsidP="005A7914">
      <w:pPr>
        <w:widowControl w:val="0"/>
        <w:autoSpaceDE w:val="0"/>
        <w:autoSpaceDN w:val="0"/>
        <w:adjustRightInd w:val="0"/>
        <w:ind w:left="640" w:hanging="640"/>
        <w:rPr>
          <w:noProof/>
          <w:sz w:val="16"/>
        </w:rPr>
      </w:pPr>
      <w:r w:rsidRPr="005A7914">
        <w:rPr>
          <w:noProof/>
          <w:sz w:val="16"/>
        </w:rPr>
        <w:t xml:space="preserve">8. </w:t>
      </w:r>
      <w:r w:rsidRPr="005A7914">
        <w:rPr>
          <w:noProof/>
          <w:sz w:val="16"/>
        </w:rPr>
        <w:tab/>
        <w:t xml:space="preserve">Zigmond A, Snaith R. The Hospital Anxiety and Depression Scale. Acta psychiatr scand. 1983;67:361–70. </w:t>
      </w:r>
    </w:p>
    <w:p w14:paraId="65B2ACE0" w14:textId="77777777" w:rsidR="005A7914" w:rsidRPr="005A7914" w:rsidRDefault="005A7914" w:rsidP="005A7914">
      <w:pPr>
        <w:widowControl w:val="0"/>
        <w:autoSpaceDE w:val="0"/>
        <w:autoSpaceDN w:val="0"/>
        <w:adjustRightInd w:val="0"/>
        <w:ind w:left="640" w:hanging="640"/>
        <w:rPr>
          <w:noProof/>
          <w:sz w:val="16"/>
        </w:rPr>
      </w:pPr>
      <w:r w:rsidRPr="005A7914">
        <w:rPr>
          <w:noProof/>
          <w:sz w:val="16"/>
        </w:rPr>
        <w:t xml:space="preserve">9. </w:t>
      </w:r>
      <w:r w:rsidRPr="005A7914">
        <w:rPr>
          <w:noProof/>
          <w:sz w:val="16"/>
        </w:rPr>
        <w:tab/>
        <w:t xml:space="preserve">Pynsent P, Adams D, Disney S. The Oxford hip and knee outcome questionnaires for arthroplasty. J Bone Jt Surg Br. 2005;87-B(2):241–8. </w:t>
      </w:r>
    </w:p>
    <w:p w14:paraId="129EFF7E" w14:textId="77777777" w:rsidR="005A7914" w:rsidRPr="005A7914" w:rsidRDefault="005A7914" w:rsidP="005A7914">
      <w:pPr>
        <w:widowControl w:val="0"/>
        <w:autoSpaceDE w:val="0"/>
        <w:autoSpaceDN w:val="0"/>
        <w:adjustRightInd w:val="0"/>
        <w:ind w:left="640" w:hanging="640"/>
        <w:rPr>
          <w:noProof/>
          <w:sz w:val="16"/>
        </w:rPr>
      </w:pPr>
      <w:r w:rsidRPr="005A7914">
        <w:rPr>
          <w:noProof/>
          <w:sz w:val="16"/>
        </w:rPr>
        <w:t xml:space="preserve">10. </w:t>
      </w:r>
      <w:r w:rsidRPr="005A7914">
        <w:rPr>
          <w:noProof/>
          <w:sz w:val="16"/>
        </w:rPr>
        <w:tab/>
        <w:t xml:space="preserve">Murray D, Fitzpatrick R, Rogers K, Pandit H, Beard D, Carr A, et al. The use of the Oxford hip and knee scores. J Bone Jt Surg Br. 2007;89-B(8):1010–4. </w:t>
      </w:r>
    </w:p>
    <w:p w14:paraId="78BC50BF" w14:textId="77777777" w:rsidR="005A7914" w:rsidRPr="005A7914" w:rsidRDefault="005A7914" w:rsidP="005A7914">
      <w:pPr>
        <w:widowControl w:val="0"/>
        <w:autoSpaceDE w:val="0"/>
        <w:autoSpaceDN w:val="0"/>
        <w:adjustRightInd w:val="0"/>
        <w:ind w:left="640" w:hanging="640"/>
        <w:rPr>
          <w:noProof/>
          <w:sz w:val="16"/>
        </w:rPr>
      </w:pPr>
      <w:r w:rsidRPr="005A7914">
        <w:rPr>
          <w:noProof/>
          <w:sz w:val="16"/>
        </w:rPr>
        <w:t xml:space="preserve">11. </w:t>
      </w:r>
      <w:r w:rsidRPr="005A7914">
        <w:rPr>
          <w:noProof/>
          <w:sz w:val="16"/>
        </w:rPr>
        <w:tab/>
        <w:t xml:space="preserve">Beard D, Harris K, Dawson J, Doll H, Murray D, Carr A, et al. Meaningful changes for the Oxford hip and knee scores after joint replacement surgery. J Clin Epidemiol. 2015;68(1):73–9. </w:t>
      </w:r>
    </w:p>
    <w:p w14:paraId="6B72B6A1" w14:textId="77777777" w:rsidR="005A7914" w:rsidRPr="007F03EC" w:rsidRDefault="005A7914" w:rsidP="005A7914">
      <w:pPr>
        <w:widowControl w:val="0"/>
        <w:autoSpaceDE w:val="0"/>
        <w:autoSpaceDN w:val="0"/>
        <w:adjustRightInd w:val="0"/>
        <w:ind w:left="640" w:hanging="640"/>
        <w:rPr>
          <w:noProof/>
          <w:sz w:val="16"/>
          <w:lang w:val="nl-NL"/>
        </w:rPr>
      </w:pPr>
      <w:r w:rsidRPr="005A7914">
        <w:rPr>
          <w:noProof/>
          <w:sz w:val="16"/>
        </w:rPr>
        <w:t xml:space="preserve">12. </w:t>
      </w:r>
      <w:r w:rsidRPr="005A7914">
        <w:rPr>
          <w:noProof/>
          <w:sz w:val="16"/>
        </w:rPr>
        <w:tab/>
        <w:t xml:space="preserve">Fortin P, Clarke A, Joseph L, Liang M, Tanzer M, Ferland D, et al. Outcomes of total hip and knee replacement: Preoperative functional status predicts outcomes at six months after surgery. </w:t>
      </w:r>
      <w:r w:rsidRPr="007F03EC">
        <w:rPr>
          <w:noProof/>
          <w:sz w:val="16"/>
          <w:lang w:val="nl-NL"/>
        </w:rPr>
        <w:t xml:space="preserve">Arthritis Rheum. 1999;42(8):1722–8. </w:t>
      </w:r>
    </w:p>
    <w:p w14:paraId="2AD53972" w14:textId="77777777" w:rsidR="005A7914" w:rsidRPr="005A7914" w:rsidRDefault="005A7914" w:rsidP="005A7914">
      <w:pPr>
        <w:widowControl w:val="0"/>
        <w:autoSpaceDE w:val="0"/>
        <w:autoSpaceDN w:val="0"/>
        <w:adjustRightInd w:val="0"/>
        <w:ind w:left="640" w:hanging="640"/>
        <w:rPr>
          <w:noProof/>
          <w:sz w:val="16"/>
        </w:rPr>
      </w:pPr>
      <w:r w:rsidRPr="007F03EC">
        <w:rPr>
          <w:noProof/>
          <w:sz w:val="16"/>
          <w:lang w:val="nl-NL"/>
        </w:rPr>
        <w:t xml:space="preserve">13. </w:t>
      </w:r>
      <w:r w:rsidRPr="007F03EC">
        <w:rPr>
          <w:noProof/>
          <w:sz w:val="16"/>
          <w:lang w:val="nl-NL"/>
        </w:rPr>
        <w:tab/>
        <w:t xml:space="preserve">Pham T, Van Der Heijde D, Lassere M, Altman R, Anderson J, Bellamy N, et al. </w:t>
      </w:r>
      <w:r w:rsidRPr="005A7914">
        <w:rPr>
          <w:noProof/>
          <w:sz w:val="16"/>
        </w:rPr>
        <w:t xml:space="preserve">Outcome variables for osteoarthritis clinical trials: The OMERACT-OARSI set of responder criteria. J Rheumatol. 2003;30(7):1648–54. </w:t>
      </w:r>
    </w:p>
    <w:p w14:paraId="4B4F2D7B" w14:textId="2DB1D9DA" w:rsidR="00117A4F" w:rsidRPr="00117A4F" w:rsidRDefault="005A7914" w:rsidP="00DB3EA8">
      <w:pPr>
        <w:widowControl w:val="0"/>
        <w:autoSpaceDE w:val="0"/>
        <w:autoSpaceDN w:val="0"/>
        <w:adjustRightInd w:val="0"/>
        <w:ind w:left="640" w:hanging="640"/>
        <w:rPr>
          <w:sz w:val="16"/>
          <w:szCs w:val="16"/>
        </w:rPr>
      </w:pPr>
      <w:r w:rsidRPr="005A7914">
        <w:rPr>
          <w:noProof/>
          <w:sz w:val="16"/>
        </w:rPr>
        <w:t xml:space="preserve">14. </w:t>
      </w:r>
      <w:r w:rsidRPr="005A7914">
        <w:rPr>
          <w:noProof/>
          <w:sz w:val="16"/>
        </w:rPr>
        <w:tab/>
        <w:t xml:space="preserve">Mahomed N, Davis A, Hawker G, Badley E, Davey J, Syed K, et al. Inpatient compared with home-based rehabilitation following primary unilateral total hip or knee replacement: A randomized controlled trial. J Bone Jt Surg Am. 2008;90(8):1673–80. </w:t>
      </w:r>
      <w:r w:rsidR="00117A4F" w:rsidRPr="00117A4F">
        <w:rPr>
          <w:sz w:val="16"/>
          <w:szCs w:val="16"/>
        </w:rPr>
        <w:fldChar w:fldCharType="end"/>
      </w:r>
    </w:p>
    <w:sectPr w:rsidR="00117A4F" w:rsidRPr="00117A4F" w:rsidSect="004E0870">
      <w:pgSz w:w="16838" w:h="11906" w:orient="landscape"/>
      <w:pgMar w:top="1417"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39B"/>
    <w:rsid w:val="00044A98"/>
    <w:rsid w:val="000D528D"/>
    <w:rsid w:val="00117A4F"/>
    <w:rsid w:val="002620A4"/>
    <w:rsid w:val="003C4B95"/>
    <w:rsid w:val="003F6333"/>
    <w:rsid w:val="0044539B"/>
    <w:rsid w:val="004E0870"/>
    <w:rsid w:val="005A7914"/>
    <w:rsid w:val="00755BBF"/>
    <w:rsid w:val="007F03EC"/>
    <w:rsid w:val="00823D03"/>
    <w:rsid w:val="008A6FF6"/>
    <w:rsid w:val="00995AC7"/>
    <w:rsid w:val="009D101F"/>
    <w:rsid w:val="00C62EB8"/>
    <w:rsid w:val="00CA378F"/>
    <w:rsid w:val="00D34F06"/>
    <w:rsid w:val="00DB3EA8"/>
    <w:rsid w:val="00F51A0C"/>
    <w:rsid w:val="00F81FA6"/>
    <w:rsid w:val="00F8573E"/>
    <w:rsid w:val="00FB205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6BB80"/>
  <w15:chartTrackingRefBased/>
  <w15:docId w15:val="{9DBFDD80-E17B-4BF8-AD36-BBC525BA9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4539B"/>
    <w:pPr>
      <w:spacing w:after="0" w:line="480" w:lineRule="auto"/>
    </w:pPr>
    <w:rPr>
      <w:rFonts w:ascii="Times New Roman" w:eastAsia="Times New Roman" w:hAnsi="Times New Roman" w:cs="Times New Roman"/>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2150D0-7A38-48BC-814C-4748FA3D4A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7404</Words>
  <Characters>40723</Characters>
  <Application>Microsoft Office Word</Application>
  <DocSecurity>0</DocSecurity>
  <Lines>339</Lines>
  <Paragraphs>96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Malou te Molder</dc:creator>
  <cp:keywords/>
  <dc:description/>
  <cp:lastModifiedBy>Malou te Molder</cp:lastModifiedBy>
  <cp:revision>5</cp:revision>
  <dcterms:created xsi:type="dcterms:W3CDTF">2020-04-08T09:33:00Z</dcterms:created>
  <dcterms:modified xsi:type="dcterms:W3CDTF">2020-04-30T09:47:00Z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072db750-2568-344d-9c66-535b38cdb331</vt:lpwstr>
  </property>
  <property fmtid="{D5CDD505-2E9C-101B-9397-08002B2CF9AE}" pid="24" name="Mendeley Citation Style_1">
    <vt:lpwstr>http://www.zotero.org/styles/vancouver</vt:lpwstr>
  </property>
</Properties>
</file>