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151D8" w14:textId="5A3CDC09" w:rsidR="00407E69" w:rsidRPr="00407E69" w:rsidRDefault="00407E69" w:rsidP="005B0052">
      <w:pPr>
        <w:jc w:val="center"/>
        <w:rPr>
          <w:b/>
          <w:bCs/>
          <w:sz w:val="28"/>
          <w:szCs w:val="28"/>
          <w:u w:val="single"/>
          <w:lang w:val="en-US"/>
        </w:rPr>
      </w:pPr>
      <w:r w:rsidRPr="00407E69">
        <w:rPr>
          <w:b/>
          <w:bCs/>
          <w:sz w:val="28"/>
          <w:szCs w:val="28"/>
          <w:u w:val="single"/>
          <w:lang w:val="en-US"/>
        </w:rPr>
        <w:t xml:space="preserve">Method </w:t>
      </w:r>
      <w:r w:rsidR="005B0052">
        <w:rPr>
          <w:b/>
          <w:bCs/>
          <w:sz w:val="28"/>
          <w:szCs w:val="28"/>
          <w:u w:val="single"/>
          <w:lang w:val="en-US"/>
        </w:rPr>
        <w:t>o</w:t>
      </w:r>
      <w:r w:rsidRPr="00407E69">
        <w:rPr>
          <w:b/>
          <w:bCs/>
          <w:sz w:val="28"/>
          <w:szCs w:val="28"/>
          <w:u w:val="single"/>
          <w:lang w:val="en-US"/>
        </w:rPr>
        <w:t xml:space="preserve">verview on </w:t>
      </w:r>
      <w:r w:rsidR="005B0052">
        <w:rPr>
          <w:b/>
          <w:bCs/>
          <w:sz w:val="28"/>
          <w:szCs w:val="28"/>
          <w:u w:val="single"/>
          <w:lang w:val="en-US"/>
        </w:rPr>
        <w:t>consumption d</w:t>
      </w:r>
      <w:r w:rsidRPr="00407E69">
        <w:rPr>
          <w:b/>
          <w:bCs/>
          <w:sz w:val="28"/>
          <w:szCs w:val="28"/>
          <w:u w:val="single"/>
          <w:lang w:val="en-US"/>
        </w:rPr>
        <w:t>atabase</w:t>
      </w:r>
    </w:p>
    <w:p w14:paraId="6EDD8E3A" w14:textId="5AC669AF" w:rsidR="00407E69" w:rsidRPr="001515C5" w:rsidRDefault="00407E69" w:rsidP="00407E69">
      <w:pPr>
        <w:rPr>
          <w:b/>
          <w:bCs/>
          <w:color w:val="0070C0"/>
          <w:sz w:val="24"/>
          <w:szCs w:val="24"/>
          <w:u w:val="single"/>
          <w:lang w:val="en-US"/>
        </w:rPr>
      </w:pPr>
      <w:r w:rsidRPr="001515C5">
        <w:rPr>
          <w:b/>
          <w:bCs/>
          <w:color w:val="0070C0"/>
          <w:sz w:val="24"/>
          <w:szCs w:val="24"/>
          <w:u w:val="single"/>
          <w:lang w:val="en-US"/>
        </w:rPr>
        <w:t>Nutritional dataset:</w:t>
      </w:r>
    </w:p>
    <w:p w14:paraId="44A64134" w14:textId="52DBEF12" w:rsidR="00407E69" w:rsidRPr="00407E69" w:rsidRDefault="00407E69" w:rsidP="00407E69">
      <w:pPr>
        <w:rPr>
          <w:lang w:val="en-US"/>
        </w:rPr>
      </w:pPr>
      <w:r w:rsidRPr="00407E69">
        <w:rPr>
          <w:lang w:val="en-US"/>
        </w:rPr>
        <w:t xml:space="preserve">The nutritional composition data mainly comes from </w:t>
      </w:r>
      <w:r w:rsidRPr="001515C5">
        <w:rPr>
          <w:b/>
          <w:bCs/>
          <w:lang w:val="en-US"/>
        </w:rPr>
        <w:t xml:space="preserve">the </w:t>
      </w:r>
      <w:proofErr w:type="spellStart"/>
      <w:r w:rsidRPr="001515C5">
        <w:rPr>
          <w:b/>
          <w:bCs/>
          <w:lang w:val="en-US"/>
        </w:rPr>
        <w:t>Ciqual</w:t>
      </w:r>
      <w:r w:rsidR="001515C5" w:rsidRPr="001515C5">
        <w:rPr>
          <w:b/>
          <w:bCs/>
          <w:lang w:val="en-US"/>
        </w:rPr>
        <w:t>&amp;</w:t>
      </w:r>
      <w:r w:rsidRPr="001515C5">
        <w:rPr>
          <w:b/>
          <w:bCs/>
          <w:lang w:val="en-US"/>
        </w:rPr>
        <w:t>CALNUT</w:t>
      </w:r>
      <w:proofErr w:type="spellEnd"/>
      <w:r w:rsidRPr="001515C5">
        <w:rPr>
          <w:b/>
          <w:bCs/>
          <w:lang w:val="en-US"/>
        </w:rPr>
        <w:t xml:space="preserve"> </w:t>
      </w:r>
      <w:r w:rsidR="001515C5" w:rsidRPr="001515C5">
        <w:rPr>
          <w:b/>
          <w:bCs/>
          <w:lang w:val="en-US"/>
        </w:rPr>
        <w:t>database</w:t>
      </w:r>
      <w:r w:rsidRPr="00407E69">
        <w:rPr>
          <w:lang w:val="en-US"/>
        </w:rPr>
        <w:t xml:space="preserve"> (</w:t>
      </w:r>
      <w:r w:rsidR="001515C5">
        <w:rPr>
          <w:lang w:val="en-US"/>
        </w:rPr>
        <w:t xml:space="preserve">i.e., </w:t>
      </w:r>
      <w:proofErr w:type="spellStart"/>
      <w:r w:rsidRPr="00407E69">
        <w:rPr>
          <w:lang w:val="en-US"/>
        </w:rPr>
        <w:t>Ciqual</w:t>
      </w:r>
      <w:proofErr w:type="spellEnd"/>
      <w:r w:rsidRPr="00407E69">
        <w:rPr>
          <w:lang w:val="en-US"/>
        </w:rPr>
        <w:t xml:space="preserve"> 2020 table and the relevant </w:t>
      </w:r>
      <w:r>
        <w:rPr>
          <w:lang w:val="en-US"/>
        </w:rPr>
        <w:t xml:space="preserve">complementary </w:t>
      </w:r>
      <w:r w:rsidRPr="00407E69">
        <w:rPr>
          <w:lang w:val="en-US"/>
        </w:rPr>
        <w:t>CALNUT table)</w:t>
      </w:r>
      <w:r w:rsidR="001515C5">
        <w:rPr>
          <w:lang w:val="en-US"/>
        </w:rPr>
        <w:t>;</w:t>
      </w:r>
      <w:r w:rsidRPr="00407E69">
        <w:rPr>
          <w:lang w:val="en-US"/>
        </w:rPr>
        <w:t xml:space="preserve"> which describe the nutritional composition of 3,185 foods consumed in France for 67 nutrients. Proxies were used for foods not included in these sources (n=22).</w:t>
      </w:r>
    </w:p>
    <w:p w14:paraId="4C3D52ED" w14:textId="78C0819B" w:rsidR="008B0A3F" w:rsidRDefault="00407E69" w:rsidP="00407E69">
      <w:pPr>
        <w:rPr>
          <w:lang w:val="en-US"/>
        </w:rPr>
      </w:pPr>
      <w:r w:rsidRPr="00407E69">
        <w:rPr>
          <w:lang w:val="en-US"/>
        </w:rPr>
        <w:t xml:space="preserve">The nutrient values are expressed </w:t>
      </w:r>
      <w:r w:rsidRPr="001515C5">
        <w:rPr>
          <w:b/>
          <w:bCs/>
          <w:lang w:val="en-US"/>
        </w:rPr>
        <w:t>per 100g of food</w:t>
      </w:r>
      <w:r w:rsidRPr="00407E69">
        <w:rPr>
          <w:lang w:val="en-US"/>
        </w:rPr>
        <w:t>, in kcal, g, mg, or µg (mcg) (</w:t>
      </w:r>
      <w:r w:rsidR="001515C5">
        <w:rPr>
          <w:lang w:val="en-US"/>
        </w:rPr>
        <w:t xml:space="preserve">i.e., it depends on nutrient </w:t>
      </w:r>
      <w:r w:rsidRPr="00407E69">
        <w:rPr>
          <w:lang w:val="en-US"/>
        </w:rPr>
        <w:t>as indicated in the label).</w:t>
      </w:r>
    </w:p>
    <w:p w14:paraId="58EBDADA" w14:textId="77777777" w:rsidR="00407E69" w:rsidRPr="001515C5" w:rsidRDefault="00407E69" w:rsidP="00407E69">
      <w:pPr>
        <w:rPr>
          <w:b/>
          <w:bCs/>
          <w:color w:val="0070C0"/>
          <w:sz w:val="24"/>
          <w:szCs w:val="24"/>
          <w:u w:val="single"/>
          <w:lang w:val="en-US"/>
        </w:rPr>
      </w:pPr>
      <w:r w:rsidRPr="001515C5">
        <w:rPr>
          <w:b/>
          <w:bCs/>
          <w:color w:val="0070C0"/>
          <w:sz w:val="24"/>
          <w:szCs w:val="24"/>
          <w:u w:val="single"/>
          <w:lang w:val="en-US"/>
        </w:rPr>
        <w:t>Consumption Data:</w:t>
      </w:r>
    </w:p>
    <w:p w14:paraId="3884569D" w14:textId="77DC6AB6" w:rsidR="001F1AC2" w:rsidRPr="001F1AC2" w:rsidRDefault="001F1AC2" w:rsidP="00407E69">
      <w:pPr>
        <w:rPr>
          <w:b/>
          <w:bCs/>
          <w:i/>
          <w:iCs/>
          <w:u w:val="single"/>
          <w:lang w:val="en-US"/>
        </w:rPr>
      </w:pPr>
      <w:r w:rsidRPr="001F1AC2">
        <w:rPr>
          <w:b/>
          <w:bCs/>
          <w:i/>
          <w:iCs/>
          <w:u w:val="single"/>
          <w:lang w:val="en-US"/>
        </w:rPr>
        <w:t>INCA3 survey</w:t>
      </w:r>
    </w:p>
    <w:p w14:paraId="6B37C378" w14:textId="3D3BC1BD" w:rsidR="00407E69" w:rsidRPr="00407E69" w:rsidRDefault="00407E69" w:rsidP="00407E69">
      <w:pPr>
        <w:rPr>
          <w:lang w:val="en-US"/>
        </w:rPr>
      </w:pPr>
      <w:r w:rsidRPr="001F1AC2">
        <w:rPr>
          <w:lang w:val="en-US"/>
        </w:rPr>
        <w:t xml:space="preserve">The consumption data comes from the INCA3 survey: </w:t>
      </w:r>
      <w:r w:rsidRPr="001F1AC2">
        <w:rPr>
          <w:i/>
          <w:iCs/>
          <w:lang w:val="en-US"/>
        </w:rPr>
        <w:t>“</w:t>
      </w:r>
      <w:r w:rsidRPr="00407E69">
        <w:rPr>
          <w:i/>
          <w:iCs/>
          <w:lang w:val="en-US"/>
        </w:rPr>
        <w:t>The INCA3 study (Individual National Study of Food Consumption) is the third national survey conducted by ANSES</w:t>
      </w:r>
      <w:r>
        <w:rPr>
          <w:i/>
          <w:iCs/>
          <w:lang w:val="en-US"/>
        </w:rPr>
        <w:t xml:space="preserve"> (</w:t>
      </w:r>
      <w:r w:rsidRPr="00407E69">
        <w:rPr>
          <w:i/>
          <w:iCs/>
          <w:lang w:val="en-US"/>
        </w:rPr>
        <w:t>French Agency for Food, Environmental and Occupational Health &amp; Safety</w:t>
      </w:r>
      <w:r>
        <w:rPr>
          <w:i/>
          <w:iCs/>
          <w:lang w:val="en-US"/>
        </w:rPr>
        <w:t>)</w:t>
      </w:r>
      <w:r w:rsidRPr="00407E69">
        <w:rPr>
          <w:i/>
          <w:iCs/>
          <w:lang w:val="en-US"/>
        </w:rPr>
        <w:t xml:space="preserve"> to analyze the food consumption and dietary habits of the French population. Carried out between 2014 and 2015, it involved nearly 200 investigators and over 5,800 participants, including 3,157 adults (aged 18 to 79) and 2,698 children (aged 0 to 17). Participants answered around 150 questions about their eating habits and lifestyles. The study collected data from 13,600 consumption days, covering approximately 320,000 food items. A total of six years of work were required to </w:t>
      </w:r>
      <w:r w:rsidR="005B0052">
        <w:rPr>
          <w:i/>
          <w:iCs/>
          <w:lang w:val="en-US"/>
        </w:rPr>
        <w:t>carried out</w:t>
      </w:r>
      <w:r w:rsidRPr="00407E69">
        <w:rPr>
          <w:i/>
          <w:iCs/>
          <w:lang w:val="en-US"/>
        </w:rPr>
        <w:t xml:space="preserve"> this valuable database, which now serves as a key reference for assessing dietary behaviors at </w:t>
      </w:r>
      <w:r w:rsidR="005B0052">
        <w:rPr>
          <w:i/>
          <w:iCs/>
          <w:lang w:val="en-US"/>
        </w:rPr>
        <w:t xml:space="preserve">France </w:t>
      </w:r>
      <w:r w:rsidRPr="00407E69">
        <w:rPr>
          <w:i/>
          <w:iCs/>
          <w:lang w:val="en-US"/>
        </w:rPr>
        <w:t>national level.”</w:t>
      </w:r>
    </w:p>
    <w:p w14:paraId="190EE6E5" w14:textId="78545D90" w:rsidR="001F1AC2" w:rsidRDefault="00C53A32" w:rsidP="00C53A32">
      <w:pPr>
        <w:rPr>
          <w:lang w:val="en-US"/>
        </w:rPr>
      </w:pPr>
      <w:r w:rsidRPr="00C53A32">
        <w:rPr>
          <w:lang w:val="en-US"/>
        </w:rPr>
        <w:t xml:space="preserve">In the INCA3 survey, individual food consumption was assessed using </w:t>
      </w:r>
      <w:bookmarkStart w:id="0" w:name="_Hlk203084207"/>
      <w:r w:rsidRPr="00C53A32">
        <w:rPr>
          <w:lang w:val="en-US"/>
        </w:rPr>
        <w:t xml:space="preserve">a 24-hour dietary recall method conducted over </w:t>
      </w:r>
      <w:r w:rsidR="00FD2686">
        <w:rPr>
          <w:lang w:val="en-US"/>
        </w:rPr>
        <w:t xml:space="preserve">two or </w:t>
      </w:r>
      <w:r w:rsidRPr="00C53A32">
        <w:rPr>
          <w:lang w:val="en-US"/>
        </w:rPr>
        <w:t>three non-consecutive days</w:t>
      </w:r>
      <w:bookmarkEnd w:id="0"/>
      <w:r w:rsidRPr="00C53A32">
        <w:rPr>
          <w:lang w:val="en-US"/>
        </w:rPr>
        <w:t xml:space="preserve">. Participants were asked to report all foods and beverages consumed during the previous 24 hours, with data collected for </w:t>
      </w:r>
      <w:r w:rsidR="00FD2686">
        <w:rPr>
          <w:lang w:val="en-US"/>
        </w:rPr>
        <w:t>one-</w:t>
      </w:r>
      <w:r w:rsidRPr="00C53A32">
        <w:rPr>
          <w:lang w:val="en-US"/>
        </w:rPr>
        <w:t>two weekdays and one weekend or public holiday. This approach allows for a more accurate estimation of habitual dietary intake by accounting for day-to-day variability in eating patterns.</w:t>
      </w:r>
    </w:p>
    <w:p w14:paraId="5796477C" w14:textId="633BEE35" w:rsidR="001F1AC2" w:rsidRPr="001F1AC2" w:rsidRDefault="001F1AC2" w:rsidP="00C53A32">
      <w:pPr>
        <w:rPr>
          <w:b/>
          <w:bCs/>
          <w:i/>
          <w:iCs/>
          <w:u w:val="single"/>
          <w:lang w:val="en-US"/>
        </w:rPr>
      </w:pPr>
      <w:r w:rsidRPr="001F1AC2">
        <w:rPr>
          <w:b/>
          <w:bCs/>
          <w:i/>
          <w:iCs/>
          <w:u w:val="single"/>
          <w:lang w:val="en-US"/>
        </w:rPr>
        <w:t>How we used the INCA3 survey</w:t>
      </w:r>
    </w:p>
    <w:p w14:paraId="134E48B3" w14:textId="5B58B1CD" w:rsidR="00FD2686" w:rsidRPr="00407E69" w:rsidRDefault="00407E69" w:rsidP="001F1AC2">
      <w:pPr>
        <w:rPr>
          <w:lang w:val="en-US"/>
        </w:rPr>
      </w:pPr>
      <w:r w:rsidRPr="00407E69">
        <w:rPr>
          <w:lang w:val="en-US"/>
        </w:rPr>
        <w:t xml:space="preserve">We </w:t>
      </w:r>
      <w:r w:rsidR="00E2729B">
        <w:rPr>
          <w:lang w:val="en-US"/>
        </w:rPr>
        <w:t>defined</w:t>
      </w:r>
      <w:r w:rsidRPr="00407E69">
        <w:rPr>
          <w:lang w:val="en-US"/>
        </w:rPr>
        <w:t xml:space="preserve"> the</w:t>
      </w:r>
      <w:r>
        <w:rPr>
          <w:lang w:val="en-US"/>
        </w:rPr>
        <w:t xml:space="preserve"> mean</w:t>
      </w:r>
      <w:r w:rsidRPr="00407E69">
        <w:rPr>
          <w:lang w:val="en-US"/>
        </w:rPr>
        <w:t xml:space="preserve"> consumption</w:t>
      </w:r>
      <w:r w:rsidR="00E2729B">
        <w:rPr>
          <w:lang w:val="en-US"/>
        </w:rPr>
        <w:t xml:space="preserve"> of each food item</w:t>
      </w:r>
      <w:r w:rsidRPr="00407E69">
        <w:rPr>
          <w:lang w:val="en-US"/>
        </w:rPr>
        <w:t xml:space="preserve"> for </w:t>
      </w:r>
      <w:r w:rsidR="00C53A32" w:rsidRPr="00C53A32">
        <w:rPr>
          <w:lang w:val="en-US"/>
        </w:rPr>
        <w:t>(n</w:t>
      </w:r>
      <w:r w:rsidR="00FD2686">
        <w:rPr>
          <w:lang w:val="en-US"/>
        </w:rPr>
        <w:t xml:space="preserve"> </w:t>
      </w:r>
      <w:r w:rsidR="00C53A32" w:rsidRPr="00C53A32">
        <w:rPr>
          <w:lang w:val="en-US"/>
        </w:rPr>
        <w:t>=</w:t>
      </w:r>
      <w:r w:rsidR="00FD2686">
        <w:rPr>
          <w:lang w:val="en-US"/>
        </w:rPr>
        <w:t xml:space="preserve"> </w:t>
      </w:r>
      <w:r w:rsidR="00C53A32" w:rsidRPr="00C53A32">
        <w:rPr>
          <w:lang w:val="en-US"/>
        </w:rPr>
        <w:t xml:space="preserve">2121) </w:t>
      </w:r>
      <w:r w:rsidRPr="00407E69">
        <w:rPr>
          <w:lang w:val="en-US"/>
        </w:rPr>
        <w:t>adults</w:t>
      </w:r>
      <w:r w:rsidR="005B0052">
        <w:rPr>
          <w:lang w:val="en-US"/>
        </w:rPr>
        <w:t xml:space="preserve"> (18-65 years)</w:t>
      </w:r>
      <w:r w:rsidRPr="00407E69">
        <w:rPr>
          <w:lang w:val="en-US"/>
        </w:rPr>
        <w:t>, then estimated the consumption for the total population based on the energy needs of other sub-populations (children</w:t>
      </w:r>
      <w:r w:rsidR="005B0052">
        <w:rPr>
          <w:lang w:val="en-US"/>
        </w:rPr>
        <w:t>-adolescent “0-17 years”</w:t>
      </w:r>
      <w:r w:rsidRPr="00407E69">
        <w:rPr>
          <w:lang w:val="en-US"/>
        </w:rPr>
        <w:t xml:space="preserve"> and the elderly</w:t>
      </w:r>
      <w:r w:rsidR="005B0052">
        <w:rPr>
          <w:lang w:val="en-US"/>
        </w:rPr>
        <w:t xml:space="preserve"> “+65”</w:t>
      </w:r>
      <w:r w:rsidRPr="00407E69">
        <w:rPr>
          <w:lang w:val="en-US"/>
        </w:rPr>
        <w:t>), at both national and regional levels.</w:t>
      </w:r>
      <w:r w:rsidR="001F1AC2">
        <w:rPr>
          <w:lang w:val="en-US"/>
        </w:rPr>
        <w:t xml:space="preserve"> </w:t>
      </w:r>
      <w:r w:rsidR="00211862" w:rsidRPr="00211862">
        <w:rPr>
          <w:lang w:val="en-US"/>
        </w:rPr>
        <w:t>One may ask why consumption estimates for children and older adults were derived indirectly rather than relying solely on their survey responses. The rationale lies in the limitations inherent in self-reported dietary data within these age groups. For younger children (particularly ages 6 to 12), food intake may be underreported due to unrecorded meals consumed outside the home or limited ability to recall all items. In the case of older adults, memory-related challenges may lead to incomplete dietary recall. To ensure greater accuracy and consistency, estimates were therefore derived using adult consumption data as a reference and adjusted using energy requirement ratios for each age group. This approach also allows for a more streamlined and standardized calculation framework.</w:t>
      </w:r>
    </w:p>
    <w:p w14:paraId="4576CFDE" w14:textId="335F7BBE" w:rsidR="00407E69" w:rsidRDefault="00407E69" w:rsidP="00407E69">
      <w:pPr>
        <w:rPr>
          <w:lang w:val="en-US"/>
        </w:rPr>
      </w:pPr>
      <w:r w:rsidRPr="001515C5">
        <w:rPr>
          <w:b/>
          <w:bCs/>
          <w:lang w:val="en-US"/>
        </w:rPr>
        <w:t>Limitation:</w:t>
      </w:r>
      <w:r w:rsidRPr="00407E69">
        <w:rPr>
          <w:lang w:val="en-US"/>
        </w:rPr>
        <w:t xml:space="preserve"> Certain consumption patterns specific to sub-populations are not taken into account (e.g., consumption of infant</w:t>
      </w:r>
      <w:r w:rsidR="00E2729B">
        <w:rPr>
          <w:lang w:val="en-US"/>
        </w:rPr>
        <w:t xml:space="preserve"> milk</w:t>
      </w:r>
      <w:r w:rsidRPr="00407E69">
        <w:rPr>
          <w:lang w:val="en-US"/>
        </w:rPr>
        <w:t xml:space="preserve"> formula by infants).</w:t>
      </w:r>
    </w:p>
    <w:p w14:paraId="17E27F2B" w14:textId="12418A07" w:rsidR="00E2729B" w:rsidRDefault="001F1AC2" w:rsidP="00E2729B">
      <w:pPr>
        <w:pStyle w:val="Paragraphedeliste"/>
        <w:numPr>
          <w:ilvl w:val="0"/>
          <w:numId w:val="1"/>
        </w:numPr>
        <w:rPr>
          <w:b/>
          <w:bCs/>
          <w:color w:val="00B050"/>
          <w:sz w:val="24"/>
          <w:szCs w:val="24"/>
          <w:lang w:val="en-US"/>
        </w:rPr>
      </w:pPr>
      <w:r>
        <w:rPr>
          <w:b/>
          <w:bCs/>
          <w:color w:val="00B050"/>
          <w:sz w:val="24"/>
          <w:szCs w:val="24"/>
          <w:lang w:val="en-US"/>
        </w:rPr>
        <w:br w:type="column"/>
      </w:r>
      <w:r w:rsidR="00E2729B" w:rsidRPr="001515C5">
        <w:rPr>
          <w:b/>
          <w:bCs/>
          <w:color w:val="00B050"/>
          <w:sz w:val="24"/>
          <w:szCs w:val="24"/>
          <w:lang w:val="en-US"/>
        </w:rPr>
        <w:lastRenderedPageBreak/>
        <w:t xml:space="preserve">Calculation of the average daily consumption per </w:t>
      </w:r>
      <w:r w:rsidR="00695AB6">
        <w:rPr>
          <w:b/>
          <w:bCs/>
          <w:color w:val="00B050"/>
          <w:sz w:val="24"/>
          <w:szCs w:val="24"/>
          <w:lang w:val="en-US"/>
        </w:rPr>
        <w:t>individual</w:t>
      </w:r>
      <w:r w:rsidR="00D64E9C">
        <w:rPr>
          <w:b/>
          <w:bCs/>
          <w:color w:val="00B050"/>
          <w:sz w:val="24"/>
          <w:szCs w:val="24"/>
          <w:lang w:val="en-US"/>
        </w:rPr>
        <w:t xml:space="preserve"> participant</w:t>
      </w:r>
      <w:r w:rsidR="00F35954">
        <w:rPr>
          <w:b/>
          <w:bCs/>
          <w:color w:val="00B050"/>
          <w:sz w:val="24"/>
          <w:szCs w:val="24"/>
          <w:lang w:val="en-US"/>
        </w:rPr>
        <w:t xml:space="preserve"> (adult)</w:t>
      </w:r>
    </w:p>
    <w:p w14:paraId="3FAAA1D3" w14:textId="5F10BE1F" w:rsidR="00A65721" w:rsidRPr="00A65721" w:rsidRDefault="00A65721" w:rsidP="00A65721">
      <w:pPr>
        <w:rPr>
          <w:b/>
          <w:bCs/>
          <w:lang w:val="en-US"/>
        </w:rPr>
      </w:pPr>
      <w:r w:rsidRPr="00A65721">
        <w:rPr>
          <w:b/>
          <w:bCs/>
          <w:lang w:val="en-US"/>
        </w:rPr>
        <w:t>This calculation is performed individually for each adult participant in the INCA3 survey. It allows for estimating the average daily amount of a food item consumed, based on the available dietary recall data for each person.</w:t>
      </w:r>
    </w:p>
    <w:p w14:paraId="7CF844EC" w14:textId="77777777" w:rsidR="00A64360" w:rsidRPr="00F62873" w:rsidRDefault="0008521F" w:rsidP="00A64360">
      <w:pPr>
        <w:rPr>
          <w:rFonts w:eastAsiaTheme="minorEastAsia"/>
        </w:rPr>
      </w:pPr>
      <m:oMathPara>
        <m:oMath>
          <m:sSub>
            <m:sSubPr>
              <m:ctrlPr>
                <w:rPr>
                  <w:rFonts w:ascii="Cambria Math" w:hAnsi="Cambria Math"/>
                  <w:i/>
                </w:rPr>
              </m:ctrlPr>
            </m:sSubPr>
            <m:e>
              <m:r>
                <w:rPr>
                  <w:rFonts w:ascii="Cambria Math" w:hAnsi="Cambria Math"/>
                </w:rPr>
                <m:t>Q</m:t>
              </m:r>
            </m:e>
            <m:sub>
              <m:r>
                <w:rPr>
                  <w:rFonts w:ascii="Cambria Math" w:hAnsi="Cambria Math"/>
                </w:rPr>
                <m:t>ij</m:t>
              </m:r>
            </m:sub>
          </m:sSub>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r</m:t>
                  </m:r>
                </m:sub>
                <m:sup/>
                <m:e>
                  <w:bookmarkStart w:id="1" w:name="_Hlk200719951"/>
                  <m:sSub>
                    <m:sSubPr>
                      <m:ctrlPr>
                        <w:rPr>
                          <w:rFonts w:ascii="Cambria Math" w:hAnsi="Cambria Math"/>
                          <w:i/>
                        </w:rPr>
                      </m:ctrlPr>
                    </m:sSubPr>
                    <m:e>
                      <m:r>
                        <w:rPr>
                          <w:rFonts w:ascii="Cambria Math" w:hAnsi="Cambria Math"/>
                        </w:rPr>
                        <m:t>Q</m:t>
                      </m:r>
                    </m:e>
                    <m:sub>
                      <m:r>
                        <w:rPr>
                          <w:rFonts w:ascii="Cambria Math" w:hAnsi="Cambria Math"/>
                        </w:rPr>
                        <m:t>ijk</m:t>
                      </m:r>
                    </m:sub>
                  </m:sSub>
                  <w:bookmarkEnd w:id="1"/>
                </m:e>
              </m:nary>
            </m:num>
            <m:den>
              <m:sSub>
                <m:sSubPr>
                  <m:ctrlPr>
                    <w:rPr>
                      <w:rFonts w:ascii="Cambria Math" w:hAnsi="Cambria Math"/>
                      <w:i/>
                    </w:rPr>
                  </m:ctrlPr>
                </m:sSubPr>
                <m:e>
                  <m:r>
                    <w:rPr>
                      <w:rFonts w:ascii="Cambria Math" w:hAnsi="Cambria Math"/>
                    </w:rPr>
                    <m:t>K</m:t>
                  </m:r>
                </m:e>
                <m:sub>
                  <m:r>
                    <w:rPr>
                      <w:rFonts w:ascii="Cambria Math" w:hAnsi="Cambria Math"/>
                    </w:rPr>
                    <m:t>i</m:t>
                  </m:r>
                </m:sub>
              </m:sSub>
            </m:den>
          </m:f>
        </m:oMath>
      </m:oMathPara>
    </w:p>
    <w:p w14:paraId="5B790EDD" w14:textId="6ACB205D" w:rsidR="00A64360" w:rsidRPr="00A64360" w:rsidRDefault="0008521F" w:rsidP="00A64360">
      <w:pPr>
        <w:rPr>
          <w:rFonts w:eastAsiaTheme="minorEastAsia"/>
          <w:lang w:val="en-US"/>
        </w:rPr>
      </w:pPr>
      <m:oMath>
        <m:sSub>
          <m:sSubPr>
            <m:ctrlPr>
              <w:rPr>
                <w:rFonts w:ascii="Cambria Math" w:hAnsi="Cambria Math"/>
                <w:i/>
              </w:rPr>
            </m:ctrlPr>
          </m:sSubPr>
          <m:e>
            <m:r>
              <w:rPr>
                <w:rFonts w:ascii="Cambria Math" w:hAnsi="Cambria Math"/>
              </w:rPr>
              <m:t>Q</m:t>
            </m:r>
          </m:e>
          <m:sub>
            <m:r>
              <w:rPr>
                <w:rFonts w:ascii="Cambria Math" w:hAnsi="Cambria Math"/>
              </w:rPr>
              <m:t>ij</m:t>
            </m:r>
          </m:sub>
        </m:sSub>
        <m:r>
          <w:rPr>
            <w:rFonts w:ascii="Cambria Math" w:hAnsi="Cambria Math"/>
            <w:lang w:val="en-US"/>
          </w:rPr>
          <m:t xml:space="preserve"> </m:t>
        </m:r>
      </m:oMath>
      <w:r w:rsidR="00A64360" w:rsidRPr="00A64360">
        <w:rPr>
          <w:rFonts w:eastAsiaTheme="minorEastAsia"/>
          <w:lang w:val="en-US"/>
        </w:rPr>
        <w:t>: quantity of food</w:t>
      </w:r>
      <w:r w:rsidR="005B0052">
        <w:rPr>
          <w:rFonts w:eastAsiaTheme="minorEastAsia"/>
          <w:lang w:val="en-US"/>
        </w:rPr>
        <w:t xml:space="preserve"> item</w:t>
      </w:r>
      <w:r w:rsidR="00A64360" w:rsidRPr="00A64360">
        <w:rPr>
          <w:rFonts w:eastAsiaTheme="minorEastAsia"/>
          <w:lang w:val="en-US"/>
        </w:rPr>
        <w:t xml:space="preserve"> </w:t>
      </w:r>
      <w:r w:rsidR="005B0052">
        <w:rPr>
          <w:rFonts w:eastAsiaTheme="minorEastAsia"/>
          <w:lang w:val="en-US"/>
        </w:rPr>
        <w:t>(</w:t>
      </w:r>
      <w:r w:rsidR="00A64360" w:rsidRPr="00A64360">
        <w:rPr>
          <w:rFonts w:eastAsiaTheme="minorEastAsia"/>
          <w:lang w:val="en-US"/>
        </w:rPr>
        <w:t>j</w:t>
      </w:r>
      <w:r w:rsidR="005B0052">
        <w:rPr>
          <w:rFonts w:eastAsiaTheme="minorEastAsia"/>
          <w:lang w:val="en-US"/>
        </w:rPr>
        <w:t>)</w:t>
      </w:r>
      <w:r w:rsidR="00A64360" w:rsidRPr="00A64360">
        <w:rPr>
          <w:rFonts w:eastAsiaTheme="minorEastAsia"/>
          <w:lang w:val="en-US"/>
        </w:rPr>
        <w:t xml:space="preserve"> consumed on average per day by </w:t>
      </w:r>
      <w:r w:rsidR="00FD2686">
        <w:rPr>
          <w:rFonts w:eastAsiaTheme="minorEastAsia"/>
          <w:lang w:val="en-US"/>
        </w:rPr>
        <w:t>adult participant</w:t>
      </w:r>
      <w:r w:rsidR="005B0052">
        <w:rPr>
          <w:rFonts w:eastAsiaTheme="minorEastAsia"/>
          <w:lang w:val="en-US"/>
        </w:rPr>
        <w:t xml:space="preserve"> (</w:t>
      </w:r>
      <w:proofErr w:type="spellStart"/>
      <w:r w:rsidR="00A64360" w:rsidRPr="00A64360">
        <w:rPr>
          <w:rFonts w:eastAsiaTheme="minorEastAsia"/>
          <w:lang w:val="en-US"/>
        </w:rPr>
        <w:t>i</w:t>
      </w:r>
      <w:proofErr w:type="spellEnd"/>
      <w:r w:rsidR="005B0052">
        <w:rPr>
          <w:rFonts w:eastAsiaTheme="minorEastAsia"/>
          <w:lang w:val="en-US"/>
        </w:rPr>
        <w:t>)</w:t>
      </w:r>
      <w:r w:rsidR="00A64360" w:rsidRPr="00A64360">
        <w:rPr>
          <w:rFonts w:eastAsiaTheme="minorEastAsia"/>
          <w:lang w:val="en-US"/>
        </w:rPr>
        <w:t xml:space="preserve"> (in g/day/</w:t>
      </w:r>
      <w:r w:rsidR="00D64E9C">
        <w:rPr>
          <w:rFonts w:eastAsiaTheme="minorEastAsia"/>
          <w:lang w:val="en-US"/>
        </w:rPr>
        <w:t>participant</w:t>
      </w:r>
      <w:r w:rsidR="00A64360" w:rsidRPr="00A64360">
        <w:rPr>
          <w:rFonts w:eastAsiaTheme="minorEastAsia"/>
          <w:lang w:val="en-US"/>
        </w:rPr>
        <w:t>)</w:t>
      </w:r>
    </w:p>
    <w:p w14:paraId="4E3C1B50" w14:textId="20FE4FE8" w:rsidR="00A64360" w:rsidRPr="00A64360" w:rsidRDefault="0008521F" w:rsidP="00A64360">
      <w:pPr>
        <w:rPr>
          <w:rFonts w:eastAsiaTheme="minorEastAsia"/>
          <w:lang w:val="en-US"/>
        </w:rPr>
      </w:pPr>
      <m:oMath>
        <m:sSub>
          <m:sSubPr>
            <m:ctrlPr>
              <w:rPr>
                <w:rFonts w:ascii="Cambria Math" w:hAnsi="Cambria Math"/>
                <w:i/>
              </w:rPr>
            </m:ctrlPr>
          </m:sSubPr>
          <m:e>
            <m:r>
              <w:rPr>
                <w:rFonts w:ascii="Cambria Math" w:hAnsi="Cambria Math"/>
              </w:rPr>
              <m:t>Q</m:t>
            </m:r>
          </m:e>
          <m:sub>
            <m:r>
              <w:rPr>
                <w:rFonts w:ascii="Cambria Math" w:hAnsi="Cambria Math"/>
              </w:rPr>
              <m:t>ijk</m:t>
            </m:r>
          </m:sub>
        </m:sSub>
      </m:oMath>
      <w:r w:rsidR="00A64360" w:rsidRPr="00A64360">
        <w:rPr>
          <w:rFonts w:eastAsiaTheme="minorEastAsia"/>
          <w:lang w:val="en-US"/>
        </w:rPr>
        <w:t xml:space="preserve"> : quantity of food </w:t>
      </w:r>
      <w:r w:rsidR="005B0052">
        <w:rPr>
          <w:rFonts w:eastAsiaTheme="minorEastAsia"/>
          <w:lang w:val="en-US"/>
        </w:rPr>
        <w:t>item (</w:t>
      </w:r>
      <w:r w:rsidR="00A64360" w:rsidRPr="00A64360">
        <w:rPr>
          <w:rFonts w:eastAsiaTheme="minorEastAsia"/>
          <w:lang w:val="en-US"/>
        </w:rPr>
        <w:t>j</w:t>
      </w:r>
      <w:r w:rsidR="005B0052">
        <w:rPr>
          <w:rFonts w:eastAsiaTheme="minorEastAsia"/>
          <w:lang w:val="en-US"/>
        </w:rPr>
        <w:t>)</w:t>
      </w:r>
      <w:r w:rsidR="00A64360" w:rsidRPr="00A64360">
        <w:rPr>
          <w:rFonts w:eastAsiaTheme="minorEastAsia"/>
          <w:lang w:val="en-US"/>
        </w:rPr>
        <w:t xml:space="preserve"> consumed by </w:t>
      </w:r>
      <w:r w:rsidR="00FD2686">
        <w:rPr>
          <w:rFonts w:eastAsiaTheme="minorEastAsia"/>
          <w:lang w:val="en-US"/>
        </w:rPr>
        <w:t>adult participant</w:t>
      </w:r>
      <w:r w:rsidR="00A64360" w:rsidRPr="00A64360">
        <w:rPr>
          <w:rFonts w:eastAsiaTheme="minorEastAsia"/>
          <w:lang w:val="en-US"/>
        </w:rPr>
        <w:t xml:space="preserve"> </w:t>
      </w:r>
      <w:r w:rsidR="005B0052">
        <w:rPr>
          <w:rFonts w:eastAsiaTheme="minorEastAsia"/>
          <w:lang w:val="en-US"/>
        </w:rPr>
        <w:t>(</w:t>
      </w:r>
      <w:proofErr w:type="spellStart"/>
      <w:r w:rsidR="00A64360" w:rsidRPr="00A64360">
        <w:rPr>
          <w:rFonts w:eastAsiaTheme="minorEastAsia"/>
          <w:lang w:val="en-US"/>
        </w:rPr>
        <w:t>i</w:t>
      </w:r>
      <w:proofErr w:type="spellEnd"/>
      <w:r w:rsidR="005B0052">
        <w:rPr>
          <w:rFonts w:eastAsiaTheme="minorEastAsia"/>
          <w:lang w:val="en-US"/>
        </w:rPr>
        <w:t>)</w:t>
      </w:r>
      <w:r w:rsidR="00A64360" w:rsidRPr="00A64360">
        <w:rPr>
          <w:rFonts w:eastAsiaTheme="minorEastAsia"/>
          <w:lang w:val="en-US"/>
        </w:rPr>
        <w:t xml:space="preserve"> on recall day </w:t>
      </w:r>
      <w:r w:rsidR="005B0052">
        <w:rPr>
          <w:rFonts w:eastAsiaTheme="minorEastAsia"/>
          <w:lang w:val="en-US"/>
        </w:rPr>
        <w:t>(</w:t>
      </w:r>
      <w:r w:rsidR="00A64360" w:rsidRPr="00A64360">
        <w:rPr>
          <w:rFonts w:eastAsiaTheme="minorEastAsia"/>
          <w:lang w:val="en-US"/>
        </w:rPr>
        <w:t>k</w:t>
      </w:r>
      <w:r w:rsidR="005B0052">
        <w:rPr>
          <w:rFonts w:eastAsiaTheme="minorEastAsia"/>
          <w:lang w:val="en-US"/>
        </w:rPr>
        <w:t>)</w:t>
      </w:r>
      <w:r w:rsidR="00A64360" w:rsidRPr="00A64360">
        <w:rPr>
          <w:rFonts w:eastAsiaTheme="minorEastAsia"/>
          <w:lang w:val="en-US"/>
        </w:rPr>
        <w:t xml:space="preserve"> (in g/</w:t>
      </w:r>
      <w:r w:rsidR="00D64E9C">
        <w:rPr>
          <w:rFonts w:eastAsiaTheme="minorEastAsia"/>
          <w:lang w:val="en-US"/>
        </w:rPr>
        <w:t>participant</w:t>
      </w:r>
      <w:r w:rsidR="00A64360" w:rsidRPr="00A64360">
        <w:rPr>
          <w:rFonts w:eastAsiaTheme="minorEastAsia"/>
          <w:lang w:val="en-US"/>
        </w:rPr>
        <w:t>)</w:t>
      </w:r>
    </w:p>
    <w:p w14:paraId="72F09C88" w14:textId="618BBD77" w:rsidR="00A64360" w:rsidRDefault="0008521F" w:rsidP="00A64360">
      <w:pPr>
        <w:rPr>
          <w:rFonts w:eastAsiaTheme="minorEastAsia"/>
          <w:lang w:val="en-US"/>
        </w:rPr>
      </w:pPr>
      <m:oMath>
        <m:sSub>
          <m:sSubPr>
            <m:ctrlPr>
              <w:rPr>
                <w:rFonts w:ascii="Cambria Math" w:hAnsi="Cambria Math"/>
                <w:i/>
              </w:rPr>
            </m:ctrlPr>
          </m:sSubPr>
          <m:e>
            <m:r>
              <w:rPr>
                <w:rFonts w:ascii="Cambria Math" w:hAnsi="Cambria Math"/>
              </w:rPr>
              <m:t>K</m:t>
            </m:r>
          </m:e>
          <m:sub>
            <m:r>
              <w:rPr>
                <w:rFonts w:ascii="Cambria Math" w:hAnsi="Cambria Math"/>
              </w:rPr>
              <m:t>i</m:t>
            </m:r>
          </m:sub>
        </m:sSub>
      </m:oMath>
      <w:r w:rsidR="00A64360" w:rsidRPr="00A64360">
        <w:rPr>
          <w:rFonts w:eastAsiaTheme="minorEastAsia"/>
          <w:lang w:val="en-US"/>
        </w:rPr>
        <w:t xml:space="preserve"> : number of recall days for </w:t>
      </w:r>
      <w:r w:rsidR="00FD2686">
        <w:rPr>
          <w:rFonts w:eastAsiaTheme="minorEastAsia"/>
          <w:lang w:val="en-US"/>
        </w:rPr>
        <w:t>a</w:t>
      </w:r>
      <w:r w:rsidR="00211862">
        <w:rPr>
          <w:rFonts w:eastAsiaTheme="minorEastAsia"/>
          <w:lang w:val="en-US"/>
        </w:rPr>
        <w:t xml:space="preserve">n adult </w:t>
      </w:r>
      <w:r w:rsidR="00FD2686">
        <w:rPr>
          <w:rFonts w:eastAsiaTheme="minorEastAsia"/>
          <w:lang w:val="en-US"/>
        </w:rPr>
        <w:t>participant</w:t>
      </w:r>
      <w:r w:rsidR="00A64360" w:rsidRPr="00A64360">
        <w:rPr>
          <w:rFonts w:eastAsiaTheme="minorEastAsia"/>
          <w:lang w:val="en-US"/>
        </w:rPr>
        <w:t xml:space="preserve"> </w:t>
      </w:r>
      <w:r w:rsidR="00547F55">
        <w:rPr>
          <w:rFonts w:eastAsiaTheme="minorEastAsia"/>
          <w:lang w:val="en-US"/>
        </w:rPr>
        <w:t>(</w:t>
      </w:r>
      <w:proofErr w:type="spellStart"/>
      <w:r w:rsidR="00A64360" w:rsidRPr="00A64360">
        <w:rPr>
          <w:rFonts w:eastAsiaTheme="minorEastAsia"/>
          <w:lang w:val="en-US"/>
        </w:rPr>
        <w:t>i</w:t>
      </w:r>
      <w:proofErr w:type="spellEnd"/>
      <w:r w:rsidR="00547F55">
        <w:rPr>
          <w:rFonts w:eastAsiaTheme="minorEastAsia"/>
          <w:lang w:val="en-US"/>
        </w:rPr>
        <w:t>)</w:t>
      </w:r>
      <w:r w:rsidR="00A64360" w:rsidRPr="00A64360">
        <w:rPr>
          <w:rFonts w:eastAsiaTheme="minorEastAsia"/>
          <w:lang w:val="en-US"/>
        </w:rPr>
        <w:t xml:space="preserve"> (2 or 3 days)</w:t>
      </w:r>
      <w:r w:rsidR="00211862" w:rsidRPr="00211862">
        <w:rPr>
          <w:rFonts w:eastAsiaTheme="minorEastAsia"/>
          <w:lang w:val="en-US"/>
        </w:rPr>
        <w:t xml:space="preserve">: </w:t>
      </w:r>
      <w:r w:rsidR="00FD2686">
        <w:rPr>
          <w:rFonts w:eastAsiaTheme="minorEastAsia"/>
          <w:lang w:val="en-US"/>
        </w:rPr>
        <w:t xml:space="preserve">A </w:t>
      </w:r>
      <w:r w:rsidR="00FD2686" w:rsidRPr="00FD2686">
        <w:rPr>
          <w:rFonts w:eastAsiaTheme="minorEastAsia"/>
          <w:lang w:val="en-US"/>
        </w:rPr>
        <w:t xml:space="preserve">24-hour dietary recall method conducted over </w:t>
      </w:r>
      <w:r w:rsidR="00FD2686">
        <w:rPr>
          <w:rFonts w:eastAsiaTheme="minorEastAsia"/>
          <w:lang w:val="en-US"/>
        </w:rPr>
        <w:t xml:space="preserve">two or </w:t>
      </w:r>
      <w:r w:rsidR="00FD2686" w:rsidRPr="00FD2686">
        <w:rPr>
          <w:rFonts w:eastAsiaTheme="minorEastAsia"/>
          <w:lang w:val="en-US"/>
        </w:rPr>
        <w:t>three non-consecutive days</w:t>
      </w:r>
      <w:r w:rsidR="00FD2686">
        <w:rPr>
          <w:rFonts w:eastAsiaTheme="minorEastAsia"/>
          <w:lang w:val="en-US"/>
        </w:rPr>
        <w:t xml:space="preserve"> for each </w:t>
      </w:r>
      <w:r w:rsidR="00211862">
        <w:rPr>
          <w:rFonts w:eastAsiaTheme="minorEastAsia"/>
          <w:lang w:val="en-US"/>
        </w:rPr>
        <w:t>adult participant.</w:t>
      </w:r>
    </w:p>
    <w:p w14:paraId="0E1A3CFD" w14:textId="184EEBE3" w:rsidR="00A64360" w:rsidRPr="00A64360" w:rsidRDefault="00A64360" w:rsidP="00A64360">
      <w:pPr>
        <w:pStyle w:val="Paragraphedeliste"/>
        <w:numPr>
          <w:ilvl w:val="0"/>
          <w:numId w:val="1"/>
        </w:numPr>
        <w:rPr>
          <w:rFonts w:eastAsiaTheme="minorEastAsia"/>
          <w:b/>
          <w:bCs/>
          <w:lang w:val="en-US"/>
        </w:rPr>
      </w:pPr>
      <w:r w:rsidRPr="001515C5">
        <w:rPr>
          <w:b/>
          <w:bCs/>
          <w:color w:val="00B050"/>
          <w:sz w:val="24"/>
          <w:szCs w:val="24"/>
          <w:lang w:val="en-US"/>
        </w:rPr>
        <w:t>Calculation of average</w:t>
      </w:r>
      <w:r w:rsidR="00D64E9C">
        <w:rPr>
          <w:b/>
          <w:bCs/>
          <w:color w:val="00B050"/>
          <w:sz w:val="24"/>
          <w:szCs w:val="24"/>
          <w:lang w:val="en-US"/>
        </w:rPr>
        <w:t xml:space="preserve"> daily</w:t>
      </w:r>
      <w:r w:rsidRPr="001515C5">
        <w:rPr>
          <w:b/>
          <w:bCs/>
          <w:color w:val="00B050"/>
          <w:sz w:val="24"/>
          <w:szCs w:val="24"/>
          <w:lang w:val="en-US"/>
        </w:rPr>
        <w:t xml:space="preserve"> consumption</w:t>
      </w:r>
      <w:r w:rsidR="005B0052">
        <w:rPr>
          <w:b/>
          <w:bCs/>
          <w:color w:val="00B050"/>
          <w:sz w:val="24"/>
          <w:szCs w:val="24"/>
          <w:lang w:val="en-US"/>
        </w:rPr>
        <w:t xml:space="preserve"> per </w:t>
      </w:r>
      <w:r w:rsidR="001F1AC2">
        <w:rPr>
          <w:b/>
          <w:bCs/>
          <w:color w:val="00B050"/>
          <w:sz w:val="24"/>
          <w:szCs w:val="24"/>
          <w:lang w:val="en-US"/>
        </w:rPr>
        <w:t xml:space="preserve">mean </w:t>
      </w:r>
      <w:r w:rsidR="00F35954">
        <w:rPr>
          <w:b/>
          <w:bCs/>
          <w:color w:val="00B050"/>
          <w:sz w:val="24"/>
          <w:szCs w:val="24"/>
          <w:lang w:val="en-US"/>
        </w:rPr>
        <w:t xml:space="preserve">individual </w:t>
      </w:r>
      <w:r w:rsidR="00695AB6">
        <w:rPr>
          <w:b/>
          <w:bCs/>
          <w:color w:val="00B050"/>
          <w:sz w:val="24"/>
          <w:szCs w:val="24"/>
          <w:lang w:val="en-US"/>
        </w:rPr>
        <w:t>in a</w:t>
      </w:r>
      <w:r w:rsidRPr="001515C5">
        <w:rPr>
          <w:b/>
          <w:bCs/>
          <w:color w:val="00B050"/>
          <w:sz w:val="24"/>
          <w:szCs w:val="24"/>
          <w:lang w:val="en-US"/>
        </w:rPr>
        <w:t xml:space="preserve"> region</w:t>
      </w:r>
    </w:p>
    <w:p w14:paraId="1FA25C5A" w14:textId="475BACC6" w:rsidR="00A64360" w:rsidRPr="00A65721" w:rsidRDefault="00A64360" w:rsidP="00A64360">
      <w:pPr>
        <w:pStyle w:val="Paragraphedeliste"/>
        <w:numPr>
          <w:ilvl w:val="1"/>
          <w:numId w:val="2"/>
        </w:numPr>
        <w:rPr>
          <w:sz w:val="24"/>
          <w:szCs w:val="24"/>
          <w:lang w:val="en-US"/>
        </w:rPr>
      </w:pPr>
      <w:r w:rsidRPr="00A65721">
        <w:rPr>
          <w:sz w:val="24"/>
          <w:szCs w:val="24"/>
          <w:lang w:val="en-US"/>
        </w:rPr>
        <w:t xml:space="preserve">Calculation of average daily consumption per </w:t>
      </w:r>
      <w:r w:rsidR="00D64E9C">
        <w:rPr>
          <w:sz w:val="24"/>
          <w:szCs w:val="24"/>
          <w:lang w:val="en-US"/>
        </w:rPr>
        <w:t xml:space="preserve">mean adult in a </w:t>
      </w:r>
      <w:r w:rsidRPr="00A65721">
        <w:rPr>
          <w:sz w:val="24"/>
          <w:szCs w:val="24"/>
          <w:lang w:val="en-US"/>
        </w:rPr>
        <w:t>region</w:t>
      </w:r>
    </w:p>
    <w:p w14:paraId="7543990B" w14:textId="279897E3" w:rsidR="00695AB6" w:rsidRDefault="00833FCC" w:rsidP="00D64E9C">
      <w:pPr>
        <w:spacing w:before="240"/>
        <w:rPr>
          <w:b/>
          <w:bCs/>
          <w:lang w:val="en-US"/>
        </w:rPr>
      </w:pPr>
      <w:r w:rsidRPr="00833FCC">
        <w:rPr>
          <w:b/>
          <w:bCs/>
          <w:lang w:val="en-US"/>
        </w:rPr>
        <w:t xml:space="preserve">In this step, we move from </w:t>
      </w:r>
      <w:r w:rsidR="00695AB6">
        <w:rPr>
          <w:b/>
          <w:bCs/>
          <w:lang w:val="en-US"/>
        </w:rPr>
        <w:t>participant</w:t>
      </w:r>
      <w:r w:rsidRPr="00833FCC">
        <w:rPr>
          <w:b/>
          <w:bCs/>
          <w:lang w:val="en-US"/>
        </w:rPr>
        <w:t xml:space="preserve">-level average identified from the survey to a </w:t>
      </w:r>
      <w:r w:rsidR="00A81278" w:rsidRPr="00833FCC">
        <w:rPr>
          <w:b/>
          <w:bCs/>
          <w:lang w:val="en-US"/>
        </w:rPr>
        <w:t xml:space="preserve">regional </w:t>
      </w:r>
      <w:r w:rsidR="00A81278">
        <w:rPr>
          <w:b/>
          <w:bCs/>
          <w:lang w:val="en-US"/>
        </w:rPr>
        <w:t xml:space="preserve">mean adult </w:t>
      </w:r>
      <w:r w:rsidR="00A81278" w:rsidRPr="00833FCC">
        <w:rPr>
          <w:b/>
          <w:bCs/>
          <w:lang w:val="en-US"/>
        </w:rPr>
        <w:t>average</w:t>
      </w:r>
      <w:r w:rsidRPr="00833FCC">
        <w:rPr>
          <w:b/>
          <w:bCs/>
          <w:lang w:val="en-US"/>
        </w:rPr>
        <w:t xml:space="preserve"> by assigning each individual</w:t>
      </w:r>
      <w:r w:rsidR="00A81278">
        <w:rPr>
          <w:b/>
          <w:bCs/>
          <w:lang w:val="en-US"/>
        </w:rPr>
        <w:t xml:space="preserve"> participant</w:t>
      </w:r>
      <w:r w:rsidRPr="00833FCC">
        <w:rPr>
          <w:b/>
          <w:bCs/>
          <w:lang w:val="en-US"/>
        </w:rPr>
        <w:t xml:space="preserve"> </w:t>
      </w:r>
      <w:r w:rsidR="00A81278">
        <w:rPr>
          <w:b/>
          <w:bCs/>
          <w:lang w:val="en-US"/>
        </w:rPr>
        <w:t xml:space="preserve">weight </w:t>
      </w:r>
      <w:r w:rsidRPr="00833FCC">
        <w:rPr>
          <w:b/>
          <w:bCs/>
          <w:lang w:val="en-US"/>
        </w:rPr>
        <w:t xml:space="preserve">to their respective region. </w:t>
      </w:r>
    </w:p>
    <w:p w14:paraId="39DCBC8F" w14:textId="4E9D585C" w:rsidR="00833FCC" w:rsidRPr="00833FCC" w:rsidRDefault="00A81278" w:rsidP="001F1AC2">
      <w:pPr>
        <w:rPr>
          <w:b/>
          <w:bCs/>
          <w:lang w:val="en-US"/>
        </w:rPr>
      </w:pPr>
      <w:r>
        <w:rPr>
          <w:b/>
          <w:bCs/>
          <w:lang w:val="en-US"/>
        </w:rPr>
        <w:t>W</w:t>
      </w:r>
      <w:r w:rsidR="00833FCC" w:rsidRPr="00833FCC">
        <w:rPr>
          <w:b/>
          <w:bCs/>
          <w:lang w:val="en-US"/>
        </w:rPr>
        <w:t xml:space="preserve">e weight the consumption of each food item according to each </w:t>
      </w:r>
      <w:r>
        <w:rPr>
          <w:b/>
          <w:bCs/>
          <w:lang w:val="en-US"/>
        </w:rPr>
        <w:t>participant</w:t>
      </w:r>
      <w:r w:rsidR="00833FCC" w:rsidRPr="00833FCC">
        <w:rPr>
          <w:b/>
          <w:bCs/>
          <w:lang w:val="en-US"/>
        </w:rPr>
        <w:t xml:space="preserve">'s </w:t>
      </w:r>
      <w:r w:rsidR="00833FCC">
        <w:rPr>
          <w:b/>
          <w:bCs/>
          <w:lang w:val="en-US"/>
        </w:rPr>
        <w:t>“</w:t>
      </w:r>
      <w:r w:rsidR="00833FCC" w:rsidRPr="00833FCC">
        <w:rPr>
          <w:b/>
          <w:bCs/>
          <w:lang w:val="en-US"/>
        </w:rPr>
        <w:t>statistical</w:t>
      </w:r>
      <w:r w:rsidR="00833FCC">
        <w:rPr>
          <w:b/>
          <w:bCs/>
          <w:lang w:val="en-US"/>
        </w:rPr>
        <w:t>”</w:t>
      </w:r>
      <w:r w:rsidR="00833FCC" w:rsidRPr="00833FCC">
        <w:rPr>
          <w:b/>
          <w:bCs/>
          <w:lang w:val="en-US"/>
        </w:rPr>
        <w:t xml:space="preserve"> weight, in order to reflect the representativeness of their food consumption within the region’s population</w:t>
      </w:r>
      <w:r w:rsidR="00833FCC">
        <w:rPr>
          <w:b/>
          <w:bCs/>
          <w:lang w:val="en-US"/>
        </w:rPr>
        <w:t xml:space="preserve">: the average consumption of a food item by a mean </w:t>
      </w:r>
      <w:r w:rsidR="00D64E9C">
        <w:rPr>
          <w:b/>
          <w:bCs/>
          <w:lang w:val="en-US"/>
        </w:rPr>
        <w:t>adult</w:t>
      </w:r>
      <w:r w:rsidR="00833FCC">
        <w:rPr>
          <w:b/>
          <w:bCs/>
          <w:lang w:val="en-US"/>
        </w:rPr>
        <w:t xml:space="preserve"> in region X</w:t>
      </w:r>
      <w:r w:rsidR="00833FCC" w:rsidRPr="00833FCC">
        <w:rPr>
          <w:b/>
          <w:bCs/>
          <w:lang w:val="en-US"/>
        </w:rPr>
        <w:t>.</w:t>
      </w:r>
    </w:p>
    <w:p w14:paraId="32BDA324" w14:textId="77777777" w:rsidR="00A64360" w:rsidRPr="00F62873" w:rsidRDefault="0008521F" w:rsidP="00A64360">
      <m:oMathPara>
        <m:oMath>
          <m:sSub>
            <m:sSubPr>
              <m:ctrlPr>
                <w:rPr>
                  <w:rFonts w:ascii="Cambria Math" w:hAnsi="Cambria Math"/>
                  <w:i/>
                </w:rPr>
              </m:ctrlPr>
            </m:sSubPr>
            <m:e>
              <m:r>
                <w:rPr>
                  <w:rFonts w:ascii="Cambria Math" w:hAnsi="Cambria Math"/>
                </w:rPr>
                <m:t>Q</m:t>
              </m:r>
            </m:e>
            <m:sub>
              <m:r>
                <w:rPr>
                  <w:rFonts w:ascii="Cambria Math" w:hAnsi="Cambria Math"/>
                </w:rPr>
                <m:t>rj</m:t>
              </m:r>
            </m:sub>
          </m:sSub>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e>
          </m:nary>
        </m:oMath>
      </m:oMathPara>
    </w:p>
    <w:p w14:paraId="302869A1" w14:textId="04972A30" w:rsidR="00A64360" w:rsidRPr="00F62873" w:rsidRDefault="00A64360" w:rsidP="00A64360">
      <w:proofErr w:type="spellStart"/>
      <w:r>
        <w:t>With</w:t>
      </w:r>
      <w:proofErr w:type="spellEnd"/>
      <w:r>
        <w:t> :</w:t>
      </w:r>
      <w:r w:rsidRPr="00F62873">
        <w:t xml:space="preserve"> </w:t>
      </w:r>
    </w:p>
    <w:p w14:paraId="19691F41" w14:textId="77777777" w:rsidR="00A64360" w:rsidRPr="00F62873" w:rsidRDefault="0008521F" w:rsidP="00A64360">
      <w:pPr>
        <w:rPr>
          <w:rFonts w:eastAsiaTheme="minorEastAsia"/>
        </w:rPr>
      </w:pPr>
      <m:oMathPara>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pon</m:t>
              </m:r>
              <m:sSub>
                <m:sSubPr>
                  <m:ctrlPr>
                    <w:rPr>
                      <w:rFonts w:ascii="Cambria Math" w:hAnsi="Cambria Math"/>
                      <w:i/>
                    </w:rPr>
                  </m:ctrlPr>
                </m:sSubPr>
                <m:e>
                  <m:r>
                    <w:rPr>
                      <w:rFonts w:ascii="Cambria Math" w:hAnsi="Cambria Math"/>
                    </w:rPr>
                    <m:t>d</m:t>
                  </m:r>
                </m:e>
                <m:sub>
                  <m:r>
                    <w:rPr>
                      <w:rFonts w:ascii="Cambria Math" w:hAnsi="Cambria Math"/>
                    </w:rPr>
                    <m:t>i</m:t>
                  </m:r>
                </m:sub>
              </m:sSub>
            </m:num>
            <m:den>
              <m:nary>
                <m:naryPr>
                  <m:chr m:val="∑"/>
                  <m:limLoc m:val="undOvr"/>
                  <m:supHide m:val="1"/>
                  <m:ctrlPr>
                    <w:rPr>
                      <w:rFonts w:ascii="Cambria Math" w:hAnsi="Cambria Math"/>
                      <w:i/>
                    </w:rPr>
                  </m:ctrlPr>
                </m:naryPr>
                <m:sub>
                  <m:r>
                    <w:rPr>
                      <w:rFonts w:ascii="Cambria Math" w:hAnsi="Cambria Math"/>
                    </w:rPr>
                    <m:t>i</m:t>
                  </m:r>
                </m:sub>
                <m:sup/>
                <m:e>
                  <m:r>
                    <w:rPr>
                      <w:rFonts w:ascii="Cambria Math" w:hAnsi="Cambria Math"/>
                    </w:rPr>
                    <m:t>pon</m:t>
                  </m:r>
                  <m:sSub>
                    <m:sSubPr>
                      <m:ctrlPr>
                        <w:rPr>
                          <w:rFonts w:ascii="Cambria Math" w:hAnsi="Cambria Math"/>
                          <w:i/>
                        </w:rPr>
                      </m:ctrlPr>
                    </m:sSubPr>
                    <m:e>
                      <m:r>
                        <w:rPr>
                          <w:rFonts w:ascii="Cambria Math" w:hAnsi="Cambria Math"/>
                        </w:rPr>
                        <m:t>d</m:t>
                      </m:r>
                    </m:e>
                    <m:sub>
                      <m:r>
                        <w:rPr>
                          <w:rFonts w:ascii="Cambria Math" w:hAnsi="Cambria Math"/>
                        </w:rPr>
                        <m:t>i</m:t>
                      </m:r>
                    </m:sub>
                  </m:sSub>
                </m:e>
              </m:nary>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m:t>
              </m:r>
            </m:sub>
          </m:sSub>
        </m:oMath>
      </m:oMathPara>
    </w:p>
    <w:p w14:paraId="70E0CB50" w14:textId="268D2BF6" w:rsidR="00A64360" w:rsidRPr="00A64360" w:rsidRDefault="0008521F" w:rsidP="00A64360">
      <w:pPr>
        <w:rPr>
          <w:rFonts w:eastAsiaTheme="minorEastAsia"/>
          <w:lang w:val="en-US"/>
        </w:rPr>
      </w:pPr>
      <m:oMath>
        <m:sSub>
          <m:sSubPr>
            <m:ctrlPr>
              <w:rPr>
                <w:rFonts w:ascii="Cambria Math" w:hAnsi="Cambria Math"/>
                <w:i/>
              </w:rPr>
            </m:ctrlPr>
          </m:sSubPr>
          <m:e>
            <m:r>
              <w:rPr>
                <w:rFonts w:ascii="Cambria Math" w:hAnsi="Cambria Math"/>
              </w:rPr>
              <m:t>Q</m:t>
            </m:r>
          </m:e>
          <m:sub>
            <m:r>
              <w:rPr>
                <w:rFonts w:ascii="Cambria Math" w:hAnsi="Cambria Math"/>
              </w:rPr>
              <m:t>rj</m:t>
            </m:r>
          </m:sub>
        </m:sSub>
        <m:r>
          <w:rPr>
            <w:rFonts w:ascii="Cambria Math" w:hAnsi="Cambria Math"/>
            <w:lang w:val="en-US"/>
          </w:rPr>
          <m:t xml:space="preserve"> </m:t>
        </m:r>
      </m:oMath>
      <w:r w:rsidR="00A64360" w:rsidRPr="00A64360">
        <w:rPr>
          <w:rFonts w:eastAsiaTheme="minorEastAsia"/>
          <w:lang w:val="en-US"/>
        </w:rPr>
        <w:t xml:space="preserve">: average quantity of food </w:t>
      </w:r>
      <w:r w:rsidR="00F35954">
        <w:rPr>
          <w:rFonts w:eastAsiaTheme="minorEastAsia"/>
          <w:lang w:val="en-US"/>
        </w:rPr>
        <w:t>(</w:t>
      </w:r>
      <w:r w:rsidR="00A64360" w:rsidRPr="00A64360">
        <w:rPr>
          <w:rFonts w:eastAsiaTheme="minorEastAsia"/>
          <w:lang w:val="en-US"/>
        </w:rPr>
        <w:t>j</w:t>
      </w:r>
      <w:r w:rsidR="00F35954">
        <w:rPr>
          <w:rFonts w:eastAsiaTheme="minorEastAsia"/>
          <w:lang w:val="en-US"/>
        </w:rPr>
        <w:t>)</w:t>
      </w:r>
      <w:r w:rsidR="00A64360" w:rsidRPr="00A64360">
        <w:rPr>
          <w:rFonts w:eastAsiaTheme="minorEastAsia"/>
          <w:lang w:val="en-US"/>
        </w:rPr>
        <w:t xml:space="preserve"> consumed by a</w:t>
      </w:r>
      <w:r w:rsidR="00833FCC">
        <w:rPr>
          <w:rFonts w:eastAsiaTheme="minorEastAsia"/>
          <w:lang w:val="en-US"/>
        </w:rPr>
        <w:t xml:space="preserve"> mean (i.e., </w:t>
      </w:r>
      <w:r w:rsidR="00695AB6">
        <w:rPr>
          <w:rFonts w:eastAsiaTheme="minorEastAsia"/>
          <w:lang w:val="en-US"/>
        </w:rPr>
        <w:t>weight</w:t>
      </w:r>
      <w:r w:rsidR="00833FCC">
        <w:rPr>
          <w:rFonts w:eastAsiaTheme="minorEastAsia"/>
          <w:lang w:val="en-US"/>
        </w:rPr>
        <w:t xml:space="preserve">) </w:t>
      </w:r>
      <w:r w:rsidR="00F35954">
        <w:rPr>
          <w:rFonts w:eastAsiaTheme="minorEastAsia"/>
          <w:lang w:val="en-US"/>
        </w:rPr>
        <w:t xml:space="preserve">individual </w:t>
      </w:r>
      <w:r w:rsidR="00A64360" w:rsidRPr="00A64360">
        <w:rPr>
          <w:rFonts w:eastAsiaTheme="minorEastAsia"/>
          <w:lang w:val="en-US"/>
        </w:rPr>
        <w:t xml:space="preserve">adult in region </w:t>
      </w:r>
      <w:r w:rsidR="00F35954">
        <w:rPr>
          <w:rFonts w:eastAsiaTheme="minorEastAsia"/>
          <w:lang w:val="en-US"/>
        </w:rPr>
        <w:t>(</w:t>
      </w:r>
      <w:r w:rsidR="00A64360" w:rsidRPr="00A64360">
        <w:rPr>
          <w:rFonts w:eastAsiaTheme="minorEastAsia"/>
          <w:lang w:val="en-US"/>
        </w:rPr>
        <w:t>r</w:t>
      </w:r>
      <w:r w:rsidR="00F35954">
        <w:rPr>
          <w:rFonts w:eastAsiaTheme="minorEastAsia"/>
          <w:lang w:val="en-US"/>
        </w:rPr>
        <w:t>)</w:t>
      </w:r>
      <w:r w:rsidR="00A64360" w:rsidRPr="00A64360">
        <w:rPr>
          <w:rFonts w:eastAsiaTheme="minorEastAsia"/>
          <w:lang w:val="en-US"/>
        </w:rPr>
        <w:t xml:space="preserve"> (in g/day/</w:t>
      </w:r>
      <w:r w:rsidR="00F35954">
        <w:rPr>
          <w:rFonts w:eastAsiaTheme="minorEastAsia"/>
          <w:lang w:val="en-US"/>
        </w:rPr>
        <w:t>capita</w:t>
      </w:r>
      <w:r w:rsidR="00A64360" w:rsidRPr="00A64360">
        <w:rPr>
          <w:rFonts w:eastAsiaTheme="minorEastAsia"/>
          <w:lang w:val="en-US"/>
        </w:rPr>
        <w:t>)</w:t>
      </w:r>
    </w:p>
    <w:commentRangeStart w:id="2"/>
    <w:commentRangeStart w:id="3"/>
    <w:commentRangeStart w:id="4"/>
    <w:p w14:paraId="7AE4BFEF" w14:textId="3DB6BAEC" w:rsidR="00A64360" w:rsidRPr="00A64360" w:rsidRDefault="0008521F" w:rsidP="00A64360">
      <w:pPr>
        <w:rPr>
          <w:rFonts w:eastAsiaTheme="minorEastAsia"/>
          <w:lang w:val="en-US"/>
        </w:rPr>
      </w:pPr>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lang w:val="en-US"/>
          </w:rPr>
          <m:t xml:space="preserve"> </m:t>
        </m:r>
      </m:oMath>
      <w:r w:rsidR="00A64360" w:rsidRPr="00A64360">
        <w:rPr>
          <w:rFonts w:eastAsiaTheme="minorEastAsia"/>
          <w:lang w:val="en-US"/>
        </w:rPr>
        <w:t>: standardized weight</w:t>
      </w:r>
      <w:r w:rsidR="00695AB6">
        <w:rPr>
          <w:rFonts w:eastAsiaTheme="minorEastAsia"/>
          <w:lang w:val="en-US"/>
        </w:rPr>
        <w:t xml:space="preserve"> coefficient</w:t>
      </w:r>
      <w:r w:rsidR="00A64360" w:rsidRPr="00A64360">
        <w:rPr>
          <w:rFonts w:eastAsiaTheme="minorEastAsia"/>
          <w:lang w:val="en-US"/>
        </w:rPr>
        <w:t xml:space="preserve"> of individual </w:t>
      </w:r>
      <w:r w:rsidR="00F35954">
        <w:rPr>
          <w:rFonts w:eastAsiaTheme="minorEastAsia"/>
          <w:lang w:val="en-US"/>
        </w:rPr>
        <w:t>(</w:t>
      </w:r>
      <w:proofErr w:type="spellStart"/>
      <w:r w:rsidR="00A64360" w:rsidRPr="00A64360">
        <w:rPr>
          <w:rFonts w:eastAsiaTheme="minorEastAsia"/>
          <w:lang w:val="en-US"/>
        </w:rPr>
        <w:t>i</w:t>
      </w:r>
      <w:proofErr w:type="spellEnd"/>
      <w:r w:rsidR="00F35954">
        <w:rPr>
          <w:rFonts w:eastAsiaTheme="minorEastAsia"/>
          <w:lang w:val="en-US"/>
        </w:rPr>
        <w:t>)</w:t>
      </w:r>
      <w:r w:rsidR="00A64360" w:rsidRPr="00A64360">
        <w:rPr>
          <w:rFonts w:eastAsiaTheme="minorEastAsia"/>
          <w:lang w:val="en-US"/>
        </w:rPr>
        <w:t xml:space="preserve"> belonging to region </w:t>
      </w:r>
      <w:r w:rsidR="00F35954">
        <w:rPr>
          <w:rFonts w:eastAsiaTheme="minorEastAsia"/>
          <w:lang w:val="en-US"/>
        </w:rPr>
        <w:t>(</w:t>
      </w:r>
      <w:r w:rsidR="00A64360" w:rsidRPr="00A64360">
        <w:rPr>
          <w:rFonts w:eastAsiaTheme="minorEastAsia"/>
          <w:lang w:val="en-US"/>
        </w:rPr>
        <w:t>r</w:t>
      </w:r>
      <w:r w:rsidR="00F35954">
        <w:rPr>
          <w:rFonts w:eastAsiaTheme="minorEastAsia"/>
          <w:lang w:val="en-US"/>
        </w:rPr>
        <w:t>)</w:t>
      </w:r>
      <w:commentRangeEnd w:id="2"/>
      <w:r w:rsidR="00F35954">
        <w:rPr>
          <w:rStyle w:val="Marquedecommentaire"/>
        </w:rPr>
        <w:commentReference w:id="2"/>
      </w:r>
      <w:commentRangeEnd w:id="3"/>
      <w:r w:rsidR="006D191D">
        <w:rPr>
          <w:rStyle w:val="Marquedecommentaire"/>
        </w:rPr>
        <w:commentReference w:id="3"/>
      </w:r>
      <w:commentRangeEnd w:id="4"/>
      <w:r w:rsidR="006D191D">
        <w:rPr>
          <w:rStyle w:val="Marquedecommentaire"/>
        </w:rPr>
        <w:commentReference w:id="4"/>
      </w:r>
    </w:p>
    <w:p w14:paraId="34A4280A" w14:textId="4E92206F" w:rsidR="00A64360" w:rsidRPr="00E12DC1" w:rsidRDefault="00A64360" w:rsidP="00A64360">
      <w:pPr>
        <w:rPr>
          <w:rFonts w:eastAsiaTheme="minorEastAsia"/>
          <w:lang w:val="en-US"/>
        </w:rPr>
      </w:pPr>
      <m:oMath>
        <m:r>
          <w:rPr>
            <w:rFonts w:ascii="Cambria Math" w:hAnsi="Cambria Math"/>
          </w:rPr>
          <m:t>pon</m:t>
        </m:r>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lang w:val="en-US"/>
          </w:rPr>
          <m:t xml:space="preserve"> </m:t>
        </m:r>
      </m:oMath>
      <w:r w:rsidRPr="00E12DC1">
        <w:rPr>
          <w:rFonts w:eastAsiaTheme="minorEastAsia"/>
          <w:lang w:val="en-US"/>
        </w:rPr>
        <w:t xml:space="preserve">: </w:t>
      </w:r>
      <w:r w:rsidR="00E12DC1" w:rsidRPr="00E12DC1">
        <w:rPr>
          <w:rFonts w:eastAsiaTheme="minorEastAsia"/>
          <w:lang w:val="en-US"/>
        </w:rPr>
        <w:t xml:space="preserve">weight of individual </w:t>
      </w:r>
      <w:r w:rsidR="00F35954">
        <w:rPr>
          <w:rFonts w:eastAsiaTheme="minorEastAsia"/>
          <w:lang w:val="en-US"/>
        </w:rPr>
        <w:t>(</w:t>
      </w:r>
      <w:proofErr w:type="spellStart"/>
      <w:r w:rsidR="00E12DC1" w:rsidRPr="00E12DC1">
        <w:rPr>
          <w:rFonts w:eastAsiaTheme="minorEastAsia"/>
          <w:lang w:val="en-US"/>
        </w:rPr>
        <w:t>i</w:t>
      </w:r>
      <w:proofErr w:type="spellEnd"/>
      <w:r w:rsidR="00F35954">
        <w:rPr>
          <w:rFonts w:eastAsiaTheme="minorEastAsia"/>
          <w:lang w:val="en-US"/>
        </w:rPr>
        <w:t>)</w:t>
      </w:r>
      <w:r w:rsidR="00E12DC1" w:rsidRPr="00E12DC1">
        <w:rPr>
          <w:rFonts w:eastAsiaTheme="minorEastAsia"/>
          <w:lang w:val="en-US"/>
        </w:rPr>
        <w:t xml:space="preserve"> belonging to region </w:t>
      </w:r>
      <w:r w:rsidR="00F35954">
        <w:rPr>
          <w:rFonts w:eastAsiaTheme="minorEastAsia"/>
          <w:lang w:val="en-US"/>
        </w:rPr>
        <w:t>(</w:t>
      </w:r>
      <w:r w:rsidR="00E12DC1" w:rsidRPr="00E12DC1">
        <w:rPr>
          <w:rFonts w:eastAsiaTheme="minorEastAsia"/>
          <w:lang w:val="en-US"/>
        </w:rPr>
        <w:t>r</w:t>
      </w:r>
      <w:r w:rsidR="00F35954">
        <w:rPr>
          <w:rFonts w:eastAsiaTheme="minorEastAsia"/>
          <w:lang w:val="en-US"/>
        </w:rPr>
        <w:t>)</w:t>
      </w:r>
    </w:p>
    <w:p w14:paraId="18A0D6FC" w14:textId="6036F917" w:rsidR="00A64360" w:rsidRDefault="0008521F" w:rsidP="00A64360">
      <w:pPr>
        <w:rPr>
          <w:rFonts w:eastAsiaTheme="minorEastAsia"/>
          <w:lang w:val="en-US"/>
        </w:rPr>
      </w:pP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lang w:val="en-US"/>
          </w:rPr>
          <m:t xml:space="preserve"> </m:t>
        </m:r>
      </m:oMath>
      <w:r w:rsidR="00A64360" w:rsidRPr="00E12DC1">
        <w:rPr>
          <w:rFonts w:eastAsiaTheme="minorEastAsia"/>
          <w:lang w:val="en-US"/>
        </w:rPr>
        <w:t xml:space="preserve">: </w:t>
      </w:r>
      <w:r w:rsidR="00E12DC1" w:rsidRPr="00E12DC1">
        <w:rPr>
          <w:rFonts w:eastAsiaTheme="minorEastAsia"/>
          <w:lang w:val="en-US"/>
        </w:rPr>
        <w:t xml:space="preserve">number of individuals in region </w:t>
      </w:r>
      <w:r w:rsidR="00F35954">
        <w:rPr>
          <w:rFonts w:eastAsiaTheme="minorEastAsia"/>
          <w:lang w:val="en-US"/>
        </w:rPr>
        <w:t>(</w:t>
      </w:r>
      <w:r w:rsidR="00E12DC1" w:rsidRPr="00E12DC1">
        <w:rPr>
          <w:rFonts w:eastAsiaTheme="minorEastAsia"/>
          <w:lang w:val="en-US"/>
        </w:rPr>
        <w:t>r</w:t>
      </w:r>
      <w:r w:rsidR="00F35954">
        <w:rPr>
          <w:rFonts w:eastAsiaTheme="minorEastAsia"/>
          <w:lang w:val="en-US"/>
        </w:rPr>
        <w:t>)</w:t>
      </w:r>
    </w:p>
    <w:p w14:paraId="6CF93675" w14:textId="3B9F8BC3" w:rsidR="00297C0B" w:rsidRPr="00A65721" w:rsidRDefault="00297C0B" w:rsidP="00297C0B">
      <w:pPr>
        <w:pStyle w:val="Paragraphedeliste"/>
        <w:numPr>
          <w:ilvl w:val="1"/>
          <w:numId w:val="2"/>
        </w:numPr>
        <w:rPr>
          <w:sz w:val="24"/>
          <w:szCs w:val="24"/>
          <w:lang w:val="en-US"/>
        </w:rPr>
      </w:pPr>
      <w:r w:rsidRPr="00A65721">
        <w:rPr>
          <w:sz w:val="24"/>
          <w:szCs w:val="24"/>
          <w:lang w:val="en-US"/>
        </w:rPr>
        <w:t xml:space="preserve">Calculation of average consumption per food item per region </w:t>
      </w:r>
      <w:r w:rsidRPr="00A65721">
        <w:rPr>
          <w:b/>
          <w:bCs/>
          <w:i/>
          <w:iCs/>
          <w:sz w:val="24"/>
          <w:szCs w:val="24"/>
          <w:lang w:val="en-US"/>
        </w:rPr>
        <w:t>(entire population</w:t>
      </w:r>
      <w:r w:rsidR="00BD714E">
        <w:rPr>
          <w:b/>
          <w:bCs/>
          <w:i/>
          <w:iCs/>
          <w:sz w:val="24"/>
          <w:szCs w:val="24"/>
          <w:lang w:val="en-US"/>
        </w:rPr>
        <w:t xml:space="preserve"> i.e., </w:t>
      </w:r>
      <w:r w:rsidR="00221341">
        <w:rPr>
          <w:b/>
          <w:bCs/>
          <w:i/>
          <w:iCs/>
          <w:sz w:val="24"/>
          <w:szCs w:val="24"/>
          <w:lang w:val="en-US"/>
        </w:rPr>
        <w:t xml:space="preserve">including </w:t>
      </w:r>
      <w:r w:rsidR="00BD714E">
        <w:rPr>
          <w:b/>
          <w:bCs/>
          <w:i/>
          <w:iCs/>
          <w:sz w:val="24"/>
          <w:szCs w:val="24"/>
          <w:lang w:val="en-US"/>
        </w:rPr>
        <w:t>Children-Adolescent; Adults and old adults</w:t>
      </w:r>
      <w:r w:rsidRPr="00A65721">
        <w:rPr>
          <w:b/>
          <w:bCs/>
          <w:i/>
          <w:iCs/>
          <w:sz w:val="24"/>
          <w:szCs w:val="24"/>
          <w:lang w:val="en-US"/>
        </w:rPr>
        <w:t>)</w:t>
      </w:r>
    </w:p>
    <w:p w14:paraId="3EA413C4" w14:textId="54940709" w:rsidR="00297C0B" w:rsidRPr="00A65721" w:rsidRDefault="00297C0B" w:rsidP="00D64E9C">
      <w:pPr>
        <w:pStyle w:val="Paragraphedeliste"/>
        <w:numPr>
          <w:ilvl w:val="2"/>
          <w:numId w:val="2"/>
        </w:numPr>
        <w:spacing w:before="240"/>
        <w:rPr>
          <w:rFonts w:eastAsiaTheme="minorEastAsia"/>
          <w:sz w:val="24"/>
          <w:szCs w:val="24"/>
          <w:lang w:val="en-US"/>
        </w:rPr>
      </w:pPr>
      <w:r w:rsidRPr="00A65721">
        <w:rPr>
          <w:rFonts w:eastAsiaTheme="minorEastAsia"/>
          <w:sz w:val="24"/>
          <w:szCs w:val="24"/>
          <w:lang w:val="en-US"/>
        </w:rPr>
        <w:t>Consumption of other sub-populations relative to adult consumption</w:t>
      </w:r>
    </w:p>
    <w:p w14:paraId="4DDEC05B" w14:textId="1666C0E3" w:rsidR="00297C0B" w:rsidRDefault="00297C0B" w:rsidP="008029D3">
      <w:pPr>
        <w:rPr>
          <w:rFonts w:eastAsiaTheme="minorEastAsia"/>
          <w:lang w:val="en-US"/>
        </w:rPr>
      </w:pPr>
      <w:r w:rsidRPr="00297C0B">
        <w:rPr>
          <w:rFonts w:eastAsiaTheme="minorEastAsia"/>
          <w:lang w:val="en-US"/>
        </w:rPr>
        <w:t>We calculate the average energy requirements for each sub-population (children</w:t>
      </w:r>
      <w:r w:rsidR="00F35954">
        <w:rPr>
          <w:rFonts w:eastAsiaTheme="minorEastAsia"/>
          <w:lang w:val="en-US"/>
        </w:rPr>
        <w:t>-</w:t>
      </w:r>
      <w:r>
        <w:rPr>
          <w:rFonts w:eastAsiaTheme="minorEastAsia"/>
          <w:lang w:val="en-US"/>
        </w:rPr>
        <w:t>adolescent (1-17 years)</w:t>
      </w:r>
      <w:r w:rsidRPr="00297C0B">
        <w:rPr>
          <w:rFonts w:eastAsiaTheme="minorEastAsia"/>
          <w:lang w:val="en-US"/>
        </w:rPr>
        <w:t>, young adults</w:t>
      </w:r>
      <w:r>
        <w:rPr>
          <w:rFonts w:eastAsiaTheme="minorEastAsia"/>
          <w:lang w:val="en-US"/>
        </w:rPr>
        <w:t xml:space="preserve"> (18-65 years)</w:t>
      </w:r>
      <w:r w:rsidRPr="00297C0B">
        <w:rPr>
          <w:rFonts w:eastAsiaTheme="minorEastAsia"/>
          <w:lang w:val="en-US"/>
        </w:rPr>
        <w:t>, older adults</w:t>
      </w:r>
      <w:r>
        <w:rPr>
          <w:rFonts w:eastAsiaTheme="minorEastAsia"/>
          <w:lang w:val="en-US"/>
        </w:rPr>
        <w:t xml:space="preserve"> (+65 years)</w:t>
      </w:r>
      <w:r w:rsidRPr="00297C0B">
        <w:rPr>
          <w:rFonts w:eastAsiaTheme="minorEastAsia"/>
          <w:lang w:val="en-US"/>
        </w:rPr>
        <w:t xml:space="preserve">) and then the ratio compared to the needs of young adults (see </w:t>
      </w:r>
      <w:r w:rsidR="00BD714E">
        <w:rPr>
          <w:rFonts w:eastAsiaTheme="minorEastAsia"/>
          <w:lang w:val="en-US"/>
        </w:rPr>
        <w:t>E</w:t>
      </w:r>
      <w:r w:rsidRPr="00297C0B">
        <w:rPr>
          <w:rFonts w:eastAsiaTheme="minorEastAsia"/>
          <w:lang w:val="en-US"/>
        </w:rPr>
        <w:t>nergy requirements by sub-population.csv).</w:t>
      </w:r>
    </w:p>
    <w:p w14:paraId="7F028E57" w14:textId="77777777" w:rsidR="00A81278" w:rsidRPr="00297C0B" w:rsidRDefault="00A81278" w:rsidP="008029D3">
      <w:pPr>
        <w:rPr>
          <w:rFonts w:eastAsiaTheme="minorEastAsia"/>
          <w:lang w:val="en-US"/>
        </w:rPr>
      </w:pPr>
    </w:p>
    <w:tbl>
      <w:tblPr>
        <w:tblW w:w="5325" w:type="dxa"/>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632"/>
        <w:gridCol w:w="2693"/>
      </w:tblGrid>
      <w:tr w:rsidR="00297C0B" w:rsidRPr="00D64E9C" w14:paraId="489637FB" w14:textId="77777777" w:rsidTr="00D64E9C">
        <w:trPr>
          <w:trHeight w:val="302"/>
          <w:jc w:val="center"/>
        </w:trPr>
        <w:tc>
          <w:tcPr>
            <w:tcW w:w="26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0B7465C" w14:textId="77777777" w:rsidR="00297C0B" w:rsidRPr="00F62873" w:rsidRDefault="00297C0B" w:rsidP="008029D3">
            <w:pPr>
              <w:spacing w:after="0" w:line="240" w:lineRule="auto"/>
            </w:pPr>
            <w:r w:rsidRPr="00F62873">
              <w:lastRenderedPageBreak/>
              <w:t>Population</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BF81DA7" w14:textId="250C9172" w:rsidR="00297C0B" w:rsidRPr="00297C0B" w:rsidRDefault="00297C0B" w:rsidP="008029D3">
            <w:pPr>
              <w:spacing w:after="0" w:line="240" w:lineRule="auto"/>
              <w:rPr>
                <w:lang w:val="en-US"/>
              </w:rPr>
            </w:pPr>
            <w:r w:rsidRPr="00297C0B">
              <w:rPr>
                <w:lang w:val="en-US"/>
              </w:rPr>
              <w:t>Report to young adults r</w:t>
            </w:r>
            <w:r>
              <w:rPr>
                <w:lang w:val="en-US"/>
              </w:rPr>
              <w:t>equired energy</w:t>
            </w:r>
          </w:p>
        </w:tc>
      </w:tr>
      <w:tr w:rsidR="00297C0B" w:rsidRPr="00F62873" w14:paraId="6B87A8EC" w14:textId="77777777" w:rsidTr="00D64E9C">
        <w:trPr>
          <w:jc w:val="center"/>
        </w:trPr>
        <w:tc>
          <w:tcPr>
            <w:tcW w:w="26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5EE6762" w14:textId="4B6DCDA1" w:rsidR="00297C0B" w:rsidRPr="00F62873" w:rsidRDefault="00297C0B" w:rsidP="008029D3">
            <w:pPr>
              <w:spacing w:after="0" w:line="240" w:lineRule="auto"/>
            </w:pPr>
            <w:r>
              <w:rPr>
                <w:rFonts w:eastAsiaTheme="minorEastAsia"/>
                <w:lang w:val="en-US"/>
              </w:rPr>
              <w:t>C</w:t>
            </w:r>
            <w:r w:rsidRPr="00297C0B">
              <w:rPr>
                <w:rFonts w:eastAsiaTheme="minorEastAsia"/>
                <w:lang w:val="en-US"/>
              </w:rPr>
              <w:t>hildren</w:t>
            </w:r>
            <w:r>
              <w:rPr>
                <w:rFonts w:eastAsiaTheme="minorEastAsia"/>
                <w:lang w:val="en-US"/>
              </w:rPr>
              <w:t xml:space="preserve"> &amp; Adolescent</w:t>
            </w:r>
            <w:r w:rsidRPr="00F62873">
              <w:t xml:space="preserve"> (1-17 ans)</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DA5C51C" w14:textId="12CD240D" w:rsidR="00297C0B" w:rsidRPr="00F62873" w:rsidRDefault="00297C0B" w:rsidP="008029D3">
            <w:pPr>
              <w:spacing w:after="0" w:line="240" w:lineRule="auto"/>
            </w:pPr>
            <w:r w:rsidRPr="00F62873">
              <w:t>0,78 (</w:t>
            </w:r>
            <m:oMath>
              <m:sSub>
                <m:sSubPr>
                  <m:ctrlPr>
                    <w:rPr>
                      <w:rFonts w:ascii="Cambria Math" w:hAnsi="Cambria Math"/>
                      <w:i/>
                    </w:rPr>
                  </m:ctrlPr>
                </m:sSubPr>
                <m:e>
                  <m:r>
                    <w:rPr>
                      <w:rFonts w:ascii="Cambria Math" w:hAnsi="Cambria Math"/>
                    </w:rPr>
                    <m:t>B</m:t>
                  </m:r>
                </m:e>
                <m:sub>
                  <m:r>
                    <w:rPr>
                      <w:rFonts w:ascii="Cambria Math" w:hAnsi="Cambria Math"/>
                    </w:rPr>
                    <m:t>child</m:t>
                  </m:r>
                </m:sub>
              </m:sSub>
            </m:oMath>
            <w:r w:rsidRPr="00F62873">
              <w:rPr>
                <w:rFonts w:eastAsiaTheme="minorEastAsia"/>
              </w:rPr>
              <w:t>)</w:t>
            </w:r>
          </w:p>
        </w:tc>
      </w:tr>
      <w:tr w:rsidR="00297C0B" w:rsidRPr="00F62873" w14:paraId="7043E0B5" w14:textId="77777777" w:rsidTr="00D64E9C">
        <w:trPr>
          <w:jc w:val="center"/>
        </w:trPr>
        <w:tc>
          <w:tcPr>
            <w:tcW w:w="26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E685933" w14:textId="5A631A5F" w:rsidR="00297C0B" w:rsidRPr="00F62873" w:rsidRDefault="00297C0B" w:rsidP="008029D3">
            <w:pPr>
              <w:spacing w:after="0" w:line="240" w:lineRule="auto"/>
            </w:pPr>
            <w:r>
              <w:rPr>
                <w:rFonts w:eastAsiaTheme="minorEastAsia"/>
                <w:lang w:val="en-US"/>
              </w:rPr>
              <w:t>Y</w:t>
            </w:r>
            <w:r w:rsidRPr="00297C0B">
              <w:rPr>
                <w:rFonts w:eastAsiaTheme="minorEastAsia"/>
                <w:lang w:val="en-US"/>
              </w:rPr>
              <w:t>oung adults</w:t>
            </w:r>
            <w:r>
              <w:rPr>
                <w:rFonts w:eastAsiaTheme="minorEastAsia"/>
                <w:lang w:val="en-US"/>
              </w:rPr>
              <w:t xml:space="preserve"> </w:t>
            </w:r>
            <w:r w:rsidRPr="00F62873">
              <w:t>(18-65 ans)</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C5F54C4" w14:textId="77777777" w:rsidR="00297C0B" w:rsidRPr="00F62873" w:rsidRDefault="00297C0B" w:rsidP="008029D3">
            <w:pPr>
              <w:spacing w:after="0" w:line="240" w:lineRule="auto"/>
            </w:pPr>
            <w:r w:rsidRPr="00F62873">
              <w:t>1,00</w:t>
            </w:r>
          </w:p>
        </w:tc>
      </w:tr>
      <w:tr w:rsidR="00297C0B" w:rsidRPr="00F62873" w14:paraId="7C371F48" w14:textId="77777777" w:rsidTr="00D64E9C">
        <w:trPr>
          <w:jc w:val="center"/>
        </w:trPr>
        <w:tc>
          <w:tcPr>
            <w:tcW w:w="26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710632E" w14:textId="37C57748" w:rsidR="00297C0B" w:rsidRPr="00F62873" w:rsidRDefault="00297C0B" w:rsidP="008029D3">
            <w:pPr>
              <w:spacing w:after="0" w:line="240" w:lineRule="auto"/>
            </w:pPr>
            <w:proofErr w:type="spellStart"/>
            <w:r>
              <w:t>O</w:t>
            </w:r>
            <w:r w:rsidRPr="00297C0B">
              <w:t>lder</w:t>
            </w:r>
            <w:proofErr w:type="spellEnd"/>
            <w:r w:rsidRPr="00297C0B">
              <w:t xml:space="preserve"> </w:t>
            </w:r>
            <w:proofErr w:type="spellStart"/>
            <w:r w:rsidRPr="00297C0B">
              <w:t>adults</w:t>
            </w:r>
            <w:proofErr w:type="spellEnd"/>
            <w:r w:rsidRPr="00297C0B">
              <w:t xml:space="preserve"> </w:t>
            </w:r>
            <w:r w:rsidRPr="00F62873">
              <w:t>(66 ans et +)</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76FEF2B" w14:textId="50F7AA73" w:rsidR="00297C0B" w:rsidRPr="00F62873" w:rsidRDefault="00297C0B" w:rsidP="008029D3">
            <w:pPr>
              <w:spacing w:after="0" w:line="240" w:lineRule="auto"/>
            </w:pPr>
            <w:r w:rsidRPr="00F62873">
              <w:t>0,91 (</w:t>
            </w:r>
            <m:oMath>
              <m:sSub>
                <m:sSubPr>
                  <m:ctrlPr>
                    <w:rPr>
                      <w:rFonts w:ascii="Cambria Math" w:hAnsi="Cambria Math"/>
                      <w:i/>
                    </w:rPr>
                  </m:ctrlPr>
                </m:sSubPr>
                <m:e>
                  <m:r>
                    <w:rPr>
                      <w:rFonts w:ascii="Cambria Math" w:hAnsi="Cambria Math"/>
                    </w:rPr>
                    <m:t>B</m:t>
                  </m:r>
                </m:e>
                <m:sub>
                  <m:r>
                    <w:rPr>
                      <w:rFonts w:ascii="Cambria Math" w:hAnsi="Cambria Math"/>
                    </w:rPr>
                    <m:t>old</m:t>
                  </m:r>
                </m:sub>
              </m:sSub>
            </m:oMath>
            <w:r w:rsidRPr="00F62873">
              <w:rPr>
                <w:rFonts w:eastAsiaTheme="minorEastAsia"/>
              </w:rPr>
              <w:t>)</w:t>
            </w:r>
          </w:p>
        </w:tc>
      </w:tr>
    </w:tbl>
    <w:p w14:paraId="09412A50" w14:textId="77777777" w:rsidR="00A64360" w:rsidRPr="00297C0B" w:rsidRDefault="00A64360" w:rsidP="00A64360">
      <w:pPr>
        <w:rPr>
          <w:rFonts w:eastAsiaTheme="minorEastAsia"/>
          <w:lang w:val="en-US"/>
        </w:rPr>
      </w:pPr>
    </w:p>
    <w:p w14:paraId="004F4769" w14:textId="0C3CABB1" w:rsidR="008029D3" w:rsidRPr="00A65721" w:rsidRDefault="00072E06" w:rsidP="008029D3">
      <w:pPr>
        <w:pStyle w:val="Paragraphedeliste"/>
        <w:numPr>
          <w:ilvl w:val="2"/>
          <w:numId w:val="2"/>
        </w:numPr>
        <w:rPr>
          <w:sz w:val="24"/>
          <w:szCs w:val="24"/>
          <w:lang w:val="en-US"/>
        </w:rPr>
      </w:pPr>
      <w:r w:rsidRPr="00A65721">
        <w:rPr>
          <w:sz w:val="24"/>
          <w:szCs w:val="24"/>
          <w:lang w:val="en-US"/>
        </w:rPr>
        <w:t>Proportion of sub-populations within the total population</w:t>
      </w:r>
    </w:p>
    <w:p w14:paraId="3C688D87" w14:textId="77777777" w:rsidR="00072E06" w:rsidRPr="00072E06" w:rsidRDefault="00072E06" w:rsidP="00072E06">
      <w:pPr>
        <w:rPr>
          <w:lang w:val="en-US"/>
        </w:rPr>
      </w:pPr>
      <w:r w:rsidRPr="00072E06">
        <w:rPr>
          <w:lang w:val="en-US"/>
        </w:rPr>
        <w:t>We use data from INSEE (see pop demog.csv):</w:t>
      </w:r>
    </w:p>
    <w:p w14:paraId="120A3CCD" w14:textId="4B3D49A4" w:rsidR="00072E06" w:rsidRPr="00072E06" w:rsidRDefault="00072E06" w:rsidP="00072E06">
      <w:pPr>
        <w:pStyle w:val="Paragraphedeliste"/>
        <w:numPr>
          <w:ilvl w:val="0"/>
          <w:numId w:val="4"/>
        </w:numPr>
        <w:rPr>
          <w:i/>
          <w:iCs/>
          <w:u w:val="single"/>
          <w:lang w:val="en-US"/>
        </w:rPr>
      </w:pPr>
      <w:r w:rsidRPr="00072E06">
        <w:rPr>
          <w:i/>
          <w:iCs/>
          <w:u w:val="single"/>
          <w:lang w:val="en-US"/>
        </w:rPr>
        <w:t>The proportion of each sub-population within each region (</w:t>
      </w:r>
      <m:oMath>
        <m:sSub>
          <m:sSubPr>
            <m:ctrlPr>
              <w:rPr>
                <w:rFonts w:ascii="Cambria Math" w:hAnsi="Cambria Math" w:cs="Calibri"/>
                <w:i/>
                <w:iCs/>
                <w:u w:val="single"/>
                <w:lang w:val=""/>
              </w:rPr>
            </m:ctrlPr>
          </m:sSubPr>
          <m:e>
            <m:r>
              <w:rPr>
                <w:rFonts w:ascii="Cambria Math" w:hAnsi="Cambria Math" w:cs="Calibri"/>
                <w:u w:val="single"/>
                <w:lang w:val=""/>
              </w:rPr>
              <m:t>P</m:t>
            </m:r>
          </m:e>
          <m:sub>
            <m:r>
              <w:rPr>
                <w:rFonts w:ascii="Cambria Math" w:hAnsi="Cambria Math" w:cs="Calibri"/>
                <w:u w:val="single"/>
                <w:lang w:val=""/>
              </w:rPr>
              <m:t>radu</m:t>
            </m:r>
          </m:sub>
        </m:sSub>
        <m:r>
          <w:rPr>
            <w:rFonts w:ascii="Cambria Math" w:hAnsi="Cambria Math" w:cs="Calibri"/>
            <w:u w:val="single"/>
            <w:lang w:val=""/>
          </w:rPr>
          <m:t xml:space="preserve">, </m:t>
        </m:r>
        <m:sSub>
          <m:sSubPr>
            <m:ctrlPr>
              <w:rPr>
                <w:rFonts w:ascii="Cambria Math" w:hAnsi="Cambria Math" w:cs="Calibri"/>
                <w:i/>
                <w:iCs/>
                <w:u w:val="single"/>
                <w:lang w:val=""/>
              </w:rPr>
            </m:ctrlPr>
          </m:sSubPr>
          <m:e>
            <m:r>
              <w:rPr>
                <w:rFonts w:ascii="Cambria Math" w:hAnsi="Cambria Math" w:cs="Calibri"/>
                <w:u w:val="single"/>
                <w:lang w:val=""/>
              </w:rPr>
              <m:t>P</m:t>
            </m:r>
          </m:e>
          <m:sub>
            <m:r>
              <w:rPr>
                <w:rFonts w:ascii="Cambria Math" w:hAnsi="Cambria Math" w:cs="Calibri"/>
                <w:u w:val="single"/>
                <w:lang w:val=""/>
              </w:rPr>
              <m:t>rchild</m:t>
            </m:r>
          </m:sub>
        </m:sSub>
        <m:r>
          <w:rPr>
            <w:rFonts w:ascii="Cambria Math" w:hAnsi="Cambria Math" w:cs="Calibri"/>
            <w:u w:val="single"/>
            <w:lang w:val=""/>
          </w:rPr>
          <m:t xml:space="preserve"> et </m:t>
        </m:r>
        <m:sSub>
          <m:sSubPr>
            <m:ctrlPr>
              <w:rPr>
                <w:rFonts w:ascii="Cambria Math" w:hAnsi="Cambria Math" w:cs="Calibri"/>
                <w:i/>
                <w:iCs/>
                <w:u w:val="single"/>
                <w:lang w:val=""/>
              </w:rPr>
            </m:ctrlPr>
          </m:sSubPr>
          <m:e>
            <m:r>
              <w:rPr>
                <w:rFonts w:ascii="Cambria Math" w:hAnsi="Cambria Math" w:cs="Calibri"/>
                <w:u w:val="single"/>
                <w:lang w:val=""/>
              </w:rPr>
              <m:t>P</m:t>
            </m:r>
          </m:e>
          <m:sub>
            <m:r>
              <w:rPr>
                <w:rFonts w:ascii="Cambria Math" w:hAnsi="Cambria Math" w:cs="Calibri"/>
                <w:u w:val="single"/>
                <w:lang w:val=""/>
              </w:rPr>
              <m:t>rold</m:t>
            </m:r>
          </m:sub>
        </m:sSub>
      </m:oMath>
      <w:r w:rsidRPr="00072E06">
        <w:rPr>
          <w:rFonts w:eastAsiaTheme="minorEastAsia"/>
          <w:i/>
          <w:iCs/>
          <w:u w:val="single"/>
          <w:lang w:val=""/>
        </w:rPr>
        <w:t>)</w:t>
      </w:r>
      <w:r w:rsidRPr="00072E06">
        <w:rPr>
          <w:i/>
          <w:iCs/>
          <w:u w:val="single"/>
          <w:lang w:val="en-US"/>
        </w:rPr>
        <w:t>.</w:t>
      </w:r>
    </w:p>
    <w:p w14:paraId="68259356" w14:textId="00220E81" w:rsidR="00072E06" w:rsidRPr="00072E06" w:rsidRDefault="00072E06" w:rsidP="00072E06">
      <w:pPr>
        <w:rPr>
          <w:lang w:val="en-US"/>
        </w:rPr>
      </w:pPr>
      <w:r w:rsidRPr="00072E06">
        <w:rPr>
          <w:b/>
          <w:bCs/>
          <w:lang w:val="en-US"/>
        </w:rPr>
        <w:t>We calculate the average consumption of a</w:t>
      </w:r>
      <w:r>
        <w:rPr>
          <w:b/>
          <w:bCs/>
          <w:lang w:val="en-US"/>
        </w:rPr>
        <w:t xml:space="preserve"> mean</w:t>
      </w:r>
      <w:r w:rsidRPr="00072E06">
        <w:rPr>
          <w:b/>
          <w:bCs/>
          <w:lang w:val="en-US"/>
        </w:rPr>
        <w:t xml:space="preserve"> individu</w:t>
      </w:r>
      <w:r>
        <w:rPr>
          <w:b/>
          <w:bCs/>
          <w:lang w:val="en-US"/>
        </w:rPr>
        <w:t>al</w:t>
      </w:r>
      <w:r w:rsidRPr="00072E06">
        <w:rPr>
          <w:b/>
          <w:bCs/>
          <w:lang w:val="en-US"/>
        </w:rPr>
        <w:t xml:space="preserve"> </w:t>
      </w:r>
      <w:r w:rsidR="00D64E9C">
        <w:rPr>
          <w:b/>
          <w:bCs/>
          <w:lang w:val="en-US"/>
        </w:rPr>
        <w:t xml:space="preserve">representative </w:t>
      </w:r>
      <w:r w:rsidRPr="00072E06">
        <w:rPr>
          <w:b/>
          <w:bCs/>
          <w:lang w:val="en-US"/>
        </w:rPr>
        <w:t>of the population in each</w:t>
      </w:r>
      <w:r w:rsidRPr="00072E06">
        <w:rPr>
          <w:lang w:val="en-US"/>
        </w:rPr>
        <w:t xml:space="preserve"> region based on the quantities consumed by adults, the consumption ratio of the sub-populations, and the proportion of each sub-population within each region </w:t>
      </w:r>
      <w:r w:rsidRPr="00072E06">
        <w:rPr>
          <w:b/>
          <w:bCs/>
          <w:lang w:val="en-US"/>
        </w:rPr>
        <w:t>(in g/day/region for each food item)</w:t>
      </w:r>
      <w:r w:rsidRPr="00072E06">
        <w:rPr>
          <w:lang w:val="en-US"/>
        </w:rPr>
        <w:t>.</w:t>
      </w:r>
    </w:p>
    <w:p w14:paraId="657C15F5" w14:textId="1A6AF6E8" w:rsidR="008029D3" w:rsidRPr="00F62873" w:rsidRDefault="0008521F" w:rsidP="008029D3">
      <w:pPr>
        <w:rPr>
          <w:rFonts w:eastAsiaTheme="minorEastAsia"/>
          <w:iCs/>
          <w:lang w:val=""/>
        </w:rPr>
      </w:pPr>
      <m:oMathPara>
        <m:oMath>
          <m:sSub>
            <m:sSubPr>
              <m:ctrlPr>
                <w:rPr>
                  <w:rFonts w:ascii="Cambria Math" w:hAnsi="Cambria Math" w:cs="Calibri"/>
                  <w:lang w:val=""/>
                </w:rPr>
              </m:ctrlPr>
            </m:sSubPr>
            <m:e>
              <m:r>
                <w:rPr>
                  <w:rFonts w:ascii="Cambria Math" w:hAnsi="Cambria Math" w:cs="Calibri"/>
                  <w:lang w:val=""/>
                </w:rPr>
                <m:t>Q</m:t>
              </m:r>
            </m:e>
            <m:sub>
              <m:r>
                <w:rPr>
                  <w:rFonts w:ascii="Cambria Math" w:hAnsi="Cambria Math" w:cs="Calibri"/>
                  <w:lang w:val=""/>
                </w:rPr>
                <m:t>rjm</m:t>
              </m:r>
            </m:sub>
          </m:sSub>
          <m:r>
            <m:rPr>
              <m:sty m:val="p"/>
            </m:rPr>
            <w:rPr>
              <w:rFonts w:ascii="Cambria Math" w:hAnsi="Cambria Math" w:cs="Calibri"/>
              <w:lang w:val=""/>
            </w:rPr>
            <m:t>=</m:t>
          </m:r>
          <m:sSub>
            <m:sSubPr>
              <m:ctrlPr>
                <w:rPr>
                  <w:rFonts w:ascii="Cambria Math" w:hAnsi="Cambria Math" w:cs="Calibri"/>
                  <w:lang w:val=""/>
                </w:rPr>
              </m:ctrlPr>
            </m:sSubPr>
            <m:e>
              <m:r>
                <w:rPr>
                  <w:rFonts w:ascii="Cambria Math" w:hAnsi="Cambria Math" w:cs="Calibri"/>
                  <w:lang w:val=""/>
                </w:rPr>
                <m:t>Q</m:t>
              </m:r>
            </m:e>
            <m:sub>
              <m:r>
                <w:rPr>
                  <w:rFonts w:ascii="Cambria Math" w:hAnsi="Cambria Math" w:cs="Calibri"/>
                  <w:lang w:val=""/>
                </w:rPr>
                <m:t>rj</m:t>
              </m:r>
            </m:sub>
          </m:sSub>
          <m:r>
            <m:rPr>
              <m:sty m:val="p"/>
            </m:rPr>
            <w:rPr>
              <w:rFonts w:ascii="Cambria Math" w:hAnsi="Cambria Math" w:cs="Calibri"/>
              <w:lang w:val=""/>
            </w:rPr>
            <m:t>*</m:t>
          </m:r>
          <m:sSub>
            <m:sSubPr>
              <m:ctrlPr>
                <w:rPr>
                  <w:rFonts w:ascii="Cambria Math" w:hAnsi="Cambria Math" w:cs="Calibri"/>
                  <w:i/>
                  <w:iCs/>
                  <w:lang w:val=""/>
                </w:rPr>
              </m:ctrlPr>
            </m:sSubPr>
            <m:e>
              <m:r>
                <w:rPr>
                  <w:rFonts w:ascii="Cambria Math" w:hAnsi="Cambria Math" w:cs="Calibri"/>
                  <w:lang w:val=""/>
                </w:rPr>
                <m:t>P</m:t>
              </m:r>
              <m:ctrlPr>
                <w:rPr>
                  <w:rFonts w:ascii="Cambria Math" w:hAnsi="Cambria Math" w:cs="Calibri"/>
                  <w:lang w:val=""/>
                </w:rPr>
              </m:ctrlPr>
            </m:e>
            <m:sub>
              <m:r>
                <w:rPr>
                  <w:rFonts w:ascii="Cambria Math" w:hAnsi="Cambria Math" w:cs="Calibri"/>
                  <w:lang w:val=""/>
                </w:rPr>
                <m:t>radu</m:t>
              </m:r>
            </m:sub>
          </m:sSub>
          <m:r>
            <m:rPr>
              <m:sty m:val="p"/>
            </m:rPr>
            <w:rPr>
              <w:rFonts w:ascii="Cambria Math" w:hAnsi="Cambria Math" w:cs="Calibri"/>
              <w:lang w:val=""/>
            </w:rPr>
            <m:t>+</m:t>
          </m:r>
          <m:sSub>
            <m:sSubPr>
              <m:ctrlPr>
                <w:rPr>
                  <w:rFonts w:ascii="Cambria Math" w:hAnsi="Cambria Math" w:cs="Calibri"/>
                  <w:lang w:val=""/>
                </w:rPr>
              </m:ctrlPr>
            </m:sSubPr>
            <m:e>
              <m:r>
                <w:rPr>
                  <w:rFonts w:ascii="Cambria Math" w:hAnsi="Cambria Math" w:cs="Calibri"/>
                  <w:lang w:val=""/>
                </w:rPr>
                <m:t>Q</m:t>
              </m:r>
            </m:e>
            <m:sub>
              <m:r>
                <w:rPr>
                  <w:rFonts w:ascii="Cambria Math" w:hAnsi="Cambria Math" w:cs="Calibri"/>
                  <w:lang w:val=""/>
                </w:rPr>
                <m:t>rj</m:t>
              </m:r>
            </m:sub>
          </m:sSub>
          <m:r>
            <m:rPr>
              <m:sty m:val="p"/>
            </m:rPr>
            <w:rPr>
              <w:rFonts w:ascii="Cambria Math" w:hAnsi="Cambria Math" w:cs="Calibri"/>
              <w:lang w:val=""/>
            </w:rPr>
            <m:t>*</m:t>
          </m:r>
          <m:sSub>
            <m:sSubPr>
              <m:ctrlPr>
                <w:rPr>
                  <w:rFonts w:ascii="Cambria Math" w:hAnsi="Cambria Math"/>
                  <w:i/>
                </w:rPr>
              </m:ctrlPr>
            </m:sSubPr>
            <m:e>
              <m:r>
                <w:rPr>
                  <w:rFonts w:ascii="Cambria Math" w:hAnsi="Cambria Math"/>
                </w:rPr>
                <m:t>B</m:t>
              </m:r>
            </m:e>
            <m:sub>
              <m:r>
                <w:rPr>
                  <w:rFonts w:ascii="Cambria Math" w:hAnsi="Cambria Math"/>
                </w:rPr>
                <m:t>child</m:t>
              </m:r>
            </m:sub>
          </m:sSub>
          <m:r>
            <w:rPr>
              <w:rFonts w:ascii="Cambria Math" w:hAnsi="Cambria Math" w:cs="Calibri"/>
              <w:lang w:val=""/>
            </w:rPr>
            <m:t>*</m:t>
          </m:r>
          <m:sSub>
            <m:sSubPr>
              <m:ctrlPr>
                <w:rPr>
                  <w:rFonts w:ascii="Cambria Math" w:hAnsi="Cambria Math" w:cs="Calibri"/>
                  <w:i/>
                  <w:iCs/>
                  <w:lang w:val=""/>
                </w:rPr>
              </m:ctrlPr>
            </m:sSubPr>
            <m:e>
              <m:r>
                <w:rPr>
                  <w:rFonts w:ascii="Cambria Math" w:hAnsi="Cambria Math" w:cs="Calibri"/>
                  <w:lang w:val=""/>
                </w:rPr>
                <m:t>P</m:t>
              </m:r>
            </m:e>
            <m:sub>
              <m:r>
                <w:rPr>
                  <w:rFonts w:ascii="Cambria Math" w:hAnsi="Cambria Math" w:cs="Calibri"/>
                  <w:lang w:val=""/>
                </w:rPr>
                <m:t>rchild</m:t>
              </m:r>
            </m:sub>
          </m:sSub>
          <m:r>
            <m:rPr>
              <m:sty m:val="p"/>
            </m:rPr>
            <w:rPr>
              <w:rFonts w:ascii="Cambria Math" w:hAnsi="Cambria Math" w:cs="Calibri"/>
              <w:lang w:val=""/>
            </w:rPr>
            <m:t>+</m:t>
          </m:r>
          <m:sSub>
            <m:sSubPr>
              <m:ctrlPr>
                <w:rPr>
                  <w:rFonts w:ascii="Cambria Math" w:hAnsi="Cambria Math" w:cs="Calibri"/>
                  <w:lang w:val=""/>
                </w:rPr>
              </m:ctrlPr>
            </m:sSubPr>
            <m:e>
              <m:r>
                <w:rPr>
                  <w:rFonts w:ascii="Cambria Math" w:hAnsi="Cambria Math" w:cs="Calibri"/>
                  <w:lang w:val=""/>
                </w:rPr>
                <m:t>Q</m:t>
              </m:r>
            </m:e>
            <m:sub>
              <m:r>
                <w:rPr>
                  <w:rFonts w:ascii="Cambria Math" w:hAnsi="Cambria Math" w:cs="Calibri"/>
                  <w:lang w:val=""/>
                </w:rPr>
                <m:t>rj</m:t>
              </m:r>
            </m:sub>
          </m:sSub>
          <m:r>
            <m:rPr>
              <m:sty m:val="p"/>
            </m:rPr>
            <w:rPr>
              <w:rFonts w:ascii="Cambria Math" w:hAnsi="Cambria Math" w:cs="Calibri"/>
              <w:lang w:val=""/>
            </w:rPr>
            <m:t>*</m:t>
          </m:r>
          <m:sSub>
            <m:sSubPr>
              <m:ctrlPr>
                <w:rPr>
                  <w:rFonts w:ascii="Cambria Math" w:hAnsi="Cambria Math"/>
                  <w:i/>
                </w:rPr>
              </m:ctrlPr>
            </m:sSubPr>
            <m:e>
              <m:r>
                <w:rPr>
                  <w:rFonts w:ascii="Cambria Math" w:hAnsi="Cambria Math"/>
                </w:rPr>
                <m:t>B</m:t>
              </m:r>
            </m:e>
            <m:sub>
              <m:r>
                <w:rPr>
                  <w:rFonts w:ascii="Cambria Math" w:hAnsi="Cambria Math"/>
                </w:rPr>
                <m:t>old</m:t>
              </m:r>
            </m:sub>
          </m:sSub>
          <m:r>
            <w:rPr>
              <w:rFonts w:ascii="Cambria Math" w:hAnsi="Cambria Math" w:cs="Calibri"/>
              <w:lang w:val=""/>
            </w:rPr>
            <m:t>*</m:t>
          </m:r>
          <m:sSub>
            <m:sSubPr>
              <m:ctrlPr>
                <w:rPr>
                  <w:rFonts w:ascii="Cambria Math" w:hAnsi="Cambria Math" w:cs="Calibri"/>
                  <w:i/>
                  <w:iCs/>
                  <w:lang w:val=""/>
                </w:rPr>
              </m:ctrlPr>
            </m:sSubPr>
            <m:e>
              <m:r>
                <w:rPr>
                  <w:rFonts w:ascii="Cambria Math" w:hAnsi="Cambria Math" w:cs="Calibri"/>
                  <w:lang w:val=""/>
                </w:rPr>
                <m:t>P</m:t>
              </m:r>
            </m:e>
            <m:sub>
              <m:r>
                <w:rPr>
                  <w:rFonts w:ascii="Cambria Math" w:hAnsi="Cambria Math" w:cs="Calibri"/>
                  <w:lang w:val=""/>
                </w:rPr>
                <m:t>rold</m:t>
              </m:r>
            </m:sub>
          </m:sSub>
        </m:oMath>
      </m:oMathPara>
    </w:p>
    <w:p w14:paraId="6463343D" w14:textId="7436A80B" w:rsidR="008029D3" w:rsidRPr="001515C5" w:rsidRDefault="0008521F" w:rsidP="008029D3">
      <w:pPr>
        <w:rPr>
          <w:rFonts w:eastAsiaTheme="minorEastAsia"/>
          <w:b/>
          <w:bCs/>
          <w:lang w:val=""/>
        </w:rPr>
      </w:pPr>
      <m:oMath>
        <m:sSub>
          <m:sSubPr>
            <m:ctrlPr>
              <w:rPr>
                <w:rFonts w:ascii="Cambria Math" w:hAnsi="Cambria Math" w:cs="Calibri"/>
                <w:b/>
                <w:bCs/>
                <w:lang w:val=""/>
              </w:rPr>
            </m:ctrlPr>
          </m:sSubPr>
          <m:e>
            <m:r>
              <m:rPr>
                <m:sty m:val="bi"/>
              </m:rPr>
              <w:rPr>
                <w:rFonts w:ascii="Cambria Math" w:hAnsi="Cambria Math" w:cs="Calibri"/>
                <w:lang w:val=""/>
              </w:rPr>
              <m:t>Q</m:t>
            </m:r>
          </m:e>
          <m:sub>
            <m:r>
              <m:rPr>
                <m:sty m:val="bi"/>
              </m:rPr>
              <w:rPr>
                <w:rFonts w:ascii="Cambria Math" w:hAnsi="Cambria Math" w:cs="Calibri"/>
                <w:lang w:val=""/>
              </w:rPr>
              <m:t>rjm</m:t>
            </m:r>
          </m:sub>
        </m:sSub>
      </m:oMath>
      <w:r w:rsidR="008029D3" w:rsidRPr="001515C5">
        <w:rPr>
          <w:rFonts w:eastAsiaTheme="minorEastAsia"/>
          <w:b/>
          <w:bCs/>
          <w:lang w:val=""/>
        </w:rPr>
        <w:t xml:space="preserve"> : </w:t>
      </w:r>
      <w:r w:rsidR="00072E06" w:rsidRPr="001515C5">
        <w:rPr>
          <w:rFonts w:eastAsiaTheme="minorEastAsia"/>
          <w:b/>
          <w:bCs/>
          <w:lang w:val=""/>
        </w:rPr>
        <w:t>average quantity of food j consumed by a mean individual m in region r (in g/</w:t>
      </w:r>
      <w:r w:rsidR="001515C5">
        <w:rPr>
          <w:rFonts w:eastAsiaTheme="minorEastAsia"/>
          <w:b/>
          <w:bCs/>
          <w:lang w:val=""/>
        </w:rPr>
        <w:t>capita/</w:t>
      </w:r>
      <w:r w:rsidR="00072E06" w:rsidRPr="001515C5">
        <w:rPr>
          <w:rFonts w:eastAsiaTheme="minorEastAsia"/>
          <w:b/>
          <w:bCs/>
          <w:lang w:val=""/>
        </w:rPr>
        <w:t xml:space="preserve">day) </w:t>
      </w:r>
      <w:r w:rsidR="008029D3" w:rsidRPr="001515C5">
        <w:rPr>
          <w:rFonts w:eastAsiaTheme="minorEastAsia"/>
          <w:b/>
          <w:bCs/>
          <w:lang w:val=""/>
        </w:rPr>
        <w:sym w:font="Wingdings" w:char="F0E0"/>
      </w:r>
      <w:r w:rsidR="008029D3" w:rsidRPr="001515C5">
        <w:rPr>
          <w:rFonts w:eastAsiaTheme="minorEastAsia"/>
          <w:b/>
          <w:bCs/>
          <w:lang w:val=""/>
        </w:rPr>
        <w:t xml:space="preserve"> variable </w:t>
      </w:r>
      <w:r w:rsidR="008029D3" w:rsidRPr="001515C5">
        <w:rPr>
          <w:rFonts w:eastAsiaTheme="minorEastAsia"/>
          <w:b/>
          <w:bCs/>
          <w:i/>
          <w:iCs/>
          <w:lang w:val=""/>
        </w:rPr>
        <w:t>Region_r_moy</w:t>
      </w:r>
    </w:p>
    <w:p w14:paraId="4CD7F900" w14:textId="1802F269" w:rsidR="008029D3" w:rsidRPr="001515C5" w:rsidRDefault="0008521F" w:rsidP="008029D3">
      <w:pPr>
        <w:rPr>
          <w:rFonts w:eastAsiaTheme="minorEastAsia"/>
          <w:lang w:val="en-US"/>
        </w:rPr>
      </w:pPr>
      <m:oMath>
        <m:sSub>
          <m:sSubPr>
            <m:ctrlPr>
              <w:rPr>
                <w:rFonts w:ascii="Cambria Math" w:hAnsi="Cambria Math"/>
                <w:i/>
              </w:rPr>
            </m:ctrlPr>
          </m:sSubPr>
          <m:e>
            <m:r>
              <w:rPr>
                <w:rFonts w:ascii="Cambria Math" w:hAnsi="Cambria Math"/>
              </w:rPr>
              <m:t>Q</m:t>
            </m:r>
          </m:e>
          <m:sub>
            <m:r>
              <w:rPr>
                <w:rFonts w:ascii="Cambria Math" w:hAnsi="Cambria Math"/>
              </w:rPr>
              <m:t>rj</m:t>
            </m:r>
          </m:sub>
        </m:sSub>
        <m:r>
          <w:rPr>
            <w:rFonts w:ascii="Cambria Math" w:hAnsi="Cambria Math"/>
            <w:lang w:val="en-US"/>
          </w:rPr>
          <m:t xml:space="preserve"> </m:t>
        </m:r>
      </m:oMath>
      <w:r w:rsidR="008029D3" w:rsidRPr="001515C5">
        <w:rPr>
          <w:rFonts w:eastAsiaTheme="minorEastAsia"/>
          <w:lang w:val="en-US"/>
        </w:rPr>
        <w:t xml:space="preserve">: </w:t>
      </w:r>
      <w:r w:rsidR="001515C5" w:rsidRPr="001515C5">
        <w:rPr>
          <w:rFonts w:eastAsiaTheme="minorEastAsia"/>
          <w:lang w:val="en-US"/>
        </w:rPr>
        <w:t>average quantity of food j consumed by an adult in region r (in g/day/individual)</w:t>
      </w:r>
    </w:p>
    <w:p w14:paraId="147863F9" w14:textId="3C46D328" w:rsidR="008029D3" w:rsidRPr="001515C5" w:rsidRDefault="0008521F" w:rsidP="008029D3">
      <w:pPr>
        <w:rPr>
          <w:rFonts w:eastAsiaTheme="minorEastAsia"/>
          <w:iCs/>
          <w:lang w:val="en-US"/>
        </w:rPr>
      </w:pPr>
      <m:oMath>
        <m:sSub>
          <m:sSubPr>
            <m:ctrlPr>
              <w:rPr>
                <w:rFonts w:ascii="Cambria Math" w:hAnsi="Cambria Math" w:cs="Calibri"/>
                <w:i/>
                <w:iCs/>
                <w:lang w:val=""/>
              </w:rPr>
            </m:ctrlPr>
          </m:sSubPr>
          <m:e>
            <m:r>
              <w:rPr>
                <w:rFonts w:ascii="Cambria Math" w:hAnsi="Cambria Math" w:cs="Calibri"/>
                <w:lang w:val=""/>
              </w:rPr>
              <m:t>P</m:t>
            </m:r>
            <m:ctrlPr>
              <w:rPr>
                <w:rFonts w:ascii="Cambria Math" w:hAnsi="Cambria Math" w:cs="Calibri"/>
                <w:lang w:val=""/>
              </w:rPr>
            </m:ctrlPr>
          </m:e>
          <m:sub>
            <m:r>
              <w:rPr>
                <w:rFonts w:ascii="Cambria Math" w:hAnsi="Cambria Math" w:cs="Calibri"/>
                <w:lang w:val=""/>
              </w:rPr>
              <m:t>radu</m:t>
            </m:r>
          </m:sub>
        </m:sSub>
      </m:oMath>
      <w:r w:rsidR="008029D3" w:rsidRPr="00F62873">
        <w:rPr>
          <w:rFonts w:eastAsiaTheme="minorEastAsia"/>
          <w:iCs/>
          <w:lang w:val=""/>
        </w:rPr>
        <w:t xml:space="preserve"> : </w:t>
      </w:r>
      <w:r w:rsidR="001515C5" w:rsidRPr="001515C5">
        <w:rPr>
          <w:lang w:val="en-US"/>
        </w:rPr>
        <w:t>proportion of adults in region r</w:t>
      </w:r>
    </w:p>
    <w:p w14:paraId="630BCCA0" w14:textId="794C3689" w:rsidR="00072E06" w:rsidRDefault="0008521F" w:rsidP="008029D3">
      <w:pPr>
        <w:rPr>
          <w:rFonts w:eastAsiaTheme="minorEastAsia"/>
          <w:iCs/>
          <w:lang w:val=""/>
        </w:rPr>
      </w:pPr>
      <m:oMath>
        <m:sSub>
          <m:sSubPr>
            <m:ctrlPr>
              <w:rPr>
                <w:rFonts w:ascii="Cambria Math" w:hAnsi="Cambria Math" w:cs="Calibri"/>
                <w:i/>
                <w:iCs/>
                <w:lang w:val=""/>
              </w:rPr>
            </m:ctrlPr>
          </m:sSubPr>
          <m:e>
            <m:r>
              <w:rPr>
                <w:rFonts w:ascii="Cambria Math" w:hAnsi="Cambria Math" w:cs="Calibri"/>
                <w:lang w:val=""/>
              </w:rPr>
              <m:t>P</m:t>
            </m:r>
            <m:ctrlPr>
              <w:rPr>
                <w:rFonts w:ascii="Cambria Math" w:hAnsi="Cambria Math" w:cs="Calibri"/>
                <w:lang w:val=""/>
              </w:rPr>
            </m:ctrlPr>
          </m:e>
          <m:sub>
            <m:r>
              <w:rPr>
                <w:rFonts w:ascii="Cambria Math" w:hAnsi="Cambria Math" w:cs="Calibri"/>
                <w:lang w:val=""/>
              </w:rPr>
              <m:t>rchild</m:t>
            </m:r>
          </m:sub>
        </m:sSub>
      </m:oMath>
      <w:r w:rsidR="00072E06" w:rsidRPr="00F62873">
        <w:rPr>
          <w:rFonts w:eastAsiaTheme="minorEastAsia"/>
          <w:iCs/>
          <w:lang w:val=""/>
        </w:rPr>
        <w:t xml:space="preserve"> : </w:t>
      </w:r>
      <w:r w:rsidR="001515C5" w:rsidRPr="001515C5">
        <w:rPr>
          <w:rFonts w:eastAsiaTheme="minorEastAsia"/>
          <w:iCs/>
          <w:lang w:val=""/>
        </w:rPr>
        <w:t>proportion of children and adolescents in region r</w:t>
      </w:r>
    </w:p>
    <w:p w14:paraId="5D26DC53" w14:textId="32DA76F6" w:rsidR="00072E06" w:rsidRPr="00F62873" w:rsidRDefault="0008521F" w:rsidP="008029D3">
      <w:pPr>
        <w:rPr>
          <w:rFonts w:eastAsiaTheme="minorEastAsia"/>
          <w:iCs/>
          <w:lang w:val=""/>
        </w:rPr>
      </w:pPr>
      <m:oMath>
        <m:sSub>
          <m:sSubPr>
            <m:ctrlPr>
              <w:rPr>
                <w:rFonts w:ascii="Cambria Math" w:hAnsi="Cambria Math" w:cs="Calibri"/>
                <w:i/>
                <w:iCs/>
                <w:lang w:val=""/>
              </w:rPr>
            </m:ctrlPr>
          </m:sSubPr>
          <m:e>
            <m:r>
              <w:rPr>
                <w:rFonts w:ascii="Cambria Math" w:hAnsi="Cambria Math" w:cs="Calibri"/>
                <w:lang w:val=""/>
              </w:rPr>
              <m:t>P</m:t>
            </m:r>
            <m:ctrlPr>
              <w:rPr>
                <w:rFonts w:ascii="Cambria Math" w:hAnsi="Cambria Math" w:cs="Calibri"/>
                <w:lang w:val=""/>
              </w:rPr>
            </m:ctrlPr>
          </m:e>
          <m:sub>
            <m:r>
              <w:rPr>
                <w:rFonts w:ascii="Cambria Math" w:hAnsi="Cambria Math" w:cs="Calibri"/>
                <w:lang w:val=""/>
              </w:rPr>
              <m:t>rold</m:t>
            </m:r>
          </m:sub>
        </m:sSub>
      </m:oMath>
      <w:r w:rsidR="00072E06" w:rsidRPr="00F62873">
        <w:rPr>
          <w:rFonts w:eastAsiaTheme="minorEastAsia"/>
          <w:iCs/>
          <w:lang w:val=""/>
        </w:rPr>
        <w:t xml:space="preserve"> : </w:t>
      </w:r>
      <w:r w:rsidR="001515C5" w:rsidRPr="001515C5">
        <w:rPr>
          <w:rFonts w:eastAsiaTheme="minorEastAsia"/>
          <w:iCs/>
          <w:lang w:val=""/>
        </w:rPr>
        <w:t>proportion of older adults in region r</w:t>
      </w:r>
    </w:p>
    <w:p w14:paraId="699FFB4E" w14:textId="34297A42" w:rsidR="008029D3" w:rsidRPr="001515C5" w:rsidRDefault="0008521F" w:rsidP="008029D3">
      <w:pPr>
        <w:rPr>
          <w:rFonts w:eastAsiaTheme="minorEastAsia"/>
          <w:lang w:val="en-US"/>
        </w:rPr>
      </w:pPr>
      <m:oMath>
        <m:sSub>
          <m:sSubPr>
            <m:ctrlPr>
              <w:rPr>
                <w:rFonts w:ascii="Cambria Math" w:hAnsi="Cambria Math"/>
                <w:i/>
              </w:rPr>
            </m:ctrlPr>
          </m:sSubPr>
          <m:e>
            <m:r>
              <w:rPr>
                <w:rFonts w:ascii="Cambria Math" w:hAnsi="Cambria Math"/>
              </w:rPr>
              <m:t>B</m:t>
            </m:r>
          </m:e>
          <m:sub>
            <m:r>
              <w:rPr>
                <w:rFonts w:ascii="Cambria Math" w:hAnsi="Cambria Math"/>
              </w:rPr>
              <m:t>c</m:t>
            </m:r>
            <m:r>
              <w:rPr>
                <w:rFonts w:ascii="Cambria Math" w:hAnsi="Cambria Math"/>
                <w:lang w:val="en-US"/>
              </w:rPr>
              <m:t>h</m:t>
            </m:r>
            <m:r>
              <w:rPr>
                <w:rFonts w:ascii="Cambria Math" w:hAnsi="Cambria Math"/>
              </w:rPr>
              <m:t>ild</m:t>
            </m:r>
          </m:sub>
        </m:sSub>
      </m:oMath>
      <w:r w:rsidR="008029D3" w:rsidRPr="001515C5">
        <w:rPr>
          <w:rFonts w:eastAsiaTheme="minorEastAsia"/>
          <w:lang w:val="en-US"/>
        </w:rPr>
        <w:t xml:space="preserve"> : </w:t>
      </w:r>
      <w:r w:rsidR="001515C5" w:rsidRPr="001515C5">
        <w:rPr>
          <w:rFonts w:eastAsiaTheme="minorEastAsia"/>
          <w:lang w:val="en-US"/>
        </w:rPr>
        <w:t>ratio of energy requirements of children and adolescents relative to adults</w:t>
      </w:r>
    </w:p>
    <w:p w14:paraId="1BE912EA" w14:textId="7D3921BF" w:rsidR="00072E06" w:rsidRPr="001515C5" w:rsidRDefault="0008521F" w:rsidP="00072E06">
      <w:pPr>
        <w:rPr>
          <w:rFonts w:eastAsiaTheme="minorEastAsia"/>
          <w:iCs/>
          <w:lang w:val="en-US"/>
        </w:rPr>
      </w:pPr>
      <m:oMath>
        <m:sSub>
          <m:sSubPr>
            <m:ctrlPr>
              <w:rPr>
                <w:rFonts w:ascii="Cambria Math" w:hAnsi="Cambria Math"/>
                <w:i/>
              </w:rPr>
            </m:ctrlPr>
          </m:sSubPr>
          <m:e>
            <m:r>
              <w:rPr>
                <w:rFonts w:ascii="Cambria Math" w:hAnsi="Cambria Math"/>
              </w:rPr>
              <m:t>B</m:t>
            </m:r>
          </m:e>
          <m:sub>
            <m:r>
              <w:rPr>
                <w:rFonts w:ascii="Cambria Math" w:hAnsi="Cambria Math"/>
              </w:rPr>
              <m:t>old</m:t>
            </m:r>
          </m:sub>
        </m:sSub>
      </m:oMath>
      <w:r w:rsidR="00072E06" w:rsidRPr="001515C5">
        <w:rPr>
          <w:rFonts w:eastAsiaTheme="minorEastAsia"/>
          <w:lang w:val="en-US"/>
        </w:rPr>
        <w:t xml:space="preserve"> : </w:t>
      </w:r>
      <w:r w:rsidR="001515C5" w:rsidRPr="001515C5">
        <w:rPr>
          <w:rFonts w:eastAsiaTheme="minorEastAsia"/>
          <w:lang w:val="en-US"/>
        </w:rPr>
        <w:t>ratio of energy requirements of older adults relative to adults</w:t>
      </w:r>
    </w:p>
    <w:p w14:paraId="5A09AF58" w14:textId="37536158" w:rsidR="00E2729B" w:rsidRPr="001515C5" w:rsidRDefault="001515C5" w:rsidP="001515C5">
      <w:pPr>
        <w:pStyle w:val="Paragraphedeliste"/>
        <w:numPr>
          <w:ilvl w:val="0"/>
          <w:numId w:val="1"/>
        </w:numPr>
        <w:rPr>
          <w:b/>
          <w:bCs/>
          <w:color w:val="00B050"/>
          <w:sz w:val="24"/>
          <w:szCs w:val="24"/>
          <w:lang w:val="en-US"/>
        </w:rPr>
      </w:pPr>
      <w:r w:rsidRPr="001515C5">
        <w:rPr>
          <w:b/>
          <w:bCs/>
          <w:color w:val="00B050"/>
          <w:sz w:val="24"/>
          <w:szCs w:val="24"/>
          <w:lang w:val="en-US"/>
        </w:rPr>
        <w:t xml:space="preserve">Calculation of average consumption for the </w:t>
      </w:r>
      <w:r w:rsidR="00BD714E">
        <w:rPr>
          <w:b/>
          <w:bCs/>
          <w:color w:val="00B050"/>
          <w:sz w:val="24"/>
          <w:szCs w:val="24"/>
          <w:lang w:val="en-US"/>
        </w:rPr>
        <w:t xml:space="preserve">France </w:t>
      </w:r>
      <w:r w:rsidRPr="001515C5">
        <w:rPr>
          <w:b/>
          <w:bCs/>
          <w:color w:val="00B050"/>
          <w:sz w:val="24"/>
          <w:szCs w:val="24"/>
          <w:lang w:val="en-US"/>
        </w:rPr>
        <w:t>population</w:t>
      </w:r>
    </w:p>
    <w:p w14:paraId="24DBB595" w14:textId="76BCCA36" w:rsidR="001515C5" w:rsidRPr="00F35954" w:rsidRDefault="001515C5" w:rsidP="001515C5">
      <w:pPr>
        <w:rPr>
          <w:b/>
          <w:bCs/>
          <w:lang w:val="en-US"/>
        </w:rPr>
      </w:pPr>
      <w:r w:rsidRPr="00F35954">
        <w:rPr>
          <w:b/>
          <w:bCs/>
          <w:lang w:val="en-US"/>
        </w:rPr>
        <w:t>Same steps as in section 2, using individual weights</w:t>
      </w:r>
      <w:r w:rsidR="00BD714E">
        <w:rPr>
          <w:b/>
          <w:bCs/>
          <w:lang w:val="en-US"/>
        </w:rPr>
        <w:t xml:space="preserve"> (statistical weight)</w:t>
      </w:r>
      <w:r w:rsidRPr="00F35954">
        <w:rPr>
          <w:b/>
          <w:bCs/>
          <w:lang w:val="en-US"/>
        </w:rPr>
        <w:t xml:space="preserve"> and sub-population proportions </w:t>
      </w:r>
      <w:r w:rsidR="00F35954" w:rsidRPr="00F35954">
        <w:rPr>
          <w:b/>
          <w:bCs/>
          <w:lang w:val="en-US"/>
        </w:rPr>
        <w:t xml:space="preserve">of </w:t>
      </w:r>
      <w:r w:rsidR="00BD714E">
        <w:rPr>
          <w:b/>
          <w:bCs/>
          <w:lang w:val="en-US"/>
        </w:rPr>
        <w:t xml:space="preserve">overall </w:t>
      </w:r>
      <w:r w:rsidR="00F35954" w:rsidRPr="00F35954">
        <w:rPr>
          <w:b/>
          <w:bCs/>
          <w:lang w:val="en-US"/>
        </w:rPr>
        <w:t>France</w:t>
      </w:r>
      <w:r w:rsidR="00D64E9C">
        <w:rPr>
          <w:b/>
          <w:bCs/>
          <w:lang w:val="en-US"/>
        </w:rPr>
        <w:t xml:space="preserve"> population demography</w:t>
      </w:r>
      <w:r w:rsidRPr="00F35954">
        <w:rPr>
          <w:b/>
          <w:bCs/>
          <w:lang w:val="en-US"/>
        </w:rPr>
        <w:t xml:space="preserve"> → variables </w:t>
      </w:r>
      <w:proofErr w:type="spellStart"/>
      <w:r w:rsidRPr="00F35954">
        <w:rPr>
          <w:b/>
          <w:bCs/>
          <w:lang w:val="en-US"/>
        </w:rPr>
        <w:t>France_moy</w:t>
      </w:r>
      <w:proofErr w:type="spellEnd"/>
      <w:r w:rsidR="00F35954" w:rsidRPr="00F35954">
        <w:rPr>
          <w:b/>
          <w:bCs/>
          <w:lang w:val="en-US"/>
        </w:rPr>
        <w:t>.</w:t>
      </w:r>
    </w:p>
    <w:sectPr w:rsidR="001515C5" w:rsidRPr="00F3595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chraf_Mamassi" w:date="2025-07-09T23:38:00Z" w:initials="A">
    <w:p w14:paraId="78CE86FF" w14:textId="77777777" w:rsidR="00A65721" w:rsidRDefault="00F35954" w:rsidP="00A65721">
      <w:pPr>
        <w:pStyle w:val="Commentaire"/>
      </w:pPr>
      <w:r>
        <w:rPr>
          <w:rStyle w:val="Marquedecommentaire"/>
        </w:rPr>
        <w:annotationRef/>
      </w:r>
      <w:r w:rsidR="00A65721">
        <w:t>Je n’ai pas bien compris cette partie : pourquoi parle-t-on de poids ?</w:t>
      </w:r>
    </w:p>
    <w:p w14:paraId="261DE717" w14:textId="77777777" w:rsidR="00A65721" w:rsidRDefault="00A65721" w:rsidP="00A65721">
      <w:pPr>
        <w:pStyle w:val="Commentaire"/>
      </w:pPr>
      <w:r>
        <w:t>Peut-être que lorsqu’on parle d’un individu moyen, il s’agit d’un adulte moyen en termes de poids au départ ?</w:t>
      </w:r>
    </w:p>
    <w:p w14:paraId="28B91860" w14:textId="25BE11EA" w:rsidR="00A65721" w:rsidRDefault="00A65721" w:rsidP="0008521F">
      <w:pPr>
        <w:pStyle w:val="Commentaire"/>
      </w:pPr>
      <w:r>
        <w:t>Donc, on pondère la quantité consommée par un individu en fonction de son poids par rapport au poids moyen de la région ? (C’est ce que j’ai compris.)</w:t>
      </w:r>
    </w:p>
    <w:p w14:paraId="0151266A" w14:textId="06892542" w:rsidR="00F35954" w:rsidRDefault="00F35954" w:rsidP="00A65721">
      <w:pPr>
        <w:pStyle w:val="Commentaire"/>
      </w:pPr>
    </w:p>
  </w:comment>
  <w:comment w:id="3" w:author="Marianne CERF" w:date="2025-07-10T15:30:00Z" w:initials="MC">
    <w:p w14:paraId="5BD56D33" w14:textId="798CE67F" w:rsidR="006D191D" w:rsidRDefault="006D191D">
      <w:pPr>
        <w:pStyle w:val="Commentaire"/>
      </w:pPr>
      <w:r>
        <w:rPr>
          <w:rStyle w:val="Marquedecommentaire"/>
        </w:rPr>
        <w:annotationRef/>
      </w:r>
      <w:r>
        <w:t xml:space="preserve">Je n’ai pas été claire je pense. Quand je parle de « poids » ça fait référence au coefficient de pondération pour permettre le redressement des données afin d’avoir une meilleure représentativité des consommations. </w:t>
      </w:r>
      <w:r w:rsidR="000D09AB">
        <w:t xml:space="preserve">Ce coefficient prend en compte l’âge, le sexe, la localisation, la profession, le niveau d’études, etc. </w:t>
      </w:r>
      <w:r>
        <w:t>Si tu veux en savoir plus tu as plus d’informations dans le guide utilisateur p9-10 (</w:t>
      </w:r>
      <w:hyperlink r:id="rId1" w:history="1">
        <w:r w:rsidRPr="00E940A0">
          <w:rPr>
            <w:rStyle w:val="Lienhypertexte"/>
          </w:rPr>
          <w:t>https://www.data.g</w:t>
        </w:r>
        <w:r w:rsidRPr="00E940A0">
          <w:rPr>
            <w:rStyle w:val="Lienhypertexte"/>
          </w:rPr>
          <w:t>o</w:t>
        </w:r>
        <w:r w:rsidRPr="00E940A0">
          <w:rPr>
            <w:rStyle w:val="Lienhypertexte"/>
          </w:rPr>
          <w:t>u</w:t>
        </w:r>
        <w:r w:rsidRPr="00E940A0">
          <w:rPr>
            <w:rStyle w:val="Lienhypertexte"/>
          </w:rPr>
          <w:t>v</w:t>
        </w:r>
        <w:r w:rsidRPr="00E940A0">
          <w:rPr>
            <w:rStyle w:val="Lienhypertexte"/>
          </w:rPr>
          <w:t>.fr/fr/datasets/r/bebbad5e-4fad-46ca-ab5e-6edc9966c374</w:t>
        </w:r>
      </w:hyperlink>
      <w:r>
        <w:t xml:space="preserve">). </w:t>
      </w:r>
    </w:p>
  </w:comment>
  <w:comment w:id="4" w:author="Marianne CERF" w:date="2025-07-10T15:37:00Z" w:initials="MC">
    <w:p w14:paraId="39C83011" w14:textId="2BC31E29" w:rsidR="006D191D" w:rsidRDefault="006D191D">
      <w:pPr>
        <w:pStyle w:val="Commentaire"/>
      </w:pPr>
      <w:r>
        <w:rPr>
          <w:rStyle w:val="Marquedecommentaire"/>
        </w:rPr>
        <w:annotationRef/>
      </w:r>
      <w:r>
        <w:t>Le poids (ou coefficient de pondération) correspond au nombre d’individus que représente l’individu i en France (ex : si individu 1 à un pond_1 = 1000 ça veut dire que cet individu à la même consommation que 1000 français)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51266A" w15:done="0"/>
  <w15:commentEx w15:paraId="5BD56D33" w15:paraIdParent="0151266A" w15:done="0"/>
  <w15:commentEx w15:paraId="39C83011" w15:paraIdParent="015126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97C02" w16cex:dateUtc="2025-07-09T21:38:00Z"/>
  <w16cex:commentExtensible w16cex:durableId="2C1A5B09" w16cex:dateUtc="2025-07-10T13:30:00Z"/>
  <w16cex:commentExtensible w16cex:durableId="2C1A5CCD" w16cex:dateUtc="2025-07-10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51266A" w16cid:durableId="2C197C02"/>
  <w16cid:commentId w16cid:paraId="5BD56D33" w16cid:durableId="2C1A5B09"/>
  <w16cid:commentId w16cid:paraId="39C83011" w16cid:durableId="2C1A5C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CCD"/>
    <w:multiLevelType w:val="hybridMultilevel"/>
    <w:tmpl w:val="196A3760"/>
    <w:lvl w:ilvl="0" w:tplc="10560A50">
      <w:numFmt w:val="bullet"/>
      <w:lvlText w:val="-"/>
      <w:lvlJc w:val="left"/>
      <w:pPr>
        <w:ind w:left="410" w:hanging="360"/>
      </w:pPr>
      <w:rPr>
        <w:rFonts w:ascii="Calibri" w:eastAsiaTheme="minorHAnsi" w:hAnsi="Calibri" w:cs="Calibri" w:hint="default"/>
      </w:rPr>
    </w:lvl>
    <w:lvl w:ilvl="1" w:tplc="040C0003">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1" w15:restartNumberingAfterBreak="0">
    <w:nsid w:val="034D4445"/>
    <w:multiLevelType w:val="hybridMultilevel"/>
    <w:tmpl w:val="85D22C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7544CC"/>
    <w:multiLevelType w:val="hybridMultilevel"/>
    <w:tmpl w:val="5E2E687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8F53F0F"/>
    <w:multiLevelType w:val="hybridMultilevel"/>
    <w:tmpl w:val="200AA620"/>
    <w:lvl w:ilvl="0" w:tplc="A28A2856">
      <w:start w:val="1"/>
      <w:numFmt w:val="decimal"/>
      <w:lvlText w:val="%1."/>
      <w:lvlJc w:val="left"/>
      <w:pPr>
        <w:ind w:left="720" w:hanging="360"/>
      </w:pPr>
      <w:rPr>
        <w:rFonts w:hint="default"/>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0FB45AF"/>
    <w:multiLevelType w:val="hybridMultilevel"/>
    <w:tmpl w:val="E2E86568"/>
    <w:lvl w:ilvl="0" w:tplc="A66869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D81CFD"/>
    <w:multiLevelType w:val="hybridMultilevel"/>
    <w:tmpl w:val="A490B77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hraf_Mamassi">
    <w15:presenceInfo w15:providerId="None" w15:userId="Achraf_Mamassi"/>
  </w15:person>
  <w15:person w15:author="Marianne CERF">
    <w15:presenceInfo w15:providerId="None" w15:userId="Marianne CER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69"/>
    <w:rsid w:val="00072E06"/>
    <w:rsid w:val="0008521F"/>
    <w:rsid w:val="000D09AB"/>
    <w:rsid w:val="000F4D64"/>
    <w:rsid w:val="001515C5"/>
    <w:rsid w:val="001F1AC2"/>
    <w:rsid w:val="001F4503"/>
    <w:rsid w:val="0020240A"/>
    <w:rsid w:val="00211862"/>
    <w:rsid w:val="00221341"/>
    <w:rsid w:val="00297C0B"/>
    <w:rsid w:val="002E1636"/>
    <w:rsid w:val="00407E69"/>
    <w:rsid w:val="00547F55"/>
    <w:rsid w:val="005B0052"/>
    <w:rsid w:val="00662FB9"/>
    <w:rsid w:val="00695AB6"/>
    <w:rsid w:val="006D191D"/>
    <w:rsid w:val="007A6CA5"/>
    <w:rsid w:val="007E59C0"/>
    <w:rsid w:val="008029D3"/>
    <w:rsid w:val="008333BC"/>
    <w:rsid w:val="00833FCC"/>
    <w:rsid w:val="008B0A3F"/>
    <w:rsid w:val="00A32F83"/>
    <w:rsid w:val="00A64360"/>
    <w:rsid w:val="00A65721"/>
    <w:rsid w:val="00A81278"/>
    <w:rsid w:val="00B0130A"/>
    <w:rsid w:val="00B34DC9"/>
    <w:rsid w:val="00BA41E6"/>
    <w:rsid w:val="00BD714E"/>
    <w:rsid w:val="00C53A32"/>
    <w:rsid w:val="00D01671"/>
    <w:rsid w:val="00D64E9C"/>
    <w:rsid w:val="00E12DC1"/>
    <w:rsid w:val="00E2729B"/>
    <w:rsid w:val="00E7609E"/>
    <w:rsid w:val="00E91182"/>
    <w:rsid w:val="00F35954"/>
    <w:rsid w:val="00FB10E6"/>
    <w:rsid w:val="00FD26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B9CE"/>
  <w15:chartTrackingRefBased/>
  <w15:docId w15:val="{0E802A93-4849-4E1D-97E2-0C84D72A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729B"/>
    <w:pPr>
      <w:ind w:left="720"/>
      <w:contextualSpacing/>
    </w:pPr>
  </w:style>
  <w:style w:type="character" w:styleId="Accentuation">
    <w:name w:val="Emphasis"/>
    <w:basedOn w:val="Policepardfaut"/>
    <w:uiPriority w:val="20"/>
    <w:qFormat/>
    <w:rsid w:val="001515C5"/>
    <w:rPr>
      <w:i/>
      <w:iCs/>
    </w:rPr>
  </w:style>
  <w:style w:type="character" w:styleId="Marquedecommentaire">
    <w:name w:val="annotation reference"/>
    <w:basedOn w:val="Policepardfaut"/>
    <w:uiPriority w:val="99"/>
    <w:semiHidden/>
    <w:unhideWhenUsed/>
    <w:rsid w:val="005B0052"/>
    <w:rPr>
      <w:sz w:val="16"/>
      <w:szCs w:val="16"/>
    </w:rPr>
  </w:style>
  <w:style w:type="paragraph" w:styleId="Commentaire">
    <w:name w:val="annotation text"/>
    <w:basedOn w:val="Normal"/>
    <w:link w:val="CommentaireCar"/>
    <w:uiPriority w:val="99"/>
    <w:unhideWhenUsed/>
    <w:rsid w:val="005B0052"/>
    <w:pPr>
      <w:spacing w:line="240" w:lineRule="auto"/>
    </w:pPr>
    <w:rPr>
      <w:sz w:val="20"/>
      <w:szCs w:val="20"/>
    </w:rPr>
  </w:style>
  <w:style w:type="character" w:customStyle="1" w:styleId="CommentaireCar">
    <w:name w:val="Commentaire Car"/>
    <w:basedOn w:val="Policepardfaut"/>
    <w:link w:val="Commentaire"/>
    <w:uiPriority w:val="99"/>
    <w:rsid w:val="005B0052"/>
    <w:rPr>
      <w:sz w:val="20"/>
      <w:szCs w:val="20"/>
    </w:rPr>
  </w:style>
  <w:style w:type="paragraph" w:styleId="Objetducommentaire">
    <w:name w:val="annotation subject"/>
    <w:basedOn w:val="Commentaire"/>
    <w:next w:val="Commentaire"/>
    <w:link w:val="ObjetducommentaireCar"/>
    <w:uiPriority w:val="99"/>
    <w:semiHidden/>
    <w:unhideWhenUsed/>
    <w:rsid w:val="005B0052"/>
    <w:rPr>
      <w:b/>
      <w:bCs/>
    </w:rPr>
  </w:style>
  <w:style w:type="character" w:customStyle="1" w:styleId="ObjetducommentaireCar">
    <w:name w:val="Objet du commentaire Car"/>
    <w:basedOn w:val="CommentaireCar"/>
    <w:link w:val="Objetducommentaire"/>
    <w:uiPriority w:val="99"/>
    <w:semiHidden/>
    <w:rsid w:val="005B0052"/>
    <w:rPr>
      <w:b/>
      <w:bCs/>
      <w:sz w:val="20"/>
      <w:szCs w:val="20"/>
    </w:rPr>
  </w:style>
  <w:style w:type="paragraph" w:styleId="Bibliographie">
    <w:name w:val="Bibliography"/>
    <w:basedOn w:val="Normal"/>
    <w:next w:val="Normal"/>
    <w:uiPriority w:val="37"/>
    <w:semiHidden/>
    <w:unhideWhenUsed/>
    <w:rsid w:val="000F4D64"/>
  </w:style>
  <w:style w:type="character" w:styleId="Lienhypertexte">
    <w:name w:val="Hyperlink"/>
    <w:basedOn w:val="Policepardfaut"/>
    <w:uiPriority w:val="99"/>
    <w:unhideWhenUsed/>
    <w:rsid w:val="006D191D"/>
    <w:rPr>
      <w:color w:val="0563C1" w:themeColor="hyperlink"/>
      <w:u w:val="single"/>
    </w:rPr>
  </w:style>
  <w:style w:type="character" w:styleId="Mentionnonrsolue">
    <w:name w:val="Unresolved Mention"/>
    <w:basedOn w:val="Policepardfaut"/>
    <w:uiPriority w:val="99"/>
    <w:semiHidden/>
    <w:unhideWhenUsed/>
    <w:rsid w:val="006D191D"/>
    <w:rPr>
      <w:color w:val="605E5C"/>
      <w:shd w:val="clear" w:color="auto" w:fill="E1DFDD"/>
    </w:rPr>
  </w:style>
  <w:style w:type="character" w:styleId="Lienhypertextesuivivisit">
    <w:name w:val="FollowedHyperlink"/>
    <w:basedOn w:val="Policepardfaut"/>
    <w:uiPriority w:val="99"/>
    <w:semiHidden/>
    <w:unhideWhenUsed/>
    <w:rsid w:val="00695A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80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data.gouv.fr/fr/datasets/r/bebbad5e-4fad-46ca-ab5e-6edc9966c374"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1070</Words>
  <Characters>5886</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Achraf_Mamassi</dc:creator>
  <cp:keywords/>
  <dc:description/>
  <cp:lastModifiedBy>Achraf_Mamassi</cp:lastModifiedBy>
  <cp:revision>6</cp:revision>
  <dcterms:created xsi:type="dcterms:W3CDTF">2025-07-10T15:27:00Z</dcterms:created>
  <dcterms:modified xsi:type="dcterms:W3CDTF">2025-07-10T22:48:00Z</dcterms:modified>
</cp:coreProperties>
</file>