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25F0" w14:textId="031BCB00" w:rsidR="003F5BDA" w:rsidRDefault="005667C4" w:rsidP="003F5BDA">
      <w:pPr>
        <w:framePr w:hSpace="0" w:wrap="auto" w:vAnchor="margin" w:hAnchor="text" w:yAlign="inline"/>
        <w:rPr>
          <w:lang w:val="sv-SE"/>
        </w:rPr>
      </w:pPr>
      <w:r w:rsidRPr="003F5BDA">
        <w:rPr>
          <w:noProof/>
          <w:sz w:val="20"/>
          <w:szCs w:val="20"/>
          <w:lang w:val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273B3" wp14:editId="5181839F">
                <wp:simplePos x="0" y="0"/>
                <wp:positionH relativeFrom="column">
                  <wp:posOffset>20955</wp:posOffset>
                </wp:positionH>
                <wp:positionV relativeFrom="paragraph">
                  <wp:posOffset>20955</wp:posOffset>
                </wp:positionV>
                <wp:extent cx="5086350" cy="615950"/>
                <wp:effectExtent l="0" t="0" r="0" b="0"/>
                <wp:wrapSquare wrapText="bothSides"/>
                <wp:docPr id="217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970D44-B037-45C0-BE8A-D9023798B6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863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3A5B093" w14:textId="77777777" w:rsidR="00045846" w:rsidRPr="00C54CA0" w:rsidRDefault="00C54CA0" w:rsidP="007A652A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 w:rsidRPr="00C54CA0">
                              <w:rPr>
                                <w:b/>
                                <w:bCs w:val="0"/>
                                <w:lang w:val="en-US"/>
                              </w:rPr>
                              <w:t>Table 1</w:t>
                            </w:r>
                            <w:r w:rsidRPr="00C54CA0">
                              <w:rPr>
                                <w:lang w:val="en-US"/>
                              </w:rPr>
                              <w:t>: Demographic and clinical characteristics of patients with benign brain tumors who underwent proton therapy are presented for the total cohort at baseline (n = 126) and for those who completed the 5-year follow-up (n = 77).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73B3" id="Textruta 2" o:spid="_x0000_s1026" style="position:absolute;margin-left:1.65pt;margin-top:1.65pt;width:400.5pt;height: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" stroked="f">
                <v:textbox>
                  <w:txbxContent>
                    <w:p w14:paraId="73A5B093" w14:textId="77777777" w:rsidR="00045846" w:rsidRPr="00C54CA0" w:rsidRDefault="00C54CA0" w:rsidP="007A652A">
                      <w:pPr>
                        <w:spacing w:line="276" w:lineRule="auto"/>
                        <w:rPr>
                          <w:lang w:val="en-US"/>
                        </w:rPr>
                      </w:pPr>
                      <w:r w:rsidRPr="00C54CA0">
                        <w:rPr>
                          <w:b/>
                          <w:bCs w:val="0"/>
                          <w:lang w:val="en-US"/>
                        </w:rPr>
                        <w:t>Table 1</w:t>
                      </w:r>
                      <w:r w:rsidRPr="00C54CA0">
                        <w:rPr>
                          <w:lang w:val="en-US"/>
                        </w:rPr>
                        <w:t>: Demographic and clinical characteristics of patients with benign brain tumors who underwent proton therapy are presented for the total cohort at baseline (n = 126) and for those who completed the 5-year follow-up (n = 77).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C58C16" w14:textId="7CC7D9E7" w:rsidR="232C6DDB" w:rsidRDefault="232C6DDB" w:rsidP="232C6DDB">
      <w:pPr>
        <w:framePr w:wrap="around"/>
        <w:rPr>
          <w:lang w:val="sv-SE"/>
        </w:rPr>
      </w:pPr>
    </w:p>
    <w:tbl>
      <w:tblPr>
        <w:tblpPr w:leftFromText="141" w:rightFromText="141" w:vertAnchor="page" w:horzAnchor="margin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1134"/>
        <w:gridCol w:w="1098"/>
        <w:gridCol w:w="28"/>
      </w:tblGrid>
      <w:tr w:rsidR="00D1322B" w14:paraId="7096B705" w14:textId="77777777" w:rsidTr="00D1322B">
        <w:trPr>
          <w:cantSplit/>
          <w:tblHeader/>
        </w:trPr>
        <w:tc>
          <w:tcPr>
            <w:tcW w:w="5804" w:type="dxa"/>
            <w:tcBorders>
              <w:bottom w:val="single" w:sz="2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9DF8FD4" w14:textId="77777777" w:rsidR="00D1322B" w:rsidRPr="003F5BDA" w:rsidRDefault="00D1322B" w:rsidP="00D1322B">
            <w:pPr>
              <w:framePr w:hSpace="0" w:wrap="auto" w:vAnchor="margin" w:hAnchor="text" w:yAlign="inline"/>
              <w:jc w:val="center"/>
              <w:rPr>
                <w:b/>
                <w:bCs w:val="0"/>
              </w:rPr>
            </w:pPr>
            <w:r w:rsidRPr="003F5BDA">
              <w:rPr>
                <w:b/>
                <w:bCs w:val="0"/>
              </w:rPr>
              <w:t>Variable</w:t>
            </w:r>
          </w:p>
        </w:tc>
        <w:tc>
          <w:tcPr>
            <w:tcW w:w="1134" w:type="dxa"/>
            <w:tcBorders>
              <w:left w:val="nil"/>
              <w:bottom w:val="single" w:sz="2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09D9F45" w14:textId="77777777" w:rsidR="00D1322B" w:rsidRPr="003F5BDA" w:rsidRDefault="00D1322B" w:rsidP="00D1322B">
            <w:pPr>
              <w:framePr w:hSpace="0" w:wrap="auto" w:vAnchor="margin" w:hAnchor="text" w:yAlign="inline"/>
              <w:jc w:val="center"/>
              <w:rPr>
                <w:b/>
                <w:bCs w:val="0"/>
              </w:rPr>
            </w:pPr>
            <w:r w:rsidRPr="003F5BDA">
              <w:rPr>
                <w:b/>
                <w:bCs w:val="0"/>
              </w:rPr>
              <w:t>Baseline</w:t>
            </w:r>
            <w:r w:rsidRPr="003F5BDA">
              <w:rPr>
                <w:b/>
                <w:bCs w:val="0"/>
              </w:rPr>
              <w:br/>
              <w:t>(n=126)</w:t>
            </w:r>
          </w:p>
        </w:tc>
        <w:tc>
          <w:tcPr>
            <w:tcW w:w="1098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9F3D93C" w14:textId="77777777" w:rsidR="00D1322B" w:rsidRPr="003F5BDA" w:rsidRDefault="00D1322B" w:rsidP="00D1322B">
            <w:pPr>
              <w:framePr w:hSpace="0" w:wrap="auto" w:vAnchor="margin" w:hAnchor="text" w:yAlign="inline"/>
              <w:jc w:val="center"/>
              <w:rPr>
                <w:b/>
                <w:bCs w:val="0"/>
              </w:rPr>
            </w:pPr>
            <w:r w:rsidRPr="003F5BDA">
              <w:rPr>
                <w:b/>
                <w:bCs w:val="0"/>
              </w:rPr>
              <w:t>5 years</w:t>
            </w:r>
          </w:p>
          <w:p w14:paraId="6AE18AFE" w14:textId="77777777" w:rsidR="00D1322B" w:rsidRPr="003F5BDA" w:rsidRDefault="00D1322B" w:rsidP="00D1322B">
            <w:pPr>
              <w:framePr w:hSpace="0" w:wrap="auto" w:vAnchor="margin" w:hAnchor="text" w:yAlign="inline"/>
              <w:jc w:val="center"/>
              <w:rPr>
                <w:b/>
                <w:bCs w:val="0"/>
              </w:rPr>
            </w:pPr>
            <w:r w:rsidRPr="003F5BDA">
              <w:rPr>
                <w:b/>
                <w:bCs w:val="0"/>
              </w:rPr>
              <w:t>(n=77)</w:t>
            </w:r>
          </w:p>
        </w:tc>
        <w:tc>
          <w:tcPr>
            <w:tcW w:w="28" w:type="dxa"/>
            <w:tcBorders>
              <w:left w:val="nil"/>
            </w:tcBorders>
          </w:tcPr>
          <w:p w14:paraId="699E14F4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117293DE" w14:textId="77777777" w:rsidTr="00D1322B">
        <w:trPr>
          <w:gridAfter w:val="1"/>
          <w:wAfter w:w="28" w:type="dxa"/>
          <w:cantSplit/>
        </w:trPr>
        <w:tc>
          <w:tcPr>
            <w:tcW w:w="5804" w:type="dxa"/>
            <w:tcBorders>
              <w:top w:val="single" w:sz="2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F8279C" w14:textId="77777777" w:rsidR="00D1322B" w:rsidRDefault="00D1322B" w:rsidP="00D1322B">
            <w:pPr>
              <w:framePr w:hSpace="0" w:wrap="auto" w:vAnchor="margin" w:hAnchor="text" w:yAlign="inline"/>
            </w:pPr>
            <w:r w:rsidRPr="002D6493">
              <w:rPr>
                <w:b/>
                <w:bCs w:val="0"/>
              </w:rPr>
              <w:t>Age</w:t>
            </w:r>
            <w:r>
              <w:t xml:space="preserve"> </w:t>
            </w:r>
            <w:r w:rsidRPr="003F5BDA">
              <w:t>(mean, (SD))</w:t>
            </w:r>
          </w:p>
          <w:p w14:paraId="2B1481FC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    </w:t>
            </w:r>
            <w:r w:rsidRPr="003F5BDA">
              <w:t>(</w:t>
            </w:r>
            <w:r>
              <w:t>median (</w:t>
            </w:r>
            <w:r w:rsidRPr="003F5BDA">
              <w:t>range</w:t>
            </w:r>
            <w:r>
              <w:t>)</w:t>
            </w:r>
            <w:r w:rsidRPr="003F5BDA">
              <w:t>)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CB731E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55.3 (13.6)</w:t>
            </w:r>
            <w:r>
              <w:br/>
              <w:t>56 (22; 80)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</w:tcBorders>
          </w:tcPr>
          <w:p w14:paraId="340C262F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 w:rsidRPr="009B3729">
              <w:t>56.5 (12.7)</w:t>
            </w:r>
          </w:p>
          <w:p w14:paraId="51219C36" w14:textId="77777777" w:rsidR="00D1322B" w:rsidRPr="00311E2F" w:rsidRDefault="00D1322B" w:rsidP="00D1322B">
            <w:pPr>
              <w:framePr w:hSpace="0" w:wrap="auto" w:vAnchor="margin" w:hAnchor="text" w:yAlign="inline"/>
              <w:jc w:val="center"/>
              <w:rPr>
                <w:b/>
              </w:rPr>
            </w:pPr>
            <w:r w:rsidRPr="009B3729">
              <w:t>57 (28; 74)</w:t>
            </w:r>
          </w:p>
        </w:tc>
      </w:tr>
      <w:tr w:rsidR="00D1322B" w14:paraId="25C49C30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739F73BA" w14:textId="77777777" w:rsidR="00D1322B" w:rsidRPr="002D6493" w:rsidRDefault="00D1322B" w:rsidP="00D1322B">
            <w:pPr>
              <w:framePr w:hSpace="0" w:wrap="auto" w:vAnchor="margin" w:hAnchor="text" w:yAlign="inline"/>
              <w:rPr>
                <w:b/>
                <w:bCs w:val="0"/>
              </w:rPr>
            </w:pPr>
            <w:r w:rsidRPr="002D6493">
              <w:rPr>
                <w:b/>
                <w:bCs w:val="0"/>
              </w:rPr>
              <w:t>Sex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47279CBB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1098" w:type="dxa"/>
          </w:tcPr>
          <w:p w14:paraId="55B49D01" w14:textId="77777777" w:rsidR="00D1322B" w:rsidRPr="00311E2F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0CF81EDC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25699343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02A8B51C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Male   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1D389438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43 (34.1%)</w:t>
            </w:r>
          </w:p>
        </w:tc>
        <w:tc>
          <w:tcPr>
            <w:tcW w:w="1098" w:type="dxa"/>
            <w:shd w:val="clear" w:color="auto" w:fill="FFFFFF"/>
          </w:tcPr>
          <w:p w14:paraId="1E9ADFCC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24 (31.2%)</w:t>
            </w:r>
          </w:p>
        </w:tc>
        <w:tc>
          <w:tcPr>
            <w:tcW w:w="28" w:type="dxa"/>
            <w:tcBorders>
              <w:left w:val="nil"/>
            </w:tcBorders>
          </w:tcPr>
          <w:p w14:paraId="3688491C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559B3FF9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5E432DE1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Female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524407F3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83 (65.9%)</w:t>
            </w:r>
          </w:p>
        </w:tc>
        <w:tc>
          <w:tcPr>
            <w:tcW w:w="1098" w:type="dxa"/>
            <w:shd w:val="clear" w:color="auto" w:fill="FFFFFF"/>
          </w:tcPr>
          <w:p w14:paraId="16F1CEBF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53 (68.8%)</w:t>
            </w:r>
          </w:p>
        </w:tc>
        <w:tc>
          <w:tcPr>
            <w:tcW w:w="28" w:type="dxa"/>
            <w:tcBorders>
              <w:left w:val="nil"/>
            </w:tcBorders>
          </w:tcPr>
          <w:p w14:paraId="55952437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40620C40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3FF2262C" w14:textId="77777777" w:rsidR="00D1322B" w:rsidRPr="002D6493" w:rsidRDefault="00D1322B" w:rsidP="00D1322B">
            <w:pPr>
              <w:framePr w:hSpace="0" w:wrap="auto" w:vAnchor="margin" w:hAnchor="text" w:yAlign="inline"/>
              <w:rPr>
                <w:b/>
                <w:bCs w:val="0"/>
              </w:rPr>
            </w:pPr>
            <w:r w:rsidRPr="002D6493">
              <w:rPr>
                <w:b/>
                <w:bCs w:val="0"/>
              </w:rPr>
              <w:t>Marital status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47AF4358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1098" w:type="dxa"/>
          </w:tcPr>
          <w:p w14:paraId="29B76D3F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7CE6E166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1E25F7FE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0C7CD961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C1176B">
              <w:t>Married / Cohabiting (living with a</w:t>
            </w:r>
            <w:r>
              <w:t xml:space="preserve"> </w:t>
            </w:r>
            <w:r w:rsidRPr="00C1176B">
              <w:t>partner)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2CAC27D2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90 (71.4%)</w:t>
            </w:r>
          </w:p>
        </w:tc>
        <w:tc>
          <w:tcPr>
            <w:tcW w:w="1098" w:type="dxa"/>
            <w:shd w:val="clear" w:color="auto" w:fill="FFFFFF"/>
          </w:tcPr>
          <w:p w14:paraId="63806500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59 (76.6%)</w:t>
            </w:r>
          </w:p>
        </w:tc>
        <w:tc>
          <w:tcPr>
            <w:tcW w:w="28" w:type="dxa"/>
            <w:tcBorders>
              <w:left w:val="nil"/>
            </w:tcBorders>
          </w:tcPr>
          <w:p w14:paraId="4FAF964D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19E01EE0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31A793F5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C1176B">
              <w:t>Living alone (single household)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04E3D8D4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36 (28.6%)</w:t>
            </w:r>
          </w:p>
        </w:tc>
        <w:tc>
          <w:tcPr>
            <w:tcW w:w="1098" w:type="dxa"/>
            <w:shd w:val="clear" w:color="auto" w:fill="FFFFFF"/>
          </w:tcPr>
          <w:p w14:paraId="3401E0AF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18 (23.4%)</w:t>
            </w:r>
          </w:p>
        </w:tc>
        <w:tc>
          <w:tcPr>
            <w:tcW w:w="28" w:type="dxa"/>
            <w:tcBorders>
              <w:left w:val="nil"/>
            </w:tcBorders>
          </w:tcPr>
          <w:p w14:paraId="47155EBC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466442F8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460D4347" w14:textId="77777777" w:rsidR="00D1322B" w:rsidRPr="002D6493" w:rsidRDefault="00D1322B" w:rsidP="00D1322B">
            <w:pPr>
              <w:framePr w:hSpace="0" w:wrap="auto" w:vAnchor="margin" w:hAnchor="text" w:yAlign="inline"/>
              <w:rPr>
                <w:b/>
                <w:bCs w:val="0"/>
              </w:rPr>
            </w:pPr>
            <w:r w:rsidRPr="0055736B">
              <w:rPr>
                <w:b/>
                <w:bCs w:val="0"/>
              </w:rPr>
              <w:t>Employment</w:t>
            </w:r>
            <w:r>
              <w:rPr>
                <w:b/>
                <w:bCs w:val="0"/>
              </w:rPr>
              <w:t xml:space="preserve"> status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05DAD4B6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1098" w:type="dxa"/>
            <w:shd w:val="clear" w:color="auto" w:fill="FFFFFF"/>
          </w:tcPr>
          <w:p w14:paraId="371EFC65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3AC583F6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62C7D3D8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0F69EC54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C1176B">
              <w:t>Employed / Student</w:t>
            </w:r>
            <w:r>
              <w:t xml:space="preserve">              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6D9C09E3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85 (67.5%)</w:t>
            </w:r>
          </w:p>
        </w:tc>
        <w:tc>
          <w:tcPr>
            <w:tcW w:w="1098" w:type="dxa"/>
            <w:shd w:val="clear" w:color="auto" w:fill="FFFFFF"/>
          </w:tcPr>
          <w:p w14:paraId="16342C39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50 (64.9%)</w:t>
            </w:r>
          </w:p>
        </w:tc>
        <w:tc>
          <w:tcPr>
            <w:tcW w:w="28" w:type="dxa"/>
            <w:tcBorders>
              <w:left w:val="nil"/>
            </w:tcBorders>
          </w:tcPr>
          <w:p w14:paraId="6A9149C4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428F06F6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2716F809" w14:textId="77777777" w:rsidR="00D1322B" w:rsidRPr="008F3C32" w:rsidRDefault="00D1322B" w:rsidP="00D1322B">
            <w:pPr>
              <w:framePr w:hSpace="0" w:wrap="auto" w:vAnchor="margin" w:hAnchor="text" w:yAlign="inline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8F3C32">
              <w:rPr>
                <w:lang w:val="en-US"/>
              </w:rPr>
              <w:t xml:space="preserve">Retired </w:t>
            </w:r>
            <w:r w:rsidRPr="00E01CD8">
              <w:rPr>
                <w:lang w:val="en-US"/>
              </w:rPr>
              <w:t xml:space="preserve">/ Disability pension </w:t>
            </w:r>
            <w:r w:rsidRPr="008F3C32">
              <w:rPr>
                <w:lang w:val="en-US"/>
              </w:rPr>
              <w:t>/ Unemployed /</w:t>
            </w:r>
            <w:r>
              <w:rPr>
                <w:lang w:val="en-US"/>
              </w:rPr>
              <w:t xml:space="preserve"> N</w:t>
            </w:r>
            <w:r w:rsidRPr="008F3C32">
              <w:rPr>
                <w:lang w:val="en-US"/>
              </w:rPr>
              <w:t>o occupation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373640B2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41 (32.5%)</w:t>
            </w:r>
          </w:p>
        </w:tc>
        <w:tc>
          <w:tcPr>
            <w:tcW w:w="1098" w:type="dxa"/>
            <w:shd w:val="clear" w:color="auto" w:fill="FFFFFF"/>
          </w:tcPr>
          <w:p w14:paraId="375CB4D2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27 (35.1%)</w:t>
            </w:r>
          </w:p>
        </w:tc>
        <w:tc>
          <w:tcPr>
            <w:tcW w:w="28" w:type="dxa"/>
            <w:tcBorders>
              <w:left w:val="nil"/>
            </w:tcBorders>
          </w:tcPr>
          <w:p w14:paraId="7A91B30E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437BB281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040AF459" w14:textId="77777777" w:rsidR="00D1322B" w:rsidRPr="00E44411" w:rsidRDefault="00D1322B" w:rsidP="00D1322B">
            <w:pPr>
              <w:framePr w:hSpace="0" w:wrap="auto" w:vAnchor="margin" w:hAnchor="text" w:yAlign="inline"/>
              <w:rPr>
                <w:b/>
                <w:bCs w:val="0"/>
              </w:rPr>
            </w:pPr>
            <w:r w:rsidRPr="00E44411">
              <w:rPr>
                <w:b/>
                <w:bCs w:val="0"/>
              </w:rPr>
              <w:t>Education level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334C99CE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1098" w:type="dxa"/>
            <w:shd w:val="clear" w:color="auto" w:fill="FFFFFF"/>
          </w:tcPr>
          <w:p w14:paraId="1CB53267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6E5B6697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7F9EE6F4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7B7BDE3E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C</w:t>
            </w:r>
            <w:r w:rsidRPr="008F1D8D">
              <w:t>ompulsory school</w:t>
            </w:r>
            <w:r>
              <w:t xml:space="preserve">  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5A09F97E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17 (13.6%)</w:t>
            </w:r>
          </w:p>
        </w:tc>
        <w:tc>
          <w:tcPr>
            <w:tcW w:w="1098" w:type="dxa"/>
            <w:shd w:val="clear" w:color="auto" w:fill="FFFFFF"/>
          </w:tcPr>
          <w:p w14:paraId="4BB5321C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9 (11.8%)</w:t>
            </w:r>
          </w:p>
        </w:tc>
        <w:tc>
          <w:tcPr>
            <w:tcW w:w="28" w:type="dxa"/>
            <w:tcBorders>
              <w:left w:val="nil"/>
            </w:tcBorders>
          </w:tcPr>
          <w:p w14:paraId="01504620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466F5EF9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0E0F1ABA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8F1D8D">
              <w:t>Upper secondary / Vocational school</w:t>
            </w:r>
            <w: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748108CA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60 (48.0%)</w:t>
            </w:r>
          </w:p>
        </w:tc>
        <w:tc>
          <w:tcPr>
            <w:tcW w:w="1098" w:type="dxa"/>
            <w:shd w:val="clear" w:color="auto" w:fill="FFFFFF"/>
          </w:tcPr>
          <w:p w14:paraId="153B2891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36 (47.4%)</w:t>
            </w:r>
          </w:p>
        </w:tc>
        <w:tc>
          <w:tcPr>
            <w:tcW w:w="28" w:type="dxa"/>
            <w:tcBorders>
              <w:left w:val="nil"/>
            </w:tcBorders>
          </w:tcPr>
          <w:p w14:paraId="19900DD5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06C1F2DE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399B51F2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1F46E5">
              <w:t>University / Higher education</w:t>
            </w:r>
            <w:r>
              <w:t xml:space="preserve"> (College)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16A38270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48 (38.4%)</w:t>
            </w:r>
          </w:p>
        </w:tc>
        <w:tc>
          <w:tcPr>
            <w:tcW w:w="1098" w:type="dxa"/>
            <w:shd w:val="clear" w:color="auto" w:fill="FFFFFF"/>
          </w:tcPr>
          <w:p w14:paraId="19CFCE25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31 (40.8%)</w:t>
            </w:r>
          </w:p>
        </w:tc>
        <w:tc>
          <w:tcPr>
            <w:tcW w:w="28" w:type="dxa"/>
            <w:tcBorders>
              <w:left w:val="nil"/>
            </w:tcBorders>
          </w:tcPr>
          <w:p w14:paraId="5424118B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33C93C3F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598EDB4E" w14:textId="77777777" w:rsidR="00D1322B" w:rsidRPr="00E44411" w:rsidRDefault="00D1322B" w:rsidP="00D1322B">
            <w:pPr>
              <w:framePr w:hSpace="0" w:wrap="auto" w:vAnchor="margin" w:hAnchor="text" w:yAlign="inline"/>
              <w:rPr>
                <w:b/>
                <w:bCs w:val="0"/>
              </w:rPr>
            </w:pPr>
            <w:r w:rsidRPr="00E01CD8">
              <w:rPr>
                <w:b/>
                <w:bCs w:val="0"/>
              </w:rPr>
              <w:t>Diagnoses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58802310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1098" w:type="dxa"/>
          </w:tcPr>
          <w:p w14:paraId="46CE13F3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6AE023C5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6F640F09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4A190425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Benign</w:t>
            </w:r>
            <w:r w:rsidRPr="00D2530F">
              <w:t xml:space="preserve"> neoplasm of meninges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3CC0CF51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107 (84.9%)</w:t>
            </w:r>
          </w:p>
        </w:tc>
        <w:tc>
          <w:tcPr>
            <w:tcW w:w="1098" w:type="dxa"/>
            <w:shd w:val="clear" w:color="auto" w:fill="FFFFFF"/>
          </w:tcPr>
          <w:p w14:paraId="4BDE2207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69 (89.6%)</w:t>
            </w:r>
          </w:p>
        </w:tc>
        <w:tc>
          <w:tcPr>
            <w:tcW w:w="28" w:type="dxa"/>
            <w:tcBorders>
              <w:left w:val="nil"/>
            </w:tcBorders>
          </w:tcPr>
          <w:p w14:paraId="23CC4AF3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694BD1E3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6CA1C666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Benign</w:t>
            </w:r>
            <w:r w:rsidRPr="00D2530F">
              <w:t xml:space="preserve"> neoplasm of brain</w:t>
            </w:r>
            <w:r>
              <w:t xml:space="preserve"> </w:t>
            </w:r>
            <w:r w:rsidRPr="00D318AF">
              <w:t>and other parts of central nervous system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15453A42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10 (7.9%)</w:t>
            </w:r>
          </w:p>
        </w:tc>
        <w:tc>
          <w:tcPr>
            <w:tcW w:w="1098" w:type="dxa"/>
          </w:tcPr>
          <w:p w14:paraId="1BD8AB8E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623A1531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02B7C9C6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1CBFF08C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D2530F">
              <w:t>Benign neoplasm of thyroid gland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0A7BE0BD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3 (2.4%)</w:t>
            </w:r>
          </w:p>
        </w:tc>
        <w:tc>
          <w:tcPr>
            <w:tcW w:w="1098" w:type="dxa"/>
            <w:shd w:val="clear" w:color="auto" w:fill="FFFFFF"/>
          </w:tcPr>
          <w:p w14:paraId="4D6956C6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2 (2.6%)</w:t>
            </w:r>
          </w:p>
        </w:tc>
        <w:tc>
          <w:tcPr>
            <w:tcW w:w="28" w:type="dxa"/>
            <w:tcBorders>
              <w:left w:val="nil"/>
            </w:tcBorders>
          </w:tcPr>
          <w:p w14:paraId="5D32D8E6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097DDE7A" w14:textId="77777777" w:rsidTr="00D1322B">
        <w:trPr>
          <w:cantSplit/>
        </w:trPr>
        <w:tc>
          <w:tcPr>
            <w:tcW w:w="5804" w:type="dxa"/>
            <w:shd w:val="clear" w:color="auto" w:fill="FFFFFF"/>
            <w:tcMar>
              <w:left w:w="38" w:type="dxa"/>
              <w:right w:w="38" w:type="dxa"/>
            </w:tcMar>
          </w:tcPr>
          <w:p w14:paraId="5FC458B7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1F5180">
              <w:t>Benign neoplasm</w:t>
            </w:r>
            <w:r>
              <w:t xml:space="preserve"> </w:t>
            </w:r>
            <w:r w:rsidRPr="00D318AF">
              <w:t>of other and unspecified endocrine glands</w:t>
            </w:r>
          </w:p>
        </w:tc>
        <w:tc>
          <w:tcPr>
            <w:tcW w:w="1134" w:type="dxa"/>
            <w:shd w:val="clear" w:color="auto" w:fill="FFFFFF"/>
            <w:tcMar>
              <w:left w:w="38" w:type="dxa"/>
              <w:right w:w="38" w:type="dxa"/>
            </w:tcMar>
          </w:tcPr>
          <w:p w14:paraId="0A8C4FA2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5 (4.0%)</w:t>
            </w:r>
          </w:p>
        </w:tc>
        <w:tc>
          <w:tcPr>
            <w:tcW w:w="1098" w:type="dxa"/>
            <w:shd w:val="clear" w:color="auto" w:fill="FFFFFF"/>
          </w:tcPr>
          <w:p w14:paraId="43D7BA97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  <w:r>
              <w:t>3 (6.5%)</w:t>
            </w:r>
          </w:p>
        </w:tc>
        <w:tc>
          <w:tcPr>
            <w:tcW w:w="28" w:type="dxa"/>
            <w:tcBorders>
              <w:left w:val="nil"/>
            </w:tcBorders>
          </w:tcPr>
          <w:p w14:paraId="461E0A4C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7CF4E0AF" w14:textId="77777777" w:rsidTr="00D1322B">
        <w:trPr>
          <w:cantSplit/>
        </w:trPr>
        <w:tc>
          <w:tcPr>
            <w:tcW w:w="5804" w:type="dxa"/>
            <w:tcBorders>
              <w:bottom w:val="single" w:sz="4" w:space="0" w:color="auto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CCB222" w14:textId="77777777" w:rsidR="00D1322B" w:rsidRDefault="00D1322B" w:rsidP="00D1322B">
            <w:pPr>
              <w:framePr w:hSpace="0" w:wrap="auto" w:vAnchor="margin" w:hAnchor="text" w:yAlign="inline"/>
            </w:pPr>
            <w:r>
              <w:t xml:space="preserve">    </w:t>
            </w:r>
            <w:r w:rsidRPr="001F5180">
              <w:t xml:space="preserve">Neoplasm </w:t>
            </w:r>
            <w:r w:rsidRPr="00CB6FC3">
              <w:t>of uncertain or unknown behaviour of endocrine glands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DA8497" w14:textId="77777777" w:rsidR="00D1322B" w:rsidRDefault="00D1322B" w:rsidP="00D1322B">
            <w:pPr>
              <w:framePr w:hSpace="0" w:wrap="auto" w:vAnchor="margin" w:hAnchor="text" w:yAlign="inline"/>
              <w:jc w:val="center"/>
            </w:pPr>
            <w:r>
              <w:t>1 (0.8%)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411D5E36" w14:textId="77777777" w:rsidR="00D1322B" w:rsidRPr="009B3729" w:rsidRDefault="00D1322B" w:rsidP="00D1322B">
            <w:pPr>
              <w:framePr w:hSpace="0" w:wrap="auto" w:vAnchor="margin" w:hAnchor="text" w:yAlign="inline"/>
              <w:jc w:val="center"/>
            </w:pPr>
          </w:p>
        </w:tc>
        <w:tc>
          <w:tcPr>
            <w:tcW w:w="28" w:type="dxa"/>
            <w:tcBorders>
              <w:left w:val="nil"/>
            </w:tcBorders>
          </w:tcPr>
          <w:p w14:paraId="1EB410CA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  <w:tr w:rsidR="00D1322B" w14:paraId="7A00A860" w14:textId="77777777" w:rsidTr="00D1322B">
        <w:trPr>
          <w:cantSplit/>
        </w:trPr>
        <w:tc>
          <w:tcPr>
            <w:tcW w:w="8036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5C8878" w14:textId="77777777" w:rsidR="00D1322B" w:rsidRPr="00311E2F" w:rsidRDefault="00D1322B" w:rsidP="00D1322B">
            <w:pPr>
              <w:framePr w:hSpace="0" w:wrap="auto" w:vAnchor="margin" w:hAnchor="text" w:yAlign="inline"/>
              <w:rPr>
                <w:b/>
              </w:rPr>
            </w:pPr>
            <w:r>
              <w:t>For categorical variables n (%) is presented.</w:t>
            </w:r>
            <w:r>
              <w:br/>
              <w:t>For continuous variables Mean (SD) / Median (Min; Max) / n= is presented.</w:t>
            </w:r>
          </w:p>
        </w:tc>
        <w:tc>
          <w:tcPr>
            <w:tcW w:w="28" w:type="dxa"/>
            <w:tcBorders>
              <w:left w:val="nil"/>
            </w:tcBorders>
          </w:tcPr>
          <w:p w14:paraId="4DEC36D7" w14:textId="77777777" w:rsidR="00D1322B" w:rsidRDefault="00D1322B" w:rsidP="00D1322B">
            <w:pPr>
              <w:framePr w:hSpace="0" w:wrap="auto" w:vAnchor="margin" w:hAnchor="text" w:yAlign="inline"/>
            </w:pPr>
          </w:p>
        </w:tc>
      </w:tr>
    </w:tbl>
    <w:p w14:paraId="733EE484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58C84EA4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512E757A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6D2EA0B0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54B809B5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00EB8898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4FBEB55D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6004B9F4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39977DAA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7C1D39EC" w14:textId="77777777" w:rsidR="00813F8B" w:rsidRPr="005667C4" w:rsidRDefault="00813F8B">
      <w:pPr>
        <w:framePr w:hSpace="0" w:wrap="auto" w:vAnchor="margin" w:hAnchor="text" w:yAlign="inline"/>
        <w:adjustRightInd/>
        <w:spacing w:before="0" w:after="160" w:line="259" w:lineRule="auto"/>
        <w:rPr>
          <w:lang w:val="en-US"/>
        </w:rPr>
      </w:pPr>
    </w:p>
    <w:p w14:paraId="55ED1C4E" w14:textId="7B033B51" w:rsidR="005F73D7" w:rsidRDefault="005F73D7">
      <w:pPr>
        <w:framePr w:hSpace="0" w:wrap="auto" w:vAnchor="margin" w:hAnchor="text" w:yAlign="inline"/>
        <w:adjustRightInd/>
        <w:spacing w:before="0" w:after="160" w:line="259" w:lineRule="auto"/>
        <w:rPr>
          <w:sz w:val="22"/>
          <w:szCs w:val="32"/>
          <w:lang w:val="en-US"/>
        </w:rPr>
      </w:pPr>
    </w:p>
    <w:sectPr w:rsidR="005F73D7" w:rsidSect="00FB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2F"/>
    <w:rsid w:val="00045846"/>
    <w:rsid w:val="00055063"/>
    <w:rsid w:val="00075078"/>
    <w:rsid w:val="00077E0A"/>
    <w:rsid w:val="00084F43"/>
    <w:rsid w:val="000E7411"/>
    <w:rsid w:val="00161E28"/>
    <w:rsid w:val="00173BCA"/>
    <w:rsid w:val="001744D0"/>
    <w:rsid w:val="00192B9D"/>
    <w:rsid w:val="00194E5C"/>
    <w:rsid w:val="001A03C2"/>
    <w:rsid w:val="001A6611"/>
    <w:rsid w:val="001E6E45"/>
    <w:rsid w:val="001F46E5"/>
    <w:rsid w:val="001F5180"/>
    <w:rsid w:val="00204CE5"/>
    <w:rsid w:val="0021171D"/>
    <w:rsid w:val="00226F75"/>
    <w:rsid w:val="00233003"/>
    <w:rsid w:val="00242422"/>
    <w:rsid w:val="00260E51"/>
    <w:rsid w:val="00271887"/>
    <w:rsid w:val="0028134F"/>
    <w:rsid w:val="002C6BCB"/>
    <w:rsid w:val="002C7AE9"/>
    <w:rsid w:val="002D6493"/>
    <w:rsid w:val="00310F06"/>
    <w:rsid w:val="00311E2F"/>
    <w:rsid w:val="0031435A"/>
    <w:rsid w:val="00345136"/>
    <w:rsid w:val="003515F3"/>
    <w:rsid w:val="00365C26"/>
    <w:rsid w:val="003F5BDA"/>
    <w:rsid w:val="003F6ECC"/>
    <w:rsid w:val="00411414"/>
    <w:rsid w:val="004529F2"/>
    <w:rsid w:val="00496540"/>
    <w:rsid w:val="0049799E"/>
    <w:rsid w:val="004D1E53"/>
    <w:rsid w:val="0052053E"/>
    <w:rsid w:val="005246F9"/>
    <w:rsid w:val="005571F7"/>
    <w:rsid w:val="0055736B"/>
    <w:rsid w:val="005667C4"/>
    <w:rsid w:val="00576BE6"/>
    <w:rsid w:val="005A79B1"/>
    <w:rsid w:val="005B5A17"/>
    <w:rsid w:val="005C089B"/>
    <w:rsid w:val="005D312B"/>
    <w:rsid w:val="005F73D7"/>
    <w:rsid w:val="00644802"/>
    <w:rsid w:val="006A27E7"/>
    <w:rsid w:val="006B6D05"/>
    <w:rsid w:val="006C3031"/>
    <w:rsid w:val="006D1045"/>
    <w:rsid w:val="00755D97"/>
    <w:rsid w:val="0076054D"/>
    <w:rsid w:val="0077756A"/>
    <w:rsid w:val="007B6DB2"/>
    <w:rsid w:val="007C429B"/>
    <w:rsid w:val="007D5D5F"/>
    <w:rsid w:val="007D6A2C"/>
    <w:rsid w:val="007E600C"/>
    <w:rsid w:val="007F4DEF"/>
    <w:rsid w:val="007F74FB"/>
    <w:rsid w:val="00813F8B"/>
    <w:rsid w:val="008948E4"/>
    <w:rsid w:val="008A14D8"/>
    <w:rsid w:val="008B276F"/>
    <w:rsid w:val="008B3D8B"/>
    <w:rsid w:val="008B545D"/>
    <w:rsid w:val="008C3D50"/>
    <w:rsid w:val="008F1D8D"/>
    <w:rsid w:val="008F3C32"/>
    <w:rsid w:val="008F6A90"/>
    <w:rsid w:val="009047C9"/>
    <w:rsid w:val="00921A20"/>
    <w:rsid w:val="009358F5"/>
    <w:rsid w:val="00952FF8"/>
    <w:rsid w:val="009B3729"/>
    <w:rsid w:val="009E0AA3"/>
    <w:rsid w:val="00A206D7"/>
    <w:rsid w:val="00A23A4F"/>
    <w:rsid w:val="00A50142"/>
    <w:rsid w:val="00A6721A"/>
    <w:rsid w:val="00AC324F"/>
    <w:rsid w:val="00AF5496"/>
    <w:rsid w:val="00B1173C"/>
    <w:rsid w:val="00B24C46"/>
    <w:rsid w:val="00B6555C"/>
    <w:rsid w:val="00B7384C"/>
    <w:rsid w:val="00B9488A"/>
    <w:rsid w:val="00BC49B5"/>
    <w:rsid w:val="00BC6818"/>
    <w:rsid w:val="00C079EC"/>
    <w:rsid w:val="00C1176B"/>
    <w:rsid w:val="00C33BD7"/>
    <w:rsid w:val="00C52B82"/>
    <w:rsid w:val="00C54CA0"/>
    <w:rsid w:val="00C57BE1"/>
    <w:rsid w:val="00C7214C"/>
    <w:rsid w:val="00C74811"/>
    <w:rsid w:val="00C858D7"/>
    <w:rsid w:val="00C94923"/>
    <w:rsid w:val="00C96CCD"/>
    <w:rsid w:val="00CB137B"/>
    <w:rsid w:val="00CB6FC3"/>
    <w:rsid w:val="00CC335D"/>
    <w:rsid w:val="00D005C2"/>
    <w:rsid w:val="00D1322B"/>
    <w:rsid w:val="00D2530F"/>
    <w:rsid w:val="00D318AF"/>
    <w:rsid w:val="00D54366"/>
    <w:rsid w:val="00DC2FDA"/>
    <w:rsid w:val="00DD2768"/>
    <w:rsid w:val="00E01CD8"/>
    <w:rsid w:val="00E44411"/>
    <w:rsid w:val="00E82E8E"/>
    <w:rsid w:val="00E94B97"/>
    <w:rsid w:val="00EB74EE"/>
    <w:rsid w:val="00ED14C4"/>
    <w:rsid w:val="00EE5AD6"/>
    <w:rsid w:val="00F02B1F"/>
    <w:rsid w:val="00F20CCC"/>
    <w:rsid w:val="00F3487F"/>
    <w:rsid w:val="00F72877"/>
    <w:rsid w:val="00F73775"/>
    <w:rsid w:val="00FA6797"/>
    <w:rsid w:val="00FB1118"/>
    <w:rsid w:val="00FD1B7C"/>
    <w:rsid w:val="00FF7531"/>
    <w:rsid w:val="013ED59E"/>
    <w:rsid w:val="090FA23C"/>
    <w:rsid w:val="15B1358D"/>
    <w:rsid w:val="1754253D"/>
    <w:rsid w:val="1772F1CF"/>
    <w:rsid w:val="17FC933B"/>
    <w:rsid w:val="19694EC7"/>
    <w:rsid w:val="20467259"/>
    <w:rsid w:val="20B6A697"/>
    <w:rsid w:val="211A01E9"/>
    <w:rsid w:val="232C6DDB"/>
    <w:rsid w:val="24CD699D"/>
    <w:rsid w:val="25233484"/>
    <w:rsid w:val="25F60D35"/>
    <w:rsid w:val="2647B057"/>
    <w:rsid w:val="2EDE4FE3"/>
    <w:rsid w:val="323002D9"/>
    <w:rsid w:val="34B2805D"/>
    <w:rsid w:val="35F1E98D"/>
    <w:rsid w:val="36C13EF5"/>
    <w:rsid w:val="38CC4F53"/>
    <w:rsid w:val="3C6465D8"/>
    <w:rsid w:val="3DF7ECC0"/>
    <w:rsid w:val="3E3E25FE"/>
    <w:rsid w:val="3EDEFA1C"/>
    <w:rsid w:val="3FA59C03"/>
    <w:rsid w:val="4178E881"/>
    <w:rsid w:val="432C225F"/>
    <w:rsid w:val="48989298"/>
    <w:rsid w:val="4D60182D"/>
    <w:rsid w:val="540BCB15"/>
    <w:rsid w:val="57DD9B82"/>
    <w:rsid w:val="5ADC4138"/>
    <w:rsid w:val="68D7FF7F"/>
    <w:rsid w:val="69C99C44"/>
    <w:rsid w:val="6A60FC16"/>
    <w:rsid w:val="6C01BF30"/>
    <w:rsid w:val="6E99624E"/>
    <w:rsid w:val="736B5C8D"/>
    <w:rsid w:val="7A348E59"/>
    <w:rsid w:val="7D079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73F"/>
  <w15:chartTrackingRefBased/>
  <w15:docId w15:val="{9B4746B1-D320-484C-964D-1C67641B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F6ECC"/>
    <w:pPr>
      <w:framePr w:hSpace="141" w:wrap="around" w:vAnchor="page" w:hAnchor="margin" w:y="2761"/>
      <w:adjustRightInd w:val="0"/>
      <w:spacing w:before="38" w:after="38" w:line="240" w:lineRule="auto"/>
    </w:pPr>
    <w:rPr>
      <w:rFonts w:ascii="Times New Roman" w:eastAsia="Times New Roman" w:hAnsi="Times New Roman" w:cs="Times New Roman"/>
      <w:bCs/>
      <w:color w:val="000000"/>
      <w:sz w:val="18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311E2F"/>
    <w:pPr>
      <w:keepNext/>
      <w:keepLines/>
      <w:framePr w:wrap="around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1E2F"/>
    <w:pPr>
      <w:keepNext/>
      <w:keepLines/>
      <w:framePr w:wrap="around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1E2F"/>
    <w:pPr>
      <w:keepNext/>
      <w:keepLines/>
      <w:framePr w:wrap="around"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1E2F"/>
    <w:pPr>
      <w:keepNext/>
      <w:keepLines/>
      <w:framePr w:wrap="around"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1E2F"/>
    <w:pPr>
      <w:keepNext/>
      <w:keepLines/>
      <w:framePr w:wrap="around"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1E2F"/>
    <w:pPr>
      <w:keepNext/>
      <w:keepLines/>
      <w:framePr w:wrap="around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1E2F"/>
    <w:pPr>
      <w:keepNext/>
      <w:keepLines/>
      <w:framePr w:wrap="around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1E2F"/>
    <w:pPr>
      <w:keepNext/>
      <w:keepLines/>
      <w:framePr w:wrap="around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1E2F"/>
    <w:pPr>
      <w:keepNext/>
      <w:keepLines/>
      <w:framePr w:wrap="around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1E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1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1E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1E2F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1E2F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1E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1E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1E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1E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1E2F"/>
    <w:pPr>
      <w:framePr w:wrap="around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1E2F"/>
    <w:pPr>
      <w:framePr w:wrap="around"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1E2F"/>
    <w:pPr>
      <w:framePr w:wrap="around"/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1E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1E2F"/>
    <w:pPr>
      <w:framePr w:wrap="around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1E2F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1E2F"/>
    <w:pPr>
      <w:framePr w:wrap="around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1E2F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1E2F"/>
    <w:rPr>
      <w:b/>
      <w:bCs/>
      <w:smallCaps/>
      <w:color w:val="2E74B5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F51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F5180"/>
    <w:pPr>
      <w:framePr w:wrap="around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F5180"/>
    <w:rPr>
      <w:rFonts w:ascii="Times New Roman" w:eastAsia="Times New Roman" w:hAnsi="Times New Roman" w:cs="Times New Roman"/>
      <w:bCs/>
      <w:color w:val="000000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5180"/>
    <w:pPr>
      <w:framePr w:wrap="around"/>
    </w:pPr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5180"/>
    <w:rPr>
      <w:rFonts w:ascii="Times New Roman" w:eastAsia="Times New Roman" w:hAnsi="Times New Roman" w:cs="Times New Roman"/>
      <w:b/>
      <w:bCs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b73e9-f58a-4b86-97cb-97454097c43e">
      <Terms xmlns="http://schemas.microsoft.com/office/infopath/2007/PartnerControls"/>
    </lcf76f155ced4ddcb4097134ff3c332f>
    <TaxCatchAll xmlns="f33879b8-1199-459e-b7c6-e4024e9b0b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2A511FABDAE44837B9D7CC670807A" ma:contentTypeVersion="12" ma:contentTypeDescription="Skapa ett nytt dokument." ma:contentTypeScope="" ma:versionID="e1d05bf6d2fe04e1999cbeebeceecc5e">
  <xsd:schema xmlns:xsd="http://www.w3.org/2001/XMLSchema" xmlns:xs="http://www.w3.org/2001/XMLSchema" xmlns:p="http://schemas.microsoft.com/office/2006/metadata/properties" xmlns:ns2="889b73e9-f58a-4b86-97cb-97454097c43e" xmlns:ns3="f33879b8-1199-459e-b7c6-e4024e9b0bb3" targetNamespace="http://schemas.microsoft.com/office/2006/metadata/properties" ma:root="true" ma:fieldsID="292bdd716d81bfb8b9d27605ba96617e" ns2:_="" ns3:_="">
    <xsd:import namespace="889b73e9-f58a-4b86-97cb-97454097c43e"/>
    <xsd:import namespace="f33879b8-1199-459e-b7c6-e4024e9b0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73e9-f58a-4b86-97cb-97454097c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7b39c0b7-3c9c-4b39-ade0-66cfcf86f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879b8-1199-459e-b7c6-e4024e9b0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5c057c-905d-439e-9f16-8f2589a743bc}" ma:internalName="TaxCatchAll" ma:showField="CatchAllData" ma:web="f33879b8-1199-459e-b7c6-e4024e9b0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F5933-6ED6-436A-9D6B-319F19540521}">
  <ds:schemaRefs>
    <ds:schemaRef ds:uri="http://schemas.microsoft.com/office/2006/metadata/properties"/>
    <ds:schemaRef ds:uri="http://schemas.microsoft.com/office/infopath/2007/PartnerControls"/>
    <ds:schemaRef ds:uri="889b73e9-f58a-4b86-97cb-97454097c43e"/>
    <ds:schemaRef ds:uri="f33879b8-1199-459e-b7c6-e4024e9b0bb3"/>
  </ds:schemaRefs>
</ds:datastoreItem>
</file>

<file path=customXml/itemProps2.xml><?xml version="1.0" encoding="utf-8"?>
<ds:datastoreItem xmlns:ds="http://schemas.openxmlformats.org/officeDocument/2006/customXml" ds:itemID="{5E8C7268-0B17-4AF7-B196-075E077C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73e9-f58a-4b86-97cb-97454097c43e"/>
    <ds:schemaRef ds:uri="f33879b8-1199-459e-b7c6-e4024e9b0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17756-0E56-4986-AD68-60B55FDC3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1046</Characters>
  <Application>Microsoft Office Word</Application>
  <DocSecurity>0</DocSecurity>
  <Lines>8</Lines>
  <Paragraphs>2</Paragraphs>
  <ScaleCrop>false</ScaleCrop>
  <Company>Region Gävleborg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Fessé Per - HOSGSR - Utvecklingsenhet Hälso- och sjukvård</dc:creator>
  <cp:keywords/>
  <dc:description/>
  <cp:lastModifiedBy>Fessé Per - HOSGSR - Utvecklingsenhet Hälso- och sjukvård</cp:lastModifiedBy>
  <cp:revision>4</cp:revision>
  <dcterms:created xsi:type="dcterms:W3CDTF">2026-06-04T08:21:00Z</dcterms:created>
  <dcterms:modified xsi:type="dcterms:W3CDTF">2026-06-04T09:45:00Z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0x0101009A12A511FABDAE44837B9D7CC670807A</vt:lpwstr>
  </property>
  <property fmtid="{D5CDD505-2E9C-101B-9397-08002B2CF9AE}" pid="3" name="MSIP_Label_9144ccec-98ca-4847-b090-103d5c6592f4_Enabled">
    <vt:lpwstr>true</vt:lpwstr>
  </property>
  <property fmtid="{D5CDD505-2E9C-101B-9397-08002B2CF9AE}" pid="4" name="MSIP_Label_9144ccec-98ca-4847-b090-103d5c6592f4_SetDate">
    <vt:lpwstr>2026-02-05T07:53:10Z</vt:lpwstr>
  </property>
  <property fmtid="{D5CDD505-2E9C-101B-9397-08002B2CF9AE}" pid="5" name="MSIP_Label_9144ccec-98ca-4847-b090-103d5c6592f4_Method">
    <vt:lpwstr>Standard</vt:lpwstr>
  </property>
  <property fmtid="{D5CDD505-2E9C-101B-9397-08002B2CF9AE}" pid="6" name="MSIP_Label_9144ccec-98ca-4847-b090-103d5c6592f4_Name">
    <vt:lpwstr>Information class 1</vt:lpwstr>
  </property>
  <property fmtid="{D5CDD505-2E9C-101B-9397-08002B2CF9AE}" pid="7" name="MSIP_Label_9144ccec-98ca-4847-b090-103d5c6592f4_SiteId">
    <vt:lpwstr>fb665cd7-b4b7-4578-8a42-29ff69176bdf</vt:lpwstr>
  </property>
  <property fmtid="{D5CDD505-2E9C-101B-9397-08002B2CF9AE}" pid="8" name="MSIP_Label_9144ccec-98ca-4847-b090-103d5c6592f4_ActionId">
    <vt:lpwstr>ccdfea5e-91e4-4743-a182-4743cad12405</vt:lpwstr>
  </property>
  <property fmtid="{D5CDD505-2E9C-101B-9397-08002B2CF9AE}" pid="9" name="MSIP_Label_9144ccec-98ca-4847-b090-103d5c6592f4_ContentBits">
    <vt:lpwstr>0</vt:lpwstr>
  </property>
  <property fmtid="{D5CDD505-2E9C-101B-9397-08002B2CF9AE}" pid="10" name="MSIP_Label_9144ccec-98ca-4847-b090-103d5c6592f4_Tag">
    <vt:lpwstr>10, 3, 0, 2</vt:lpwstr>
  </property>
  <property fmtid="{D5CDD505-2E9C-101B-9397-08002B2CF9AE}" pid="11" name="MediaServiceImageTags">
    <vt:lpwstr/>
  </property>
</Properties>
</file>