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6A5421">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Times New Roman" w:hAnsi="Times New Roman" w:eastAsia="宋体" w:cs="Times New Roman"/>
          <w:i/>
          <w:iCs/>
          <w:sz w:val="22"/>
          <w:szCs w:val="22"/>
        </w:rPr>
      </w:pPr>
      <w:r>
        <w:rPr>
          <w:rFonts w:hint="default" w:ascii="Times New Roman" w:hAnsi="Times New Roman" w:eastAsia="宋体" w:cs="Times New Roman"/>
          <w:i/>
          <w:iCs/>
          <w:sz w:val="22"/>
          <w:szCs w:val="22"/>
        </w:rPr>
        <w:t>Supporting Information</w:t>
      </w:r>
    </w:p>
    <w:p w14:paraId="2EC2CC88">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Times New Roman" w:hAnsi="Times New Roman" w:eastAsia="宋体" w:cs="Times New Roman"/>
          <w:i/>
          <w:iCs/>
          <w:sz w:val="22"/>
          <w:szCs w:val="22"/>
        </w:rPr>
      </w:pPr>
      <w:r>
        <w:rPr>
          <w:rFonts w:hint="default" w:ascii="Times New Roman" w:hAnsi="Times New Roman" w:eastAsia="宋体" w:cs="Times New Roman"/>
          <w:i/>
          <w:iCs/>
          <w:sz w:val="22"/>
          <w:szCs w:val="22"/>
        </w:rPr>
        <w:t>For</w:t>
      </w:r>
    </w:p>
    <w:p w14:paraId="2C8C63D0">
      <w:pPr>
        <w:spacing w:line="360" w:lineRule="auto"/>
        <w:rPr>
          <w:rFonts w:hint="default" w:ascii="Times New Roman" w:hAnsi="Times New Roman" w:eastAsia="Times New Roman" w:cs="Times New Roman"/>
          <w:b/>
          <w:bCs/>
          <w:sz w:val="24"/>
          <w:lang w:val="en-US" w:eastAsia="zh-CN"/>
        </w:rPr>
      </w:pPr>
      <w:r>
        <w:rPr>
          <w:rFonts w:hint="default" w:ascii="Times New Roman" w:hAnsi="Times New Roman" w:eastAsia="Times New Roman" w:cs="Times New Roman"/>
          <w:b/>
          <w:bCs/>
          <w:i/>
          <w:iCs/>
          <w:sz w:val="24"/>
        </w:rPr>
        <w:t>Bacillus licheniformis</w:t>
      </w:r>
      <w:r>
        <w:rPr>
          <w:rFonts w:hint="default" w:ascii="Times New Roman" w:hAnsi="Times New Roman" w:eastAsia="Times New Roman" w:cs="Times New Roman"/>
          <w:b/>
          <w:bCs/>
          <w:sz w:val="24"/>
          <w:lang w:val="en-US" w:eastAsia="zh-CN"/>
        </w:rPr>
        <w:t xml:space="preserve"> </w:t>
      </w:r>
      <w:r>
        <w:rPr>
          <w:rFonts w:hint="default" w:ascii="Times New Roman" w:hAnsi="Times New Roman" w:eastAsia="Times New Roman" w:cs="Times New Roman"/>
          <w:b/>
          <w:bCs/>
          <w:sz w:val="24"/>
        </w:rPr>
        <w:t xml:space="preserve">Promotes Growth and Bioactive Compound Accumulation in </w:t>
      </w:r>
      <w:r>
        <w:rPr>
          <w:rFonts w:hint="default" w:ascii="Times New Roman" w:hAnsi="Times New Roman" w:eastAsia="Times New Roman" w:cs="Times New Roman"/>
          <w:b/>
          <w:bCs/>
          <w:i/>
          <w:color w:val="auto"/>
          <w:sz w:val="24"/>
          <w:szCs w:val="24"/>
          <w:highlight w:val="none"/>
        </w:rPr>
        <w:t>Ligusticum chuanxiong</w:t>
      </w:r>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Times New Roman" w:cs="Times New Roman"/>
          <w:b/>
          <w:bCs/>
          <w:color w:val="auto"/>
          <w:sz w:val="24"/>
          <w:szCs w:val="24"/>
          <w:highlight w:val="none"/>
        </w:rPr>
        <w:t>Hort.</w:t>
      </w:r>
      <w:r>
        <w:rPr>
          <w:rFonts w:hint="default" w:ascii="Times New Roman" w:hAnsi="Times New Roman" w:eastAsia="Times New Roman" w:cs="Times New Roman"/>
          <w:b/>
          <w:bCs/>
          <w:sz w:val="24"/>
        </w:rPr>
        <w:t xml:space="preserve"> by Remodeling Rhizosphere Microecology</w:t>
      </w:r>
    </w:p>
    <w:p w14:paraId="7B9E2526">
      <w:pPr>
        <w:snapToGrid w:val="0"/>
        <w:spacing w:line="360" w:lineRule="auto"/>
        <w:rPr>
          <w:rFonts w:hint="default" w:ascii="Times New Roman" w:hAnsi="Times New Roman" w:eastAsia="宋体" w:cs="Times New Roman"/>
          <w:sz w:val="24"/>
          <w:szCs w:val="24"/>
          <w:lang w:val="en-US" w:eastAsia="zh-CN"/>
        </w:rPr>
      </w:pPr>
    </w:p>
    <w:p w14:paraId="71320BB4">
      <w:pPr>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Yu Xiao</w:t>
      </w:r>
      <w:r>
        <w:rPr>
          <w:rFonts w:hint="default" w:ascii="Times New Roman" w:hAnsi="Times New Roman" w:eastAsia="宋体" w:cs="Times New Roman"/>
          <w:sz w:val="24"/>
          <w:szCs w:val="24"/>
          <w:vertAlign w:val="superscript"/>
        </w:rPr>
        <w:t>a,1</w:t>
      </w:r>
      <w:r>
        <w:rPr>
          <w:rFonts w:hint="default"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Yisha Xu</w:t>
      </w:r>
      <w:r>
        <w:rPr>
          <w:rFonts w:hint="default" w:ascii="Times New Roman" w:hAnsi="Times New Roman" w:eastAsia="宋体" w:cs="Times New Roman"/>
          <w:sz w:val="24"/>
          <w:szCs w:val="24"/>
          <w:vertAlign w:val="superscript"/>
        </w:rPr>
        <w:t>a,1</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 xml:space="preserve"> Xiamu Gengdeng</w:t>
      </w:r>
      <w:r>
        <w:rPr>
          <w:rFonts w:hint="default" w:ascii="Times New Roman" w:hAnsi="Times New Roman" w:eastAsia="宋体" w:cs="Times New Roman"/>
          <w:sz w:val="24"/>
          <w:szCs w:val="24"/>
          <w:vertAlign w:val="superscript"/>
        </w:rPr>
        <w:t>a</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 xml:space="preserve"> Peichi Xie</w:t>
      </w:r>
      <w:r>
        <w:rPr>
          <w:rFonts w:hint="default" w:ascii="Times New Roman" w:hAnsi="Times New Roman" w:eastAsia="宋体" w:cs="Times New Roman"/>
          <w:sz w:val="24"/>
          <w:szCs w:val="24"/>
          <w:vertAlign w:val="superscript"/>
        </w:rPr>
        <w:t>a</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 xml:space="preserve"> Shuang Wang</w:t>
      </w:r>
      <w:r>
        <w:rPr>
          <w:rFonts w:hint="default" w:ascii="Times New Roman" w:hAnsi="Times New Roman" w:eastAsia="宋体" w:cs="Times New Roman"/>
          <w:sz w:val="24"/>
          <w:szCs w:val="24"/>
          <w:vertAlign w:val="superscript"/>
        </w:rPr>
        <w:t>a</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lang w:val="en-US" w:eastAsia="zh-CN"/>
        </w:rPr>
        <w:t>Jing Wen</w:t>
      </w:r>
      <w:r>
        <w:rPr>
          <w:rFonts w:hint="default" w:ascii="Times New Roman" w:hAnsi="Times New Roman" w:eastAsia="宋体" w:cs="Times New Roman"/>
          <w:sz w:val="24"/>
          <w:szCs w:val="24"/>
          <w:vertAlign w:val="superscript"/>
        </w:rPr>
        <w:t>a</w:t>
      </w:r>
      <w:r>
        <w:rPr>
          <w:rFonts w:hint="default"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 xml:space="preserve"> Yuxi Li</w:t>
      </w:r>
      <w:r>
        <w:rPr>
          <w:rFonts w:hint="default" w:ascii="Times New Roman" w:hAnsi="Times New Roman" w:eastAsia="宋体" w:cs="Times New Roman"/>
          <w:sz w:val="24"/>
          <w:szCs w:val="24"/>
          <w:vertAlign w:val="superscript"/>
        </w:rPr>
        <w:t>a</w:t>
      </w:r>
      <w:r>
        <w:rPr>
          <w:rFonts w:hint="default"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Xinhui Wang</w:t>
      </w:r>
      <w:r>
        <w:rPr>
          <w:rFonts w:hint="default" w:ascii="Times New Roman" w:hAnsi="Times New Roman" w:eastAsia="宋体" w:cs="Times New Roman"/>
          <w:sz w:val="24"/>
          <w:szCs w:val="24"/>
          <w:vertAlign w:val="superscript"/>
        </w:rPr>
        <w:t>a,*</w:t>
      </w:r>
      <w:r>
        <w:rPr>
          <w:rFonts w:hint="default" w:ascii="Times New Roman" w:hAnsi="Times New Roman" w:eastAsia="宋体" w:cs="Times New Roman"/>
          <w:sz w:val="24"/>
          <w:szCs w:val="24"/>
        </w:rPr>
        <w:t>.</w:t>
      </w:r>
    </w:p>
    <w:p w14:paraId="04A382A9">
      <w:pPr>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a College of Food and Biological Engineering, Chengdu University, Chengdu 610106, China</w:t>
      </w:r>
    </w:p>
    <w:p w14:paraId="6950C03A">
      <w:pPr>
        <w:snapToGrid w:val="0"/>
        <w:spacing w:line="360" w:lineRule="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 Corresponding author:</w:t>
      </w:r>
    </w:p>
    <w:p w14:paraId="410ABA44">
      <w:pPr>
        <w:snapToGrid w:val="0"/>
        <w:spacing w:line="36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sz w:val="24"/>
          <w:szCs w:val="24"/>
        </w:rPr>
        <w:t>Prof.</w:t>
      </w:r>
      <w:r>
        <w:rPr>
          <w:rFonts w:hint="default" w:ascii="Times New Roman" w:hAnsi="Times New Roman" w:eastAsia="宋体" w:cs="Times New Roman"/>
          <w:b/>
          <w:sz w:val="24"/>
          <w:szCs w:val="24"/>
          <w:lang w:val="en-US" w:eastAsia="zh-CN"/>
        </w:rPr>
        <w:t xml:space="preserve"> Xinhui Wang</w:t>
      </w:r>
      <w:r>
        <w:rPr>
          <w:rFonts w:hint="default" w:ascii="Times New Roman" w:hAnsi="Times New Roman" w:eastAsia="宋体" w:cs="Times New Roman"/>
          <w:b/>
          <w:sz w:val="24"/>
          <w:szCs w:val="24"/>
        </w:rPr>
        <w:t>,</w:t>
      </w:r>
      <w:r>
        <w:rPr>
          <w:rFonts w:hint="default" w:ascii="Times New Roman" w:hAnsi="Times New Roman" w:eastAsia="宋体" w:cs="Times New Roman"/>
          <w:sz w:val="24"/>
          <w:szCs w:val="24"/>
        </w:rPr>
        <w:t xml:space="preserve"> Email</w:t>
      </w:r>
      <w:r>
        <w:rPr>
          <w:rFonts w:hint="default" w:ascii="Times New Roman" w:hAnsi="Times New Roman" w:eastAsia="宋体" w:cs="Times New Roman"/>
          <w:sz w:val="24"/>
          <w:szCs w:val="24"/>
          <w:highlight w:val="none"/>
        </w:rPr>
        <w:t xml:space="preserve">: </w:t>
      </w:r>
      <w:r>
        <w:rPr>
          <w:rFonts w:hint="default" w:ascii="Times New Roman" w:hAnsi="Times New Roman" w:eastAsia="宋体" w:cs="Times New Roman"/>
          <w:sz w:val="24"/>
          <w:szCs w:val="24"/>
          <w:highlight w:val="none"/>
          <w:lang w:val="en-US" w:eastAsia="zh-CN"/>
        </w:rPr>
        <w:t>17794660519@163.com</w:t>
      </w:r>
      <w:r>
        <w:rPr>
          <w:rFonts w:hint="default" w:ascii="Times New Roman" w:hAnsi="Times New Roman" w:eastAsia="宋体" w:cs="Times New Roman"/>
          <w:sz w:val="24"/>
          <w:szCs w:val="24"/>
          <w:highlight w:val="none"/>
        </w:rPr>
        <w:t xml:space="preserve">, </w:t>
      </w:r>
      <w:r>
        <w:rPr>
          <w:rFonts w:hint="default" w:ascii="Times New Roman" w:hAnsi="Times New Roman" w:eastAsia="宋体" w:cs="Times New Roman"/>
          <w:sz w:val="24"/>
          <w:szCs w:val="24"/>
        </w:rPr>
        <w:t>Tel/Fax Number:</w:t>
      </w:r>
      <w:r>
        <w:rPr>
          <w:rFonts w:hint="default" w:ascii="Times New Roman" w:hAnsi="Times New Roman" w:eastAsia="宋体" w:cs="Times New Roman"/>
          <w:sz w:val="24"/>
          <w:szCs w:val="24"/>
          <w:lang w:val="en-US" w:eastAsia="zh-CN"/>
        </w:rPr>
        <w:t>86-15882476156</w:t>
      </w:r>
    </w:p>
    <w:p w14:paraId="0DC8AA8F">
      <w:pPr>
        <w:snapToGrid w:val="0"/>
        <w:spacing w:line="30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2"/>
        </w:rPr>
        <w:t>Address:</w:t>
      </w:r>
      <w:r>
        <w:rPr>
          <w:rFonts w:hint="default" w:ascii="Times New Roman" w:hAnsi="Times New Roman" w:eastAsia="宋体" w:cs="Times New Roman"/>
          <w:sz w:val="24"/>
          <w:szCs w:val="24"/>
        </w:rPr>
        <w:t xml:space="preserve"> College of Food and Biological Engineering, Chengdu University, Chengdu 610106,</w:t>
      </w:r>
      <w:r>
        <w:rPr>
          <w:rFonts w:hint="default" w:ascii="Times New Roman" w:hAnsi="Times New Roman" w:eastAsia="宋体" w:cs="Times New Roman"/>
          <w:sz w:val="24"/>
          <w:szCs w:val="24"/>
          <w:lang w:val="en-US" w:eastAsia="zh-CN"/>
        </w:rPr>
        <w:t xml:space="preserve"> China.</w:t>
      </w:r>
    </w:p>
    <w:p w14:paraId="2B616839">
      <w:pPr>
        <w:keepNext w:val="0"/>
        <w:keepLines w:val="0"/>
        <w:pageBreakBefore w:val="0"/>
        <w:widowControl w:val="0"/>
        <w:kinsoku/>
        <w:wordWrap/>
        <w:overflowPunct/>
        <w:topLinePunct w:val="0"/>
        <w:autoSpaceDE/>
        <w:autoSpaceDN/>
        <w:bidi w:val="0"/>
        <w:adjustRightInd/>
        <w:spacing w:line="360" w:lineRule="auto"/>
        <w:textAlignment w:val="auto"/>
        <w:rPr>
          <w:rFonts w:hint="default" w:ascii="Times New Roman" w:hAnsi="Times New Roman" w:cs="Times New Roman"/>
          <w:b/>
          <w:sz w:val="22"/>
          <w:szCs w:val="22"/>
        </w:rPr>
      </w:pPr>
    </w:p>
    <w:p w14:paraId="25EE887F">
      <w:pPr>
        <w:keepNext w:val="0"/>
        <w:keepLines w:val="0"/>
        <w:pageBreakBefore w:val="0"/>
        <w:widowControl w:val="0"/>
        <w:kinsoku/>
        <w:wordWrap/>
        <w:overflowPunct/>
        <w:topLinePunct w:val="0"/>
        <w:autoSpaceDE/>
        <w:autoSpaceDN/>
        <w:bidi w:val="0"/>
        <w:adjustRightInd/>
        <w:spacing w:line="360" w:lineRule="auto"/>
        <w:textAlignment w:val="auto"/>
        <w:rPr>
          <w:rFonts w:hint="default" w:ascii="Times New Roman" w:hAnsi="Times New Roman" w:cs="Times New Roman"/>
          <w:b/>
          <w:sz w:val="22"/>
          <w:szCs w:val="2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529B319">
      <w:pPr>
        <w:spacing w:line="360" w:lineRule="auto"/>
        <w:rPr>
          <w:rFonts w:hint="default" w:ascii="Times New Roman" w:hAnsi="Times New Roman" w:cs="Times New Roman"/>
          <w:b/>
          <w:sz w:val="24"/>
          <w:szCs w:val="24"/>
        </w:rPr>
      </w:pPr>
      <w:r>
        <w:rPr>
          <w:rFonts w:hint="default" w:ascii="Times New Roman" w:hAnsi="Times New Roman" w:cs="Times New Roman"/>
          <w:b/>
          <w:sz w:val="24"/>
          <w:szCs w:val="24"/>
        </w:rPr>
        <w:t>Method S1.</w:t>
      </w:r>
    </w:p>
    <w:p w14:paraId="5EC7F719">
      <w:pPr>
        <w:spacing w:line="360" w:lineRule="auto"/>
        <w:rPr>
          <w:rFonts w:hint="default" w:ascii="Times New Roman" w:hAnsi="Times New Roman" w:cs="Times New Roman"/>
          <w:b/>
          <w:sz w:val="24"/>
          <w:szCs w:val="24"/>
        </w:rPr>
      </w:pPr>
      <w:r>
        <w:rPr>
          <w:rFonts w:hint="default" w:ascii="Times New Roman" w:hAnsi="Times New Roman" w:cs="Times New Roman"/>
          <w:b/>
          <w:sz w:val="24"/>
          <w:szCs w:val="24"/>
        </w:rPr>
        <w:t>Metagenomic sequencing analysis methods</w:t>
      </w:r>
    </w:p>
    <w:p w14:paraId="61746E8C">
      <w:pPr>
        <w:spacing w:line="360" w:lineRule="auto"/>
        <w:ind w:firstLine="240" w:firstLineChars="100"/>
        <w:rPr>
          <w:rFonts w:hint="default" w:ascii="Times New Roman" w:hAnsi="Times New Roman"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cs="Times New Roman"/>
          <w:sz w:val="24"/>
          <w:szCs w:val="24"/>
        </w:rPr>
        <w:t>Sample collection and DNA extraction: Total genomic DNA was extracted from each sample using standard protocols. DNA concentration was measured with a Nanodrop, and DNA integrity was assessed by agarose gel electrophoresis.</w:t>
      </w:r>
    </w:p>
    <w:p w14:paraId="6CCB6CC7">
      <w:pPr>
        <w:spacing w:line="360" w:lineRule="auto"/>
        <w:ind w:firstLine="240" w:firstLineChars="100"/>
        <w:rPr>
          <w:rFonts w:hint="default" w:ascii="Times New Roman" w:hAnsi="Times New Roman"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Target fragment amplification: The V3–V4 region of the bacterial 16S rRNA gene (or the target marker gene) was amplified using specific primers with sample</w:t>
      </w:r>
      <w:r>
        <w:rPr>
          <w:rFonts w:hint="default" w:ascii="Times New Roman" w:hAnsi="Times New Roman" w:cs="Times New Roman"/>
          <w:sz w:val="24"/>
          <w:szCs w:val="24"/>
        </w:rPr>
        <w:noBreakHyphen/>
      </w:r>
      <w:r>
        <w:rPr>
          <w:rFonts w:hint="default" w:ascii="Times New Roman" w:hAnsi="Times New Roman" w:cs="Times New Roman"/>
          <w:sz w:val="24"/>
          <w:szCs w:val="24"/>
        </w:rPr>
        <w:t>specific barcodes. High</w:t>
      </w:r>
      <w:r>
        <w:rPr>
          <w:rFonts w:hint="default" w:ascii="Times New Roman" w:hAnsi="Times New Roman" w:cs="Times New Roman"/>
          <w:sz w:val="24"/>
          <w:szCs w:val="24"/>
        </w:rPr>
        <w:noBreakHyphen/>
      </w:r>
      <w:r>
        <w:rPr>
          <w:rFonts w:hint="default" w:ascii="Times New Roman" w:hAnsi="Times New Roman" w:cs="Times New Roman"/>
          <w:sz w:val="24"/>
          <w:szCs w:val="24"/>
        </w:rPr>
        <w:t>fidelity DNA polymerase was used, and the number of PCR cycles was kept low and consistent across samples. Negative controls were included to monitor contamination.</w:t>
      </w:r>
    </w:p>
    <w:p w14:paraId="296F3EEE">
      <w:pPr>
        <w:spacing w:line="360" w:lineRule="auto"/>
        <w:ind w:firstLine="240" w:firstLineChars="100"/>
        <w:rPr>
          <w:rFonts w:hint="default" w:ascii="Times New Roman" w:hAnsi="Times New Roman"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cs="Times New Roman"/>
          <w:sz w:val="24"/>
          <w:szCs w:val="24"/>
        </w:rPr>
        <w:t>Library construction: Amplicons were pooled in equal proportions, end</w:t>
      </w:r>
      <w:r>
        <w:rPr>
          <w:rFonts w:hint="default" w:ascii="Times New Roman" w:hAnsi="Times New Roman" w:cs="Times New Roman"/>
          <w:sz w:val="24"/>
          <w:szCs w:val="24"/>
        </w:rPr>
        <w:noBreakHyphen/>
      </w:r>
      <w:r>
        <w:rPr>
          <w:rFonts w:hint="default" w:ascii="Times New Roman" w:hAnsi="Times New Roman" w:cs="Times New Roman"/>
          <w:sz w:val="24"/>
          <w:szCs w:val="24"/>
        </w:rPr>
        <w:t>repaired, A</w:t>
      </w:r>
      <w:r>
        <w:rPr>
          <w:rFonts w:hint="default" w:ascii="Times New Roman" w:hAnsi="Times New Roman" w:cs="Times New Roman"/>
          <w:sz w:val="24"/>
          <w:szCs w:val="24"/>
        </w:rPr>
        <w:noBreakHyphen/>
      </w:r>
      <w:r>
        <w:rPr>
          <w:rFonts w:hint="default" w:ascii="Times New Roman" w:hAnsi="Times New Roman" w:cs="Times New Roman"/>
          <w:sz w:val="24"/>
          <w:szCs w:val="24"/>
        </w:rPr>
        <w:t>tailed, and ligated with Illumina adapters via PCR. The library was purified and size</w:t>
      </w:r>
      <w:r>
        <w:rPr>
          <w:rFonts w:hint="default" w:ascii="Times New Roman" w:hAnsi="Times New Roman" w:cs="Times New Roman"/>
          <w:sz w:val="24"/>
          <w:szCs w:val="24"/>
        </w:rPr>
        <w:noBreakHyphen/>
      </w:r>
      <w:r>
        <w:rPr>
          <w:rFonts w:hint="default" w:ascii="Times New Roman" w:hAnsi="Times New Roman" w:cs="Times New Roman"/>
          <w:sz w:val="24"/>
          <w:szCs w:val="24"/>
        </w:rPr>
        <w:t>selected using 2% agarose gel electrophoresis.</w:t>
      </w:r>
    </w:p>
    <w:p w14:paraId="210762A0">
      <w:pPr>
        <w:spacing w:line="360" w:lineRule="auto"/>
        <w:ind w:firstLine="240" w:firstLineChars="100"/>
        <w:rPr>
          <w:rFonts w:hint="default" w:ascii="Times New Roman" w:hAnsi="Times New Roman"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cs="Times New Roman"/>
          <w:sz w:val="24"/>
          <w:szCs w:val="24"/>
        </w:rPr>
        <w:t>Sequencing: After quality control and quantification (concentration ≥ 2 nM), the library was diluted and mixed appropriately, then sequenced on an Illumina NovaSeq PE250 platform with paired</w:t>
      </w:r>
      <w:r>
        <w:rPr>
          <w:rFonts w:hint="default" w:ascii="Times New Roman" w:hAnsi="Times New Roman" w:cs="Times New Roman"/>
          <w:sz w:val="24"/>
          <w:szCs w:val="24"/>
        </w:rPr>
        <w:noBreakHyphen/>
      </w:r>
      <w:r>
        <w:rPr>
          <w:rFonts w:hint="default" w:ascii="Times New Roman" w:hAnsi="Times New Roman" w:cs="Times New Roman"/>
          <w:sz w:val="24"/>
          <w:szCs w:val="24"/>
        </w:rPr>
        <w:t>end 2 × 250 bp reads.</w:t>
      </w:r>
    </w:p>
    <w:p w14:paraId="76226159">
      <w:pPr>
        <w:spacing w:line="360" w:lineRule="auto"/>
        <w:ind w:firstLine="240" w:firstLineChars="100"/>
        <w:rPr>
          <w:rFonts w:hint="default" w:ascii="Times New Roman" w:hAnsi="Times New Roman"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cs="Times New Roman"/>
          <w:sz w:val="24"/>
          <w:szCs w:val="24"/>
        </w:rPr>
        <w:t>Bioinformatics processing: Raw paired</w:t>
      </w:r>
      <w:r>
        <w:rPr>
          <w:rFonts w:hint="default" w:ascii="Times New Roman" w:hAnsi="Times New Roman" w:cs="Times New Roman"/>
          <w:sz w:val="24"/>
          <w:szCs w:val="24"/>
        </w:rPr>
        <w:noBreakHyphen/>
      </w:r>
      <w:r>
        <w:rPr>
          <w:rFonts w:hint="default" w:ascii="Times New Roman" w:hAnsi="Times New Roman" w:cs="Times New Roman"/>
          <w:sz w:val="24"/>
          <w:szCs w:val="24"/>
        </w:rPr>
        <w:t>end reads were quality</w:t>
      </w:r>
      <w:r>
        <w:rPr>
          <w:rFonts w:hint="default" w:ascii="Times New Roman" w:hAnsi="Times New Roman" w:cs="Times New Roman"/>
          <w:sz w:val="24"/>
          <w:szCs w:val="24"/>
        </w:rPr>
        <w:noBreakHyphen/>
      </w:r>
      <w:r>
        <w:rPr>
          <w:rFonts w:hint="default" w:ascii="Times New Roman" w:hAnsi="Times New Roman" w:cs="Times New Roman"/>
          <w:sz w:val="24"/>
          <w:szCs w:val="24"/>
        </w:rPr>
        <w:t>filtered and merged based on overlap to obtain high</w:t>
      </w:r>
      <w:r>
        <w:rPr>
          <w:rFonts w:hint="default" w:ascii="Times New Roman" w:hAnsi="Times New Roman" w:cs="Times New Roman"/>
          <w:sz w:val="24"/>
          <w:szCs w:val="24"/>
        </w:rPr>
        <w:noBreakHyphen/>
      </w:r>
      <w:r>
        <w:rPr>
          <w:rFonts w:hint="default" w:ascii="Times New Roman" w:hAnsi="Times New Roman" w:cs="Times New Roman"/>
          <w:sz w:val="24"/>
          <w:szCs w:val="24"/>
        </w:rPr>
        <w:t>quality consensus sequences. Denoising was performed with the DADA2 algorithm to generate amplicon sequence variants (ASVs) and an abundance table, which was then rarefied to the minimum sequencing depth.</w:t>
      </w:r>
    </w:p>
    <w:p w14:paraId="09EB77ED">
      <w:pPr>
        <w:spacing w:line="360" w:lineRule="auto"/>
        <w:ind w:firstLine="240" w:firstLineChars="100"/>
        <w:rPr>
          <w:rFonts w:hint="default" w:ascii="Times New Roman" w:hAnsi="Times New Roman"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cs="Times New Roman"/>
          <w:sz w:val="24"/>
          <w:szCs w:val="24"/>
        </w:rPr>
        <w:t>Taxonomic annotation: ASVs were assigned to taxa using the QIIME2 software against the Greengenes2 database (for 16S) with a confidence threshold of 0.7, from phylum to species level.</w:t>
      </w:r>
    </w:p>
    <w:p w14:paraId="4960E7CB">
      <w:pPr>
        <w:spacing w:line="360" w:lineRule="auto"/>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All analyses were performed with QIIME2, R, and custom scripts. The workflow ensures comprehensive evaluation of microbial community structure, diversity, differential taxa, co</w:t>
      </w:r>
      <w:r>
        <w:rPr>
          <w:rFonts w:hint="default" w:ascii="Times New Roman" w:hAnsi="Times New Roman" w:cs="Times New Roman"/>
          <w:sz w:val="24"/>
          <w:szCs w:val="24"/>
        </w:rPr>
        <w:noBreakHyphen/>
      </w:r>
      <w:r>
        <w:rPr>
          <w:rFonts w:hint="default" w:ascii="Times New Roman" w:hAnsi="Times New Roman" w:cs="Times New Roman"/>
          <w:sz w:val="24"/>
          <w:szCs w:val="24"/>
        </w:rPr>
        <w:t>occurrence patterns, and potential functions.</w:t>
      </w:r>
    </w:p>
    <w:p w14:paraId="06CF3C04">
      <w:pPr>
        <w:spacing w:line="360" w:lineRule="auto"/>
        <w:rPr>
          <w:rFonts w:hint="default" w:ascii="Times New Roman" w:hAnsi="Times New Roman" w:cs="Times New Roman"/>
          <w:b/>
          <w:sz w:val="24"/>
          <w:szCs w:val="24"/>
        </w:rPr>
      </w:pPr>
      <w:r>
        <w:rPr>
          <w:rFonts w:hint="default" w:ascii="Times New Roman" w:hAnsi="Times New Roman" w:cs="Times New Roman"/>
          <w:b/>
          <w:sz w:val="24"/>
          <w:szCs w:val="24"/>
        </w:rPr>
        <w:t>Method S</w:t>
      </w:r>
      <w:r>
        <w:rPr>
          <w:rFonts w:hint="eastAsia" w:ascii="Times New Roman" w:hAnsi="Times New Roman" w:cs="Times New Roman"/>
          <w:b/>
          <w:sz w:val="24"/>
          <w:szCs w:val="24"/>
          <w:lang w:val="en-US" w:eastAsia="zh-CN"/>
        </w:rPr>
        <w:t>2</w:t>
      </w:r>
      <w:r>
        <w:rPr>
          <w:rFonts w:hint="default" w:ascii="Times New Roman" w:hAnsi="Times New Roman" w:cs="Times New Roman"/>
          <w:b/>
          <w:sz w:val="24"/>
          <w:szCs w:val="24"/>
        </w:rPr>
        <w:t xml:space="preserve">. </w:t>
      </w:r>
    </w:p>
    <w:p w14:paraId="4AEC7BB0">
      <w:pPr>
        <w:spacing w:line="360" w:lineRule="auto"/>
        <w:rPr>
          <w:rFonts w:hint="default" w:ascii="Times New Roman" w:hAnsi="Times New Roman" w:cs="Times New Roman"/>
          <w:b/>
          <w:sz w:val="24"/>
          <w:szCs w:val="24"/>
        </w:rPr>
      </w:pPr>
      <w:r>
        <w:rPr>
          <w:rFonts w:hint="default" w:ascii="Times New Roman" w:hAnsi="Times New Roman" w:cs="Times New Roman"/>
          <w:b/>
          <w:sz w:val="24"/>
          <w:szCs w:val="24"/>
        </w:rPr>
        <w:t>RNA-seq Transcriptome Sequencing and Data Analysis</w:t>
      </w:r>
    </w:p>
    <w:p w14:paraId="224315EB">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1. RNA extraction and quality detection</w:t>
      </w:r>
    </w:p>
    <w:p w14:paraId="282CF725">
      <w:pPr>
        <w:spacing w:line="360" w:lineRule="auto"/>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For plant tissue samples, total RNA was extracted via combined CTAB method and pBIOZOL reagent. After extraction, RNA pellets were dissolved in DEPC-treated water. RNA concentration was accurately quantified using a Qubit fluorometer. RNA integrity was evaluated by Qsep400 high-throughput biofragment analyzer to detect RNA integrity number (RQN), ensuring all samples met the standard of library construction.</w:t>
      </w:r>
    </w:p>
    <w:p w14:paraId="0A22E9F6">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2. Strand-specific mRNA library construction</w:t>
      </w:r>
    </w:p>
    <w:p w14:paraId="15DF4C33">
      <w:pPr>
        <w:spacing w:line="360" w:lineRule="auto"/>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PolyA-containing mRNAs were enriched from total RNA using Oligo(dT) magnetic beads based on the polyA tail characteristic of eukaryotic mRNA;Purified mRNA was fragmented into short fragments with fragmentation buffer under appropriate incubation temperature;Random hexamer primers were applied to synthesize first-strand cDNA via reverse transcription;Second-strand cDNA was synthesized with dUTP replacing dTTP to achieve strand specificity. High-fidelity DNA polymerase cannot amplify templates containing uracil, which retains original strand information. End repair and dA-tailing were performed simultaneously during second-strand synthesis;Sequencing adapters were ligated to cDNA fragments, followed by purification with DNA magnetic beads and fragment screening to obtain libraries with insert sizes of 250–350 bp;Ligated products were amplified by PCR and purified again with DNA magnetic beads, then dissolved in nuclease-free water;After library construction, Qubit 4.0 Fluorometer was used to detect library concentration, and Qsep400 system was applied to determine fragment distribution.</w:t>
      </w:r>
    </w:p>
    <w:p w14:paraId="2504BD84">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3. Illumina sequencing procedure</w:t>
      </w:r>
    </w:p>
    <w:p w14:paraId="6CC8DEFF">
      <w:pPr>
        <w:spacing w:line="360" w:lineRule="auto"/>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Qualified libraries were multiplexed according to effective concentration and target sequencing data volume, then sequenced on Illumina NovaSeq X Plus platform to generate 150 bp paired-end reads. The sequencing principle was sequencing-by-synthesis. Four fluorescently labeled dNTPs, DNA polymerase and sequencing primers were loaded into flow cell for cluster amplification. During complementary strand extension of each sequencing cluster, each incorporated fluorescent dNTP emits characteristic fluorescence signals. The sequencer captured fluorescence signals and converted optical signals into sequencing profiles via supporting software to obtain raw sequence data of fragments.</w:t>
      </w:r>
    </w:p>
    <w:p w14:paraId="19281112">
      <w:pPr>
        <w:spacing w:line="360" w:lineRule="auto"/>
        <w:rPr>
          <w:rFonts w:hint="default" w:ascii="Times New Roman" w:hAnsi="Times New Roman" w:cs="Times New Roman"/>
          <w:b/>
          <w:sz w:val="24"/>
          <w:szCs w:val="24"/>
          <w:lang w:val="en-US" w:eastAsia="zh-CN"/>
        </w:rPr>
      </w:pPr>
      <w:r>
        <w:rPr>
          <w:rFonts w:hint="default" w:ascii="Times New Roman" w:hAnsi="Times New Roman" w:cs="Times New Roman"/>
          <w:b/>
          <w:sz w:val="24"/>
          <w:szCs w:val="24"/>
        </w:rPr>
        <w:t>Method S</w:t>
      </w:r>
      <w:r>
        <w:rPr>
          <w:rFonts w:hint="default" w:ascii="Times New Roman" w:hAnsi="Times New Roman" w:cs="Times New Roman"/>
          <w:b/>
          <w:sz w:val="24"/>
          <w:szCs w:val="24"/>
          <w:lang w:val="en-US" w:eastAsia="zh-CN"/>
        </w:rPr>
        <w:t>3</w:t>
      </w:r>
      <w:r>
        <w:rPr>
          <w:rFonts w:hint="default" w:ascii="Times New Roman" w:hAnsi="Times New Roman" w:cs="Times New Roman"/>
          <w:b/>
          <w:sz w:val="24"/>
          <w:szCs w:val="24"/>
        </w:rPr>
        <w:t>.</w:t>
      </w:r>
      <w:r>
        <w:rPr>
          <w:rFonts w:hint="default" w:ascii="Times New Roman" w:hAnsi="Times New Roman" w:cs="Times New Roman"/>
          <w:b/>
          <w:sz w:val="24"/>
          <w:szCs w:val="24"/>
          <w:lang w:val="en-US" w:eastAsia="zh-CN"/>
        </w:rPr>
        <w:t xml:space="preserve"> </w:t>
      </w:r>
    </w:p>
    <w:p w14:paraId="57459847">
      <w:pPr>
        <w:spacing w:line="360" w:lineRule="auto"/>
        <w:rPr>
          <w:rFonts w:hint="default" w:ascii="Times New Roman" w:hAnsi="Times New Roman" w:cs="Times New Roman"/>
          <w:b/>
          <w:sz w:val="24"/>
          <w:szCs w:val="24"/>
        </w:rPr>
      </w:pPr>
      <w:r>
        <w:rPr>
          <w:rFonts w:hint="default" w:ascii="Times New Roman" w:hAnsi="Times New Roman" w:cs="Times New Roman"/>
          <w:b/>
          <w:sz w:val="24"/>
          <w:szCs w:val="24"/>
        </w:rPr>
        <w:t>Untargeted metabolomics analysis methods</w:t>
      </w:r>
      <w:bookmarkStart w:id="0" w:name="solid-samples"/>
    </w:p>
    <w:p w14:paraId="37C4C53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1.Solid samples</w:t>
      </w:r>
      <w:bookmarkEnd w:id="0"/>
      <w:r>
        <w:rPr>
          <w:rFonts w:hint="default" w:ascii="Times New Roman" w:hAnsi="Times New Roman" w:cs="Times New Roman"/>
          <w:sz w:val="24"/>
          <w:szCs w:val="24"/>
          <w:lang w:val="en-US" w:eastAsia="zh-CN"/>
        </w:rPr>
        <w:t>: The sample stored at -80 °C refrigerator was thawed on ice. A 400 μL solution (Methanol : Water = 7:3, V/V) containing internal standard was added into 20 mg sample, and vortexed for 3 min. The sample was sonicated in an ice bath for 10 min and vortexed for 1 min, and then placed in -20 °C for 30 min. The sample was then centrifuged at 12000 rpm for 10 min (4 °C). And the sediment was removed, then centrifuged the supernatant at 12000 rpm for 3 min (4 °C). A 200 μL aliquots of supernatant were transferred for LC-MS analysis.</w:t>
      </w:r>
    </w:p>
    <w:p w14:paraId="17CB244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cs="Times New Roman"/>
          <w:sz w:val="24"/>
          <w:szCs w:val="24"/>
          <w:lang w:val="en-US" w:eastAsia="zh-CN"/>
        </w:rPr>
      </w:pPr>
      <w:bookmarkStart w:id="1" w:name="hplc-conditions"/>
      <w:r>
        <w:rPr>
          <w:rFonts w:hint="default" w:ascii="Times New Roman" w:hAnsi="Times New Roman" w:cs="Times New Roman"/>
          <w:sz w:val="24"/>
          <w:szCs w:val="24"/>
          <w:lang w:val="en-US" w:eastAsia="zh-CN"/>
        </w:rPr>
        <w:t>2.HPLC Conditions</w:t>
      </w:r>
      <w:bookmarkEnd w:id="1"/>
      <w:r>
        <w:rPr>
          <w:rFonts w:hint="default" w:ascii="Times New Roman" w:hAnsi="Times New Roman" w:cs="Times New Roman"/>
          <w:sz w:val="24"/>
          <w:szCs w:val="24"/>
          <w:lang w:val="en-US" w:eastAsia="zh-CN"/>
        </w:rPr>
        <w:t>: All samples were for two LC/MS methods. One aliquot was analyzed using positive ion conditions and was eluted from T3 column (Waters ACQUITY Premier HSS T3 Column 1.8 µm, 2.1 mm * 100 mm) using 0.1 % formic acid in water as solvent A and 0.1 % formic acid in acetonitrile as solvent B in the following gradient: 5 to 20 % in 2 min, increased to 60 % in the following 3 mins, increased to 99 % in 1 min and held for 1.5 min, then come back to 5 % mobile phase B witnin 0.1 min, held for 2.4 min. The analytical conditions were as follows, column temperature, 40 °C; flow rate, 0.4 mL/min; injection volume, 4 μL; Another aliquot was using negative ion conditions and was the same as the elution gradient of positive mode.</w:t>
      </w:r>
      <w:bookmarkStart w:id="2" w:name="ms-conditions-qe"/>
    </w:p>
    <w:p w14:paraId="2BA619D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3.MS Conditions (QE)</w:t>
      </w:r>
      <w:bookmarkEnd w:id="2"/>
      <w:r>
        <w:rPr>
          <w:rFonts w:hint="default" w:ascii="Times New Roman" w:hAnsi="Times New Roman" w:cs="Times New Roman"/>
          <w:sz w:val="24"/>
          <w:szCs w:val="24"/>
          <w:lang w:val="en-US" w:eastAsia="zh-CN"/>
        </w:rPr>
        <w:t>:All the methods alternated between full scan MS and data dependent MSn scans using dynamic exclusion. MS analyses were carried out using electrospray ionization in the positive ion mode and negative ion mode using full scan analysis over m/z 75-1000 at 35000 resolution. Additional MS settings are: ion spray voltage, 3.5 KV or 3.2 KV in positive or negative modes, respevtively; Sheath gas (Arb), 30; Aux gas, 5; Ion transfer tube temperature, 320 °C; Vaporizer temperature, 300 °C; Collision energy, 30,40,50 V; Signal Intensity Threshold, 1.00E+06 cps; Top N vs Top speed, 10; Exclusion duration, 3s.</w:t>
      </w:r>
    </w:p>
    <w:p w14:paraId="6DA33DF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cs="Times New Roman"/>
          <w:sz w:val="24"/>
          <w:szCs w:val="24"/>
          <w:lang w:val="en-US" w:eastAsia="zh-CN"/>
        </w:rPr>
      </w:pPr>
      <w:bookmarkStart w:id="3" w:name="pca"/>
      <w:r>
        <w:rPr>
          <w:rFonts w:hint="default" w:ascii="Times New Roman" w:hAnsi="Times New Roman" w:cs="Times New Roman"/>
          <w:sz w:val="24"/>
          <w:szCs w:val="24"/>
          <w:lang w:val="en-US" w:eastAsia="zh-CN"/>
        </w:rPr>
        <w:t>4.PCA</w:t>
      </w:r>
      <w:bookmarkEnd w:id="3"/>
      <w:r>
        <w:rPr>
          <w:rFonts w:hint="default" w:ascii="Times New Roman" w:hAnsi="Times New Roman" w:cs="Times New Roman"/>
          <w:sz w:val="24"/>
          <w:szCs w:val="24"/>
          <w:lang w:val="en-US" w:eastAsia="zh-CN"/>
        </w:rPr>
        <w:t>:Unsupervised PCA (principal component analysis) was performed by statistics function prcomp within R (www.r-project.org). The data was unit variance scaled before unsupervised PCA.</w:t>
      </w:r>
    </w:p>
    <w:p w14:paraId="302D342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cs="Times New Roman"/>
          <w:sz w:val="24"/>
          <w:szCs w:val="24"/>
          <w:lang w:val="en-US" w:eastAsia="zh-CN"/>
        </w:rPr>
      </w:pPr>
      <w:bookmarkStart w:id="4" w:name="X3c56148e298fbcfe85e10cc42b8278e0949ef6b"/>
      <w:r>
        <w:rPr>
          <w:rFonts w:hint="default" w:ascii="Times New Roman" w:hAnsi="Times New Roman" w:cs="Times New Roman"/>
          <w:sz w:val="24"/>
          <w:szCs w:val="24"/>
          <w:lang w:val="en-US" w:eastAsia="zh-CN"/>
        </w:rPr>
        <w:t>5.Hierarchical Cluster Analysis and Pearson Correlation Coefficients</w:t>
      </w:r>
      <w:bookmarkEnd w:id="4"/>
      <w:r>
        <w:rPr>
          <w:rFonts w:hint="default" w:ascii="Times New Roman" w:hAnsi="Times New Roman" w:cs="Times New Roman"/>
          <w:sz w:val="24"/>
          <w:szCs w:val="24"/>
          <w:lang w:val="en-US" w:eastAsia="zh-CN"/>
        </w:rPr>
        <w:t>:The HCA (hierarchical cluster analysis) results of samples and metabolites were presented as heatmaps with dendrograms, while pearson correlation coefficients (PCC) between samples were caculated by the cor function in R and presented as only heatmaps. Both HCA and PCC were carried out by R package ComplexHeatmap. For HCA, normalized signal intensities of metabolites (unit variance scaling) are visualized as a color spectrum.</w:t>
      </w:r>
    </w:p>
    <w:p w14:paraId="0E75DC6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cs="Times New Roman"/>
          <w:sz w:val="24"/>
          <w:szCs w:val="24"/>
          <w:lang w:val="en-US" w:eastAsia="zh-CN"/>
        </w:rPr>
      </w:pPr>
      <w:bookmarkStart w:id="5" w:name="differential-metabolites-selected"/>
      <w:r>
        <w:rPr>
          <w:rFonts w:hint="default" w:ascii="Times New Roman" w:hAnsi="Times New Roman" w:cs="Times New Roman"/>
          <w:sz w:val="24"/>
          <w:szCs w:val="24"/>
          <w:lang w:val="en-US" w:eastAsia="zh-CN"/>
        </w:rPr>
        <w:t>6. Differential metabolites selected</w:t>
      </w:r>
      <w:bookmarkEnd w:id="5"/>
      <w:r>
        <w:rPr>
          <w:rFonts w:hint="default" w:ascii="Times New Roman" w:hAnsi="Times New Roman" w:cs="Times New Roman"/>
          <w:sz w:val="24"/>
          <w:szCs w:val="24"/>
          <w:lang w:val="en-US" w:eastAsia="zh-CN"/>
        </w:rPr>
        <w:t>:For two-group analysis, differential metabolites were determined by VIP (VIP &gt; 1) and P-value (P-value &lt; 0.05, Student’s t test). VIP values were extracted from OPLS-DA result, which also contain score plots and permutation plots, was generated using R package MetaboAnalystR. The data was log transform (Log2) and mean centering before OPLS-DA. In order to avoid overfitting, a permutation test (200 permutations) was performed.</w:t>
      </w:r>
    </w:p>
    <w:p w14:paraId="715E043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cs="Times New Roman"/>
          <w:sz w:val="24"/>
          <w:szCs w:val="24"/>
          <w:lang w:val="en-US" w:eastAsia="zh-CN"/>
        </w:rPr>
      </w:pPr>
      <w:bookmarkStart w:id="6" w:name="kegg-annotation-and-enrichment-analysis"/>
      <w:r>
        <w:rPr>
          <w:rFonts w:hint="default" w:ascii="Times New Roman" w:hAnsi="Times New Roman" w:cs="Times New Roman"/>
          <w:sz w:val="24"/>
          <w:szCs w:val="24"/>
          <w:lang w:val="en-US" w:eastAsia="zh-CN"/>
        </w:rPr>
        <w:t>7.KEGG annotation and enrichment analysis</w:t>
      </w:r>
      <w:bookmarkEnd w:id="6"/>
      <w:r>
        <w:rPr>
          <w:rFonts w:hint="default" w:ascii="Times New Roman" w:hAnsi="Times New Roman" w:cs="Times New Roman"/>
          <w:sz w:val="24"/>
          <w:szCs w:val="24"/>
          <w:lang w:val="en-US" w:eastAsia="zh-CN"/>
        </w:rPr>
        <w:t>: Identified metabolites were annotated using KEGG Compound database (</w:t>
      </w: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"http://www.kegg.jp/kegg/compound/" \h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http://www.kegg.jp/kegg/compound/</w:t>
      </w:r>
      <w:r>
        <w:rPr>
          <w:rFonts w:hint="default" w:ascii="Times New Roman" w:hAnsi="Times New Roman" w:cs="Times New Roman"/>
          <w:sz w:val="24"/>
          <w:szCs w:val="24"/>
          <w:lang w:val="en-US" w:eastAsia="zh-CN"/>
        </w:rPr>
        <w:fldChar w:fldCharType="end"/>
      </w:r>
      <w:r>
        <w:rPr>
          <w:rFonts w:hint="default" w:ascii="Times New Roman" w:hAnsi="Times New Roman" w:cs="Times New Roman"/>
          <w:sz w:val="24"/>
          <w:szCs w:val="24"/>
          <w:lang w:val="en-US" w:eastAsia="zh-CN"/>
        </w:rPr>
        <w:t>), annotated metabolites were then mapped to KEGG Pathway database (</w:t>
      </w: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"http://www.kegg.jp/kegg/pathway.html" \h </w:instrText>
      </w:r>
      <w:r>
        <w:rPr>
          <w:rFonts w:hint="default" w:ascii="Times New Roman" w:hAnsi="Times New Roman" w:cs="Times New Roman"/>
          <w:sz w:val="24"/>
          <w:szCs w:val="24"/>
          <w:lang w:val="en-US" w:eastAsia="zh-CN"/>
        </w:rPr>
        <w:fldChar w:fldCharType="separate"/>
      </w:r>
      <w:r>
        <w:rPr>
          <w:rFonts w:hint="default" w:ascii="Times New Roman" w:hAnsi="Times New Roman" w:cs="Times New Roman"/>
          <w:sz w:val="24"/>
          <w:szCs w:val="24"/>
          <w:lang w:val="en-US" w:eastAsia="zh-CN"/>
        </w:rPr>
        <w:t>http://www.kegg.jp/kegg/pathway.html</w:t>
      </w:r>
      <w:r>
        <w:rPr>
          <w:rFonts w:hint="default" w:ascii="Times New Roman" w:hAnsi="Times New Roman" w:cs="Times New Roman"/>
          <w:sz w:val="24"/>
          <w:szCs w:val="24"/>
          <w:lang w:val="en-US" w:eastAsia="zh-CN"/>
        </w:rPr>
        <w:fldChar w:fldCharType="end"/>
      </w:r>
      <w:r>
        <w:rPr>
          <w:rFonts w:hint="default" w:ascii="Times New Roman" w:hAnsi="Times New Roman" w:cs="Times New Roman"/>
          <w:sz w:val="24"/>
          <w:szCs w:val="24"/>
          <w:lang w:val="en-US" w:eastAsia="zh-CN"/>
        </w:rPr>
        <w:t>).</w:t>
      </w:r>
    </w:p>
    <w:p w14:paraId="332889D4">
      <w:pPr>
        <w:spacing w:line="360" w:lineRule="auto"/>
        <w:rPr>
          <w:rFonts w:hint="default" w:ascii="Times New Roman" w:hAnsi="Times New Roman" w:cs="Times New Roman" w:eastAsiaTheme="minorEastAsia"/>
          <w:b/>
          <w:sz w:val="24"/>
          <w:szCs w:val="24"/>
          <w:lang w:val="en-US" w:eastAsia="zh-CN"/>
        </w:rPr>
      </w:pPr>
      <w:bookmarkStart w:id="7" w:name="OLE_LINK7"/>
      <w:r>
        <w:rPr>
          <w:rFonts w:hint="default" w:ascii="Times New Roman" w:hAnsi="Times New Roman" w:cs="Times New Roman"/>
          <w:b/>
          <w:sz w:val="24"/>
          <w:szCs w:val="24"/>
        </w:rPr>
        <w:t>Tab</w:t>
      </w:r>
      <w:r>
        <w:rPr>
          <w:rFonts w:hint="eastAsia" w:ascii="Times New Roman" w:hAnsi="Times New Roman" w:cs="Times New Roman"/>
          <w:b/>
          <w:sz w:val="24"/>
          <w:szCs w:val="24"/>
          <w:lang w:val="en-US" w:eastAsia="zh-CN"/>
        </w:rPr>
        <w:t>.</w:t>
      </w:r>
      <w:r>
        <w:rPr>
          <w:rFonts w:hint="default" w:ascii="Times New Roman" w:hAnsi="Times New Roman" w:cs="Times New Roman"/>
          <w:b/>
          <w:sz w:val="24"/>
          <w:szCs w:val="24"/>
        </w:rPr>
        <w:t xml:space="preserve"> </w:t>
      </w:r>
      <w:bookmarkEnd w:id="7"/>
      <w:r>
        <w:rPr>
          <w:rFonts w:hint="eastAsia" w:ascii="Times New Roman" w:hAnsi="Times New Roman" w:cs="Times New Roman"/>
          <w:b/>
          <w:sz w:val="24"/>
          <w:szCs w:val="24"/>
          <w:lang w:val="en-US" w:eastAsia="zh-CN"/>
        </w:rPr>
        <w:t>1S</w:t>
      </w:r>
    </w:p>
    <w:p w14:paraId="3BF21240">
      <w:pPr>
        <w:spacing w:line="360" w:lineRule="auto"/>
        <w:rPr>
          <w:rFonts w:hint="eastAsia" w:ascii="Times New Roman" w:hAnsi="Times New Roman" w:cs="Times New Roman"/>
          <w:b/>
          <w:sz w:val="24"/>
          <w:szCs w:val="24"/>
          <w:lang w:val="en-US" w:eastAsia="zh-CN"/>
        </w:rPr>
      </w:pPr>
      <w:r>
        <w:rPr>
          <w:rFonts w:hint="default" w:ascii="Times New Roman" w:hAnsi="Times New Roman" w:cs="Times New Roman"/>
          <w:b/>
          <w:sz w:val="24"/>
          <w:szCs w:val="24"/>
        </w:rPr>
        <w:t>The standard curves of each targeted analytes</w:t>
      </w:r>
      <w:r>
        <w:rPr>
          <w:rFonts w:hint="eastAsia" w:ascii="Times New Roman" w:hAnsi="Times New Roman" w:cs="Times New Roman"/>
          <w:b/>
          <w:sz w:val="24"/>
          <w:szCs w:val="24"/>
          <w:lang w:val="en-US" w:eastAsia="zh-CN"/>
        </w:rPr>
        <w:t>.</w:t>
      </w:r>
    </w:p>
    <w:tbl>
      <w:tblPr>
        <w:tblStyle w:val="2"/>
        <w:tblW w:w="6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05"/>
        <w:gridCol w:w="3635"/>
        <w:gridCol w:w="1500"/>
      </w:tblGrid>
      <w:tr w14:paraId="2983B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605" w:type="dxa"/>
            <w:tcBorders>
              <w:top w:val="single" w:color="auto" w:sz="4" w:space="0"/>
              <w:left w:val="nil"/>
              <w:bottom w:val="single" w:color="auto" w:sz="4" w:space="0"/>
              <w:right w:val="nil"/>
            </w:tcBorders>
            <w:noWrap/>
            <w:vAlign w:val="center"/>
          </w:tcPr>
          <w:p w14:paraId="0468D90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Abbr.</w:t>
            </w:r>
          </w:p>
        </w:tc>
        <w:tc>
          <w:tcPr>
            <w:tcW w:w="3635" w:type="dxa"/>
            <w:tcBorders>
              <w:top w:val="single" w:color="auto" w:sz="4" w:space="0"/>
              <w:left w:val="nil"/>
              <w:bottom w:val="single" w:color="auto" w:sz="4" w:space="0"/>
              <w:right w:val="nil"/>
            </w:tcBorders>
            <w:noWrap/>
            <w:vAlign w:val="center"/>
          </w:tcPr>
          <w:p w14:paraId="3D7D0B5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ascii="Times New Roman" w:hAnsi="Times New Roman" w:eastAsia="宋体" w:cs="Times New Roman"/>
                <w:kern w:val="0"/>
                <w:sz w:val="24"/>
              </w:rPr>
              <w:t>Linear equation</w:t>
            </w:r>
          </w:p>
        </w:tc>
        <w:tc>
          <w:tcPr>
            <w:tcW w:w="1500" w:type="dxa"/>
            <w:tcBorders>
              <w:top w:val="single" w:color="auto" w:sz="4" w:space="0"/>
              <w:left w:val="nil"/>
              <w:bottom w:val="single" w:color="auto" w:sz="4" w:space="0"/>
              <w:right w:val="nil"/>
            </w:tcBorders>
            <w:noWrap/>
            <w:vAlign w:val="center"/>
          </w:tcPr>
          <w:p w14:paraId="2C93B1FB">
            <w:pPr>
              <w:keepNext w:val="0"/>
              <w:keepLines w:val="0"/>
              <w:widowControl/>
              <w:suppressLineNumbers w:val="0"/>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R</w:t>
            </w:r>
            <w:r>
              <w:rPr>
                <w:rFonts w:hint="default" w:ascii="Times New Roman" w:hAnsi="Times New Roman" w:eastAsia="宋体" w:cs="Times New Roman"/>
                <w:b/>
                <w:bCs/>
                <w:i w:val="0"/>
                <w:iCs w:val="0"/>
                <w:color w:val="000000"/>
                <w:kern w:val="0"/>
                <w:sz w:val="24"/>
                <w:szCs w:val="24"/>
                <w:u w:val="none"/>
                <w:vertAlign w:val="superscript"/>
                <w:lang w:val="en-US" w:eastAsia="zh-CN" w:bidi="ar"/>
              </w:rPr>
              <w:t>2</w:t>
            </w:r>
          </w:p>
        </w:tc>
      </w:tr>
      <w:tr w14:paraId="50865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605" w:type="dxa"/>
            <w:tcBorders>
              <w:top w:val="single" w:color="auto" w:sz="4" w:space="0"/>
              <w:left w:val="nil"/>
              <w:bottom w:val="nil"/>
              <w:right w:val="nil"/>
            </w:tcBorders>
            <w:noWrap/>
            <w:vAlign w:val="center"/>
          </w:tcPr>
          <w:p w14:paraId="616E260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F</w:t>
            </w:r>
            <w:r>
              <w:rPr>
                <w:rFonts w:hint="default" w:ascii="Times New Roman" w:hAnsi="Times New Roman" w:eastAsia="宋体" w:cs="Times New Roman"/>
                <w:i w:val="0"/>
                <w:iCs w:val="0"/>
                <w:color w:val="000000"/>
                <w:kern w:val="0"/>
                <w:sz w:val="22"/>
                <w:szCs w:val="22"/>
                <w:u w:val="none"/>
                <w:lang w:val="en-US" w:eastAsia="zh-CN" w:bidi="ar"/>
              </w:rPr>
              <w:t>erulic acid</w:t>
            </w:r>
          </w:p>
        </w:tc>
        <w:tc>
          <w:tcPr>
            <w:tcW w:w="3635" w:type="dxa"/>
            <w:tcBorders>
              <w:top w:val="single" w:color="auto" w:sz="4" w:space="0"/>
              <w:left w:val="nil"/>
              <w:bottom w:val="nil"/>
              <w:right w:val="nil"/>
            </w:tcBorders>
            <w:noWrap/>
            <w:vAlign w:val="center"/>
          </w:tcPr>
          <w:p w14:paraId="5FDA220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i w:val="0"/>
                <w:iCs w:val="0"/>
                <w:color w:val="000000"/>
                <w:kern w:val="0"/>
                <w:sz w:val="22"/>
                <w:szCs w:val="22"/>
                <w:u w:val="none"/>
                <w:lang w:val="en-US" w:eastAsia="zh-CN" w:bidi="ar"/>
              </w:rPr>
              <w:t>y=</w:t>
            </w:r>
            <w:r>
              <w:rPr>
                <w:rFonts w:hint="eastAsia" w:ascii="Times New Roman" w:hAnsi="Times New Roman" w:eastAsia="宋体" w:cs="Times New Roman"/>
                <w:i w:val="0"/>
                <w:iCs w:val="0"/>
                <w:color w:val="000000"/>
                <w:kern w:val="0"/>
                <w:sz w:val="22"/>
                <w:szCs w:val="22"/>
                <w:u w:val="none"/>
                <w:lang w:val="en-US" w:eastAsia="zh-CN" w:bidi="ar"/>
              </w:rPr>
              <w:t>43877x</w:t>
            </w:r>
          </w:p>
        </w:tc>
        <w:tc>
          <w:tcPr>
            <w:tcW w:w="1500" w:type="dxa"/>
            <w:tcBorders>
              <w:top w:val="single" w:color="auto" w:sz="4" w:space="0"/>
              <w:left w:val="nil"/>
              <w:bottom w:val="nil"/>
              <w:right w:val="nil"/>
            </w:tcBorders>
            <w:noWrap/>
            <w:vAlign w:val="center"/>
          </w:tcPr>
          <w:p w14:paraId="5ED69F49">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0.99</w:t>
            </w:r>
            <w:r>
              <w:rPr>
                <w:rFonts w:hint="eastAsia" w:ascii="Times New Roman" w:hAnsi="Times New Roman" w:eastAsia="宋体" w:cs="Times New Roman"/>
                <w:i w:val="0"/>
                <w:iCs w:val="0"/>
                <w:color w:val="000000"/>
                <w:kern w:val="0"/>
                <w:sz w:val="22"/>
                <w:szCs w:val="22"/>
                <w:u w:val="none"/>
                <w:lang w:val="en-US" w:eastAsia="zh-CN" w:bidi="ar"/>
              </w:rPr>
              <w:t>84</w:t>
            </w: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49CBE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605" w:type="dxa"/>
            <w:tcBorders>
              <w:top w:val="nil"/>
              <w:left w:val="nil"/>
              <w:bottom w:val="single" w:color="auto" w:sz="4" w:space="0"/>
              <w:right w:val="nil"/>
            </w:tcBorders>
            <w:noWrap/>
            <w:vAlign w:val="center"/>
          </w:tcPr>
          <w:p w14:paraId="04A494B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 </w:t>
            </w:r>
            <w:r>
              <w:rPr>
                <w:rFonts w:hint="eastAsia" w:ascii="Times New Roman" w:hAnsi="Times New Roman" w:eastAsia="宋体" w:cs="Times New Roman"/>
                <w:i w:val="0"/>
                <w:iCs w:val="0"/>
                <w:color w:val="000000"/>
                <w:kern w:val="0"/>
                <w:sz w:val="22"/>
                <w:szCs w:val="22"/>
                <w:u w:val="none"/>
                <w:lang w:val="en-US" w:eastAsia="zh-CN" w:bidi="ar"/>
              </w:rPr>
              <w:t>L</w:t>
            </w:r>
            <w:r>
              <w:rPr>
                <w:rFonts w:hint="default" w:ascii="Times New Roman" w:hAnsi="Times New Roman" w:eastAsia="宋体" w:cs="Times New Roman"/>
                <w:i w:val="0"/>
                <w:iCs w:val="0"/>
                <w:color w:val="000000"/>
                <w:kern w:val="0"/>
                <w:sz w:val="22"/>
                <w:szCs w:val="22"/>
                <w:u w:val="none"/>
                <w:lang w:val="en-US" w:eastAsia="zh-CN" w:bidi="ar"/>
              </w:rPr>
              <w:t>igustilide</w:t>
            </w:r>
          </w:p>
        </w:tc>
        <w:tc>
          <w:tcPr>
            <w:tcW w:w="3635" w:type="dxa"/>
            <w:tcBorders>
              <w:top w:val="nil"/>
              <w:left w:val="nil"/>
              <w:bottom w:val="single" w:color="auto" w:sz="4" w:space="0"/>
              <w:right w:val="nil"/>
            </w:tcBorders>
            <w:noWrap/>
            <w:vAlign w:val="center"/>
          </w:tcPr>
          <w:p w14:paraId="441FED9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i w:val="0"/>
                <w:iCs w:val="0"/>
                <w:color w:val="000000"/>
                <w:kern w:val="0"/>
                <w:sz w:val="22"/>
                <w:szCs w:val="22"/>
                <w:u w:val="none"/>
                <w:lang w:val="en-US" w:eastAsia="zh-CN" w:bidi="ar"/>
              </w:rPr>
              <w:t>y=</w:t>
            </w:r>
            <w:r>
              <w:rPr>
                <w:rFonts w:hint="eastAsia" w:ascii="Times New Roman" w:hAnsi="Times New Roman" w:eastAsia="宋体" w:cs="Times New Roman"/>
                <w:i w:val="0"/>
                <w:iCs w:val="0"/>
                <w:color w:val="000000"/>
                <w:kern w:val="0"/>
                <w:sz w:val="22"/>
                <w:szCs w:val="22"/>
                <w:u w:val="none"/>
                <w:lang w:val="en-US" w:eastAsia="zh-CN" w:bidi="ar"/>
              </w:rPr>
              <w:t>50199x</w:t>
            </w:r>
          </w:p>
        </w:tc>
        <w:tc>
          <w:tcPr>
            <w:tcW w:w="1500" w:type="dxa"/>
            <w:tcBorders>
              <w:top w:val="nil"/>
              <w:left w:val="nil"/>
              <w:bottom w:val="single" w:color="auto" w:sz="4" w:space="0"/>
              <w:right w:val="nil"/>
            </w:tcBorders>
            <w:noWrap/>
            <w:vAlign w:val="center"/>
          </w:tcPr>
          <w:p w14:paraId="0391ACBB">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0.99</w:t>
            </w:r>
            <w:r>
              <w:rPr>
                <w:rFonts w:hint="eastAsia" w:ascii="Times New Roman" w:hAnsi="Times New Roman" w:eastAsia="宋体" w:cs="Times New Roman"/>
                <w:i w:val="0"/>
                <w:iCs w:val="0"/>
                <w:color w:val="000000"/>
                <w:kern w:val="0"/>
                <w:sz w:val="22"/>
                <w:szCs w:val="22"/>
                <w:u w:val="none"/>
                <w:lang w:val="en-US" w:eastAsia="zh-CN" w:bidi="ar"/>
              </w:rPr>
              <w:t>81</w:t>
            </w:r>
            <w:r>
              <w:rPr>
                <w:rFonts w:hint="default" w:ascii="Times New Roman" w:hAnsi="Times New Roman" w:eastAsia="宋体" w:cs="Times New Roman"/>
                <w:i w:val="0"/>
                <w:iCs w:val="0"/>
                <w:color w:val="000000"/>
                <w:kern w:val="0"/>
                <w:sz w:val="22"/>
                <w:szCs w:val="22"/>
                <w:u w:val="none"/>
                <w:lang w:val="en-US" w:eastAsia="zh-CN" w:bidi="ar"/>
              </w:rPr>
              <w:t xml:space="preserve"> </w:t>
            </w:r>
          </w:p>
        </w:tc>
      </w:tr>
    </w:tbl>
    <w:p w14:paraId="70556603">
      <w:pPr>
        <w:spacing w:line="360" w:lineRule="auto"/>
        <w:rPr>
          <w:rFonts w:hint="default" w:ascii="Times New Roman" w:hAnsi="Times New Roman" w:cs="Times New Roman"/>
          <w:b/>
          <w:sz w:val="24"/>
          <w:szCs w:val="24"/>
          <w:lang w:val="en-US" w:eastAsia="zh-CN"/>
        </w:rPr>
      </w:pPr>
    </w:p>
    <w:p w14:paraId="2C64147C">
      <w:pPr>
        <w:spacing w:line="360" w:lineRule="auto"/>
        <w:rPr>
          <w:rFonts w:hint="eastAsia" w:ascii="Times New Roman" w:hAnsi="Times New Roman" w:eastAsia="宋体" w:cs="Times New Roman"/>
          <w:b/>
          <w:bCs/>
          <w:sz w:val="24"/>
          <w:lang w:val="en-US" w:eastAsia="zh-CN"/>
        </w:rPr>
      </w:pPr>
      <w:r>
        <w:rPr>
          <w:rFonts w:ascii="Times New Roman" w:hAnsi="Times New Roman" w:eastAsia="宋体" w:cs="Times New Roman"/>
          <w:b/>
          <w:bCs/>
          <w:sz w:val="24"/>
        </w:rPr>
        <w:t>Tab</w:t>
      </w:r>
      <w:r>
        <w:rPr>
          <w:rFonts w:hint="eastAsia" w:ascii="Times New Roman" w:hAnsi="Times New Roman" w:eastAsia="宋体" w:cs="Times New Roman"/>
          <w:b/>
          <w:bCs/>
          <w:sz w:val="24"/>
          <w:lang w:val="en-US" w:eastAsia="zh-CN"/>
        </w:rPr>
        <w:t>.</w:t>
      </w:r>
      <w:r>
        <w:rPr>
          <w:rFonts w:ascii="Times New Roman" w:hAnsi="Times New Roman" w:eastAsia="宋体" w:cs="Times New Roman"/>
          <w:b/>
          <w:bCs/>
          <w:sz w:val="24"/>
        </w:rPr>
        <w:t xml:space="preserve"> </w:t>
      </w:r>
      <w:r>
        <w:rPr>
          <w:rFonts w:hint="eastAsia" w:ascii="Times New Roman" w:hAnsi="Times New Roman" w:eastAsia="宋体" w:cs="Times New Roman"/>
          <w:b/>
          <w:bCs/>
          <w:sz w:val="24"/>
          <w:lang w:val="en-US" w:eastAsia="zh-CN"/>
        </w:rPr>
        <w:t xml:space="preserve">2S </w:t>
      </w:r>
    </w:p>
    <w:p w14:paraId="565C01B2">
      <w:pPr>
        <w:spacing w:line="360" w:lineRule="auto"/>
        <w:rPr>
          <w:rFonts w:hint="eastAsia" w:ascii="Times New Roman" w:hAnsi="Times New Roman" w:eastAsia="宋体" w:cs="Times New Roman"/>
          <w:b/>
          <w:bCs/>
          <w:sz w:val="24"/>
          <w:lang w:val="en-US" w:eastAsia="zh-CN"/>
        </w:rPr>
      </w:pPr>
      <w:r>
        <w:rPr>
          <w:rFonts w:ascii="Times New Roman" w:hAnsi="Times New Roman" w:eastAsia="宋体" w:cs="Times New Roman"/>
          <w:b/>
          <w:bCs/>
          <w:sz w:val="24"/>
        </w:rPr>
        <w:t>The LODs and LOQs</w:t>
      </w:r>
      <w:r>
        <w:rPr>
          <w:rFonts w:hint="eastAsia" w:ascii="Times New Roman" w:hAnsi="Times New Roman" w:eastAsia="宋体" w:cs="Times New Roman"/>
          <w:b/>
          <w:bCs/>
          <w:sz w:val="24"/>
          <w:lang w:val="en-US" w:eastAsia="zh-CN"/>
        </w:rPr>
        <w:t xml:space="preserve"> </w:t>
      </w:r>
      <w:r>
        <w:rPr>
          <w:rFonts w:ascii="Times New Roman" w:hAnsi="Times New Roman" w:eastAsia="宋体" w:cs="Times New Roman"/>
          <w:b/>
          <w:bCs/>
          <w:sz w:val="24"/>
        </w:rPr>
        <w:t>of each targeted analytes</w:t>
      </w:r>
      <w:r>
        <w:rPr>
          <w:rFonts w:hint="eastAsia" w:ascii="Times New Roman" w:hAnsi="Times New Roman" w:eastAsia="宋体" w:cs="Times New Roman"/>
          <w:b/>
          <w:bCs/>
          <w:sz w:val="24"/>
          <w:lang w:val="en-US" w:eastAsia="zh-CN"/>
        </w:rPr>
        <w:t>.</w:t>
      </w:r>
    </w:p>
    <w:tbl>
      <w:tblPr>
        <w:tblStyle w:val="2"/>
        <w:tblW w:w="528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05"/>
        <w:gridCol w:w="1803"/>
        <w:gridCol w:w="1875"/>
      </w:tblGrid>
      <w:tr w14:paraId="089F8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605" w:type="dxa"/>
            <w:tcBorders>
              <w:top w:val="single" w:color="auto" w:sz="4" w:space="0"/>
              <w:left w:val="nil"/>
              <w:bottom w:val="single" w:color="auto" w:sz="4" w:space="0"/>
              <w:right w:val="nil"/>
            </w:tcBorders>
            <w:noWrap/>
            <w:vAlign w:val="center"/>
          </w:tcPr>
          <w:p w14:paraId="7A19BA6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Abbr.</w:t>
            </w:r>
          </w:p>
        </w:tc>
        <w:tc>
          <w:tcPr>
            <w:tcW w:w="1803" w:type="dxa"/>
            <w:tcBorders>
              <w:top w:val="single" w:color="auto" w:sz="4" w:space="0"/>
              <w:left w:val="nil"/>
              <w:bottom w:val="single" w:color="auto" w:sz="4" w:space="0"/>
              <w:right w:val="nil"/>
            </w:tcBorders>
            <w:noWrap/>
            <w:vAlign w:val="center"/>
          </w:tcPr>
          <w:p w14:paraId="3E79E17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LOD(μg/mL)</w:t>
            </w:r>
          </w:p>
        </w:tc>
        <w:tc>
          <w:tcPr>
            <w:tcW w:w="1875" w:type="dxa"/>
            <w:tcBorders>
              <w:top w:val="single" w:color="auto" w:sz="4" w:space="0"/>
              <w:left w:val="nil"/>
              <w:bottom w:val="single" w:color="auto" w:sz="4" w:space="0"/>
              <w:right w:val="nil"/>
            </w:tcBorders>
            <w:noWrap/>
            <w:vAlign w:val="center"/>
          </w:tcPr>
          <w:p w14:paraId="47B2A47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LOQ(μg/mL)</w:t>
            </w:r>
          </w:p>
        </w:tc>
      </w:tr>
      <w:tr w14:paraId="1203C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605" w:type="dxa"/>
            <w:tcBorders>
              <w:top w:val="single" w:color="auto" w:sz="4" w:space="0"/>
              <w:left w:val="nil"/>
              <w:bottom w:val="nil"/>
              <w:right w:val="nil"/>
            </w:tcBorders>
            <w:noWrap/>
            <w:vAlign w:val="center"/>
          </w:tcPr>
          <w:p w14:paraId="6DA16C4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F</w:t>
            </w:r>
            <w:r>
              <w:rPr>
                <w:rFonts w:hint="default" w:ascii="Times New Roman" w:hAnsi="Times New Roman" w:eastAsia="宋体" w:cs="Times New Roman"/>
                <w:i w:val="0"/>
                <w:iCs w:val="0"/>
                <w:color w:val="000000"/>
                <w:kern w:val="0"/>
                <w:sz w:val="22"/>
                <w:szCs w:val="22"/>
                <w:u w:val="none"/>
                <w:lang w:val="en-US" w:eastAsia="zh-CN" w:bidi="ar"/>
              </w:rPr>
              <w:t>erulic acid</w:t>
            </w:r>
          </w:p>
        </w:tc>
        <w:tc>
          <w:tcPr>
            <w:tcW w:w="1803" w:type="dxa"/>
            <w:tcBorders>
              <w:top w:val="single" w:color="auto" w:sz="4" w:space="0"/>
              <w:left w:val="nil"/>
              <w:bottom w:val="nil"/>
              <w:right w:val="nil"/>
            </w:tcBorders>
            <w:noWrap/>
            <w:vAlign w:val="center"/>
          </w:tcPr>
          <w:p w14:paraId="565DA69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i w:val="0"/>
                <w:iCs w:val="0"/>
                <w:color w:val="000000"/>
                <w:kern w:val="0"/>
                <w:sz w:val="22"/>
                <w:szCs w:val="22"/>
                <w:u w:val="none"/>
                <w:lang w:val="en-US" w:eastAsia="zh-CN" w:bidi="ar"/>
              </w:rPr>
              <w:t>0.</w:t>
            </w:r>
            <w:r>
              <w:rPr>
                <w:rFonts w:hint="eastAsia" w:ascii="Times New Roman" w:hAnsi="Times New Roman" w:eastAsia="宋体" w:cs="Times New Roman"/>
                <w:i w:val="0"/>
                <w:iCs w:val="0"/>
                <w:color w:val="000000"/>
                <w:kern w:val="0"/>
                <w:sz w:val="22"/>
                <w:szCs w:val="22"/>
                <w:u w:val="none"/>
                <w:lang w:val="en-US" w:eastAsia="zh-CN" w:bidi="ar"/>
              </w:rPr>
              <w:t>0051</w:t>
            </w:r>
          </w:p>
        </w:tc>
        <w:tc>
          <w:tcPr>
            <w:tcW w:w="1875" w:type="dxa"/>
            <w:tcBorders>
              <w:top w:val="single" w:color="auto" w:sz="4" w:space="0"/>
              <w:left w:val="nil"/>
              <w:bottom w:val="nil"/>
              <w:right w:val="nil"/>
            </w:tcBorders>
            <w:noWrap/>
            <w:vAlign w:val="center"/>
          </w:tcPr>
          <w:p w14:paraId="6202948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0.0141</w:t>
            </w:r>
          </w:p>
        </w:tc>
      </w:tr>
      <w:tr w14:paraId="3E345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605" w:type="dxa"/>
            <w:tcBorders>
              <w:top w:val="nil"/>
              <w:left w:val="nil"/>
              <w:bottom w:val="single" w:color="auto" w:sz="4" w:space="0"/>
              <w:right w:val="nil"/>
            </w:tcBorders>
            <w:noWrap/>
            <w:vAlign w:val="center"/>
          </w:tcPr>
          <w:p w14:paraId="5FEDF9B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r>
              <w:rPr>
                <w:rFonts w:hint="eastAsia" w:ascii="Times New Roman" w:hAnsi="Times New Roman" w:eastAsia="宋体" w:cs="Times New Roman"/>
                <w:i w:val="0"/>
                <w:iCs w:val="0"/>
                <w:color w:val="000000"/>
                <w:kern w:val="0"/>
                <w:sz w:val="22"/>
                <w:szCs w:val="22"/>
                <w:u w:val="none"/>
                <w:lang w:val="en-US" w:eastAsia="zh-CN" w:bidi="ar"/>
              </w:rPr>
              <w:t>L</w:t>
            </w:r>
            <w:r>
              <w:rPr>
                <w:rFonts w:hint="default" w:ascii="Times New Roman" w:hAnsi="Times New Roman" w:eastAsia="宋体" w:cs="Times New Roman"/>
                <w:i w:val="0"/>
                <w:iCs w:val="0"/>
                <w:color w:val="000000"/>
                <w:kern w:val="0"/>
                <w:sz w:val="22"/>
                <w:szCs w:val="22"/>
                <w:u w:val="none"/>
                <w:lang w:val="en-US" w:eastAsia="zh-CN" w:bidi="ar"/>
              </w:rPr>
              <w:t>igustilide</w:t>
            </w:r>
          </w:p>
        </w:tc>
        <w:tc>
          <w:tcPr>
            <w:tcW w:w="1803" w:type="dxa"/>
            <w:tcBorders>
              <w:top w:val="nil"/>
              <w:left w:val="nil"/>
              <w:bottom w:val="single" w:color="auto" w:sz="4" w:space="0"/>
              <w:right w:val="nil"/>
            </w:tcBorders>
            <w:noWrap/>
            <w:vAlign w:val="center"/>
          </w:tcPr>
          <w:p w14:paraId="66AE291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i w:val="0"/>
                <w:iCs w:val="0"/>
                <w:color w:val="000000"/>
                <w:kern w:val="0"/>
                <w:sz w:val="22"/>
                <w:szCs w:val="22"/>
                <w:u w:val="none"/>
                <w:lang w:val="en-US" w:eastAsia="zh-CN" w:bidi="ar"/>
              </w:rPr>
              <w:t>0.</w:t>
            </w:r>
            <w:r>
              <w:rPr>
                <w:rFonts w:hint="eastAsia" w:ascii="Times New Roman" w:hAnsi="Times New Roman" w:eastAsia="宋体" w:cs="Times New Roman"/>
                <w:i w:val="0"/>
                <w:iCs w:val="0"/>
                <w:color w:val="000000"/>
                <w:kern w:val="0"/>
                <w:sz w:val="22"/>
                <w:szCs w:val="22"/>
                <w:u w:val="none"/>
                <w:lang w:val="en-US" w:eastAsia="zh-CN" w:bidi="ar"/>
              </w:rPr>
              <w:t>050</w:t>
            </w:r>
          </w:p>
        </w:tc>
        <w:tc>
          <w:tcPr>
            <w:tcW w:w="1875" w:type="dxa"/>
            <w:tcBorders>
              <w:top w:val="nil"/>
              <w:left w:val="nil"/>
              <w:bottom w:val="single" w:color="auto" w:sz="4" w:space="0"/>
              <w:right w:val="nil"/>
            </w:tcBorders>
            <w:noWrap/>
            <w:vAlign w:val="center"/>
          </w:tcPr>
          <w:p w14:paraId="321A862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0.153</w:t>
            </w:r>
          </w:p>
        </w:tc>
      </w:tr>
    </w:tbl>
    <w:p w14:paraId="779A8B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bookmarkStart w:id="8" w:name="_GoBack"/>
      <w:bookmarkEnd w:id="8"/>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7D021D"/>
    <w:rsid w:val="0290609B"/>
    <w:rsid w:val="19AD2812"/>
    <w:rsid w:val="1DCC1F8E"/>
    <w:rsid w:val="42AD4DEE"/>
    <w:rsid w:val="757D02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1180</Words>
  <Characters>7100</Characters>
  <Lines>0</Lines>
  <Paragraphs>0</Paragraphs>
  <TotalTime>0</TotalTime>
  <ScaleCrop>false</ScaleCrop>
  <LinksUpToDate>false</LinksUpToDate>
  <CharactersWithSpaces>8232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2026-06-17T16:59:00Z</dcterms:created>
  <dc:creator>凉生</dc:creator>
  <cp:lastModifiedBy>凉生</cp:lastModifiedBy>
  <dcterms:modified xsi:type="dcterms:W3CDTF">2026-06-26T12:54:14Z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A7BBEBA267634207B0E187601DBBFB8A_13</vt:lpwstr>
  </property>
  <property fmtid="{D5CDD505-2E9C-101B-9397-08002B2CF9AE}" pid="4" name="KSOTemplateDocerSaveRecord">
    <vt:lpwstr>eyJoZGlkIjoiOTk2YzA2MmIxM2Y3N2NhMWY4NDg5YTdjMTI5N2UxNDMiLCJ1c2VySWQiOiI2NTY5NTY0NTkifQ==</vt:lpwstr>
  </property>
</Properties>
</file>