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EF1BA" w14:textId="28DAF7AA" w:rsidR="0069785E" w:rsidRPr="00D839CD" w:rsidRDefault="00D839CD" w:rsidP="00D839CD">
      <w:pPr>
        <w:spacing w:line="660" w:lineRule="exact"/>
        <w:jc w:val="center"/>
        <w:rPr>
          <w:b/>
          <w:bCs/>
        </w:rPr>
      </w:pPr>
      <w:r w:rsidRPr="00D839CD">
        <w:rPr>
          <w:b/>
          <w:bCs/>
        </w:rPr>
        <w:t>Supplemental Material</w:t>
      </w:r>
    </w:p>
    <w:p w14:paraId="735BEB14" w14:textId="6F221C08" w:rsidR="00D839CD" w:rsidRDefault="008F1350" w:rsidP="0088501C">
      <w:pPr>
        <w:spacing w:line="660" w:lineRule="exact"/>
      </w:pPr>
      <w:r w:rsidRPr="00423DB1">
        <w:rPr>
          <w:rFonts w:cs="Times New Roman"/>
          <w:b/>
          <w:szCs w:val="24"/>
        </w:rPr>
        <w:t>Baseline WT1-specific immunity and immune responses to WT1-targeted immunotherap</w:t>
      </w:r>
      <w:r>
        <w:rPr>
          <w:rFonts w:cs="Times New Roman" w:hint="eastAsia"/>
          <w:b/>
          <w:szCs w:val="24"/>
        </w:rPr>
        <w:t xml:space="preserve">y </w:t>
      </w:r>
      <w:r w:rsidRPr="00423DB1">
        <w:rPr>
          <w:rFonts w:cs="Times New Roman"/>
          <w:b/>
          <w:szCs w:val="24"/>
        </w:rPr>
        <w:t xml:space="preserve">in pediatric </w:t>
      </w:r>
      <w:r w:rsidRPr="00356A36">
        <w:rPr>
          <w:rFonts w:cs="Times New Roman" w:hint="eastAsia"/>
          <w:b/>
          <w:szCs w:val="24"/>
        </w:rPr>
        <w:t>patients with</w:t>
      </w:r>
      <w:r>
        <w:rPr>
          <w:rFonts w:cs="Times New Roman" w:hint="eastAsia"/>
          <w:b/>
          <w:szCs w:val="24"/>
        </w:rPr>
        <w:t xml:space="preserve"> </w:t>
      </w:r>
      <w:r w:rsidRPr="00423DB1">
        <w:rPr>
          <w:rFonts w:cs="Times New Roman"/>
          <w:b/>
          <w:szCs w:val="24"/>
        </w:rPr>
        <w:t>malignant solid tumors at high risk for relapse</w:t>
      </w:r>
      <w:r>
        <w:rPr>
          <w:rFonts w:cs="Times New Roman" w:hint="eastAsia"/>
          <w:b/>
          <w:szCs w:val="24"/>
        </w:rPr>
        <w:t xml:space="preserve">: results from </w:t>
      </w:r>
      <w:r w:rsidRPr="00423DB1">
        <w:rPr>
          <w:rFonts w:cs="Times New Roman"/>
          <w:b/>
          <w:szCs w:val="24"/>
        </w:rPr>
        <w:t xml:space="preserve">a biomarker-driven multicenter translational </w:t>
      </w:r>
      <w:r>
        <w:rPr>
          <w:rFonts w:cs="Times New Roman"/>
          <w:b/>
          <w:szCs w:val="24"/>
        </w:rPr>
        <w:t xml:space="preserve">phase II </w:t>
      </w:r>
      <w:r w:rsidRPr="00D10A24">
        <w:rPr>
          <w:rFonts w:cs="Times New Roman"/>
          <w:b/>
          <w:szCs w:val="24"/>
        </w:rPr>
        <w:t>clinical</w:t>
      </w:r>
      <w:r w:rsidRPr="00D10A24">
        <w:rPr>
          <w:rFonts w:cs="Times New Roman" w:hint="eastAsia"/>
          <w:b/>
          <w:szCs w:val="24"/>
        </w:rPr>
        <w:t xml:space="preserve"> trial</w:t>
      </w:r>
    </w:p>
    <w:p w14:paraId="43DFED4B" w14:textId="702CE778" w:rsidR="00276DE1" w:rsidRDefault="00276DE1" w:rsidP="00D839CD">
      <w:pPr>
        <w:spacing w:line="660" w:lineRule="exact"/>
        <w:rPr>
          <w:b/>
          <w:bCs/>
        </w:rPr>
      </w:pPr>
    </w:p>
    <w:p w14:paraId="132D9E98" w14:textId="32E401FD" w:rsidR="00343D0D" w:rsidRDefault="00343D0D" w:rsidP="00D839CD">
      <w:pPr>
        <w:spacing w:line="660" w:lineRule="exact"/>
        <w:rPr>
          <w:b/>
          <w:bCs/>
        </w:rPr>
      </w:pPr>
      <w:r>
        <w:rPr>
          <w:rFonts w:hint="eastAsia"/>
          <w:b/>
          <w:bCs/>
        </w:rPr>
        <w:t>T</w:t>
      </w:r>
      <w:r>
        <w:rPr>
          <w:b/>
          <w:bCs/>
        </w:rPr>
        <w:t>able of Contents</w:t>
      </w:r>
    </w:p>
    <w:p w14:paraId="107C49B0" w14:textId="5E241816" w:rsidR="00343D0D" w:rsidRPr="003E3D45" w:rsidRDefault="00343D0D" w:rsidP="00343D0D">
      <w:pPr>
        <w:tabs>
          <w:tab w:val="right" w:leader="hyphen" w:pos="9214"/>
        </w:tabs>
      </w:pPr>
      <w:r w:rsidRPr="003E3D45">
        <w:rPr>
          <w:rFonts w:hint="eastAsia"/>
        </w:rPr>
        <w:t>E</w:t>
      </w:r>
      <w:r w:rsidRPr="003E3D45">
        <w:t xml:space="preserve">ligibility </w:t>
      </w:r>
      <w:r w:rsidR="00DB52D0" w:rsidRPr="003E3D45">
        <w:t>c</w:t>
      </w:r>
      <w:r w:rsidRPr="003E3D45">
        <w:t>riteria</w:t>
      </w:r>
      <w:r w:rsidRPr="003E3D45">
        <w:tab/>
      </w:r>
      <w:r w:rsidR="00DB52D0" w:rsidRPr="003E3D45">
        <w:t>2</w:t>
      </w:r>
    </w:p>
    <w:p w14:paraId="3DE4666A" w14:textId="152E5D88" w:rsidR="005D4C71" w:rsidRPr="003E3D45" w:rsidRDefault="005D4C71" w:rsidP="00343D0D">
      <w:pPr>
        <w:tabs>
          <w:tab w:val="right" w:leader="hyphen" w:pos="9214"/>
        </w:tabs>
      </w:pPr>
      <w:r w:rsidRPr="003E3D45">
        <w:rPr>
          <w:rFonts w:hint="eastAsia"/>
        </w:rPr>
        <w:t>E</w:t>
      </w:r>
      <w:r w:rsidRPr="003E3D45">
        <w:t>xclusion criteria</w:t>
      </w:r>
      <w:r w:rsidRPr="003E3D45">
        <w:tab/>
      </w:r>
      <w:r w:rsidR="003C33B7">
        <w:rPr>
          <w:rFonts w:hint="eastAsia"/>
        </w:rPr>
        <w:t>3</w:t>
      </w:r>
    </w:p>
    <w:p w14:paraId="43685B8B" w14:textId="3D3F1E52" w:rsidR="0054345A" w:rsidRPr="003E3D45" w:rsidRDefault="0054345A" w:rsidP="00343D0D">
      <w:pPr>
        <w:tabs>
          <w:tab w:val="right" w:leader="hyphen" w:pos="9214"/>
        </w:tabs>
      </w:pPr>
      <w:r w:rsidRPr="003E3D45">
        <w:rPr>
          <w:rFonts w:hint="eastAsia"/>
        </w:rPr>
        <w:t>E</w:t>
      </w:r>
      <w:r w:rsidRPr="003E3D45">
        <w:t>thical principles, referral and selection biases</w:t>
      </w:r>
      <w:r w:rsidRPr="003E3D45">
        <w:tab/>
        <w:t>3</w:t>
      </w:r>
    </w:p>
    <w:p w14:paraId="6D2F8169" w14:textId="3D640C1D" w:rsidR="00952417" w:rsidRPr="003E3D45" w:rsidRDefault="000F4D67" w:rsidP="00343D0D">
      <w:pPr>
        <w:tabs>
          <w:tab w:val="right" w:leader="hyphen" w:pos="9214"/>
        </w:tabs>
      </w:pPr>
      <w:r w:rsidRPr="003E3D45">
        <w:t>Procedures (i</w:t>
      </w:r>
      <w:r w:rsidR="0018457B" w:rsidRPr="003E3D45">
        <w:t>njection sites</w:t>
      </w:r>
      <w:r w:rsidRPr="003E3D45">
        <w:t>)</w:t>
      </w:r>
      <w:r w:rsidR="00952417" w:rsidRPr="003E3D45">
        <w:tab/>
      </w:r>
      <w:r w:rsidR="00286420">
        <w:rPr>
          <w:rFonts w:hint="eastAsia"/>
        </w:rPr>
        <w:t>4</w:t>
      </w:r>
    </w:p>
    <w:p w14:paraId="60C7E925" w14:textId="5D0BA3AA" w:rsidR="00461AAE" w:rsidRPr="003E3D45" w:rsidRDefault="00461AAE" w:rsidP="00343D0D">
      <w:pPr>
        <w:tabs>
          <w:tab w:val="right" w:leader="hyphen" w:pos="9214"/>
        </w:tabs>
      </w:pPr>
      <w:r w:rsidRPr="003E3D45">
        <w:rPr>
          <w:rFonts w:hint="eastAsia"/>
        </w:rPr>
        <w:t>E</w:t>
      </w:r>
      <w:r w:rsidRPr="003E3D45">
        <w:t>fficacy assessments</w:t>
      </w:r>
      <w:r w:rsidRPr="003E3D45">
        <w:tab/>
      </w:r>
      <w:r w:rsidR="004703CA" w:rsidRPr="003E3D45">
        <w:t>4</w:t>
      </w:r>
    </w:p>
    <w:p w14:paraId="3DE98AB0" w14:textId="3179933A" w:rsidR="005B4C96" w:rsidRPr="003E3D45" w:rsidRDefault="005B4C96" w:rsidP="00343D0D">
      <w:pPr>
        <w:tabs>
          <w:tab w:val="right" w:leader="hyphen" w:pos="9214"/>
        </w:tabs>
      </w:pPr>
      <w:r w:rsidRPr="003E3D45">
        <w:t>Landmark analys</w:t>
      </w:r>
      <w:r w:rsidR="00062D70">
        <w:rPr>
          <w:rFonts w:hint="eastAsia"/>
        </w:rPr>
        <w:t>e</w:t>
      </w:r>
      <w:r w:rsidRPr="003E3D45">
        <w:t>s</w:t>
      </w:r>
      <w:r w:rsidRPr="003E3D45">
        <w:tab/>
        <w:t>4</w:t>
      </w:r>
    </w:p>
    <w:p w14:paraId="77727F3A" w14:textId="092FC7BD" w:rsidR="0072654F" w:rsidRPr="003E3D45" w:rsidRDefault="00DB52D0" w:rsidP="00343D0D">
      <w:pPr>
        <w:tabs>
          <w:tab w:val="right" w:leader="hyphen" w:pos="9214"/>
        </w:tabs>
      </w:pPr>
      <w:r w:rsidRPr="003E3D45">
        <w:rPr>
          <w:rFonts w:hint="eastAsia"/>
        </w:rPr>
        <w:t>S</w:t>
      </w:r>
      <w:r w:rsidRPr="003E3D45">
        <w:t>afety assessments</w:t>
      </w:r>
      <w:r w:rsidRPr="003E3D45">
        <w:tab/>
      </w:r>
      <w:r w:rsidR="001E71B7">
        <w:rPr>
          <w:rFonts w:hint="eastAsia"/>
        </w:rPr>
        <w:t>5</w:t>
      </w:r>
    </w:p>
    <w:p w14:paraId="399423F3" w14:textId="7FF3F5BC" w:rsidR="00967C3C" w:rsidRPr="003E3D45" w:rsidRDefault="00DB52D0" w:rsidP="00343D0D">
      <w:pPr>
        <w:tabs>
          <w:tab w:val="right" w:leader="hyphen" w:pos="9214"/>
        </w:tabs>
      </w:pPr>
      <w:r w:rsidRPr="003E3D45">
        <w:rPr>
          <w:rFonts w:hint="eastAsia"/>
        </w:rPr>
        <w:t>F</w:t>
      </w:r>
      <w:r w:rsidRPr="003E3D45">
        <w:t>ig</w:t>
      </w:r>
      <w:r w:rsidR="004B4D7F">
        <w:rPr>
          <w:rFonts w:hint="eastAsia"/>
        </w:rPr>
        <w:t>.</w:t>
      </w:r>
      <w:r w:rsidR="00E20DC0">
        <w:rPr>
          <w:rFonts w:hint="eastAsia"/>
        </w:rPr>
        <w:t xml:space="preserve"> </w:t>
      </w:r>
      <w:r w:rsidRPr="003E3D45">
        <w:t>1</w:t>
      </w:r>
      <w:r w:rsidRPr="003E3D45">
        <w:tab/>
      </w:r>
      <w:r w:rsidR="00BB33A6">
        <w:rPr>
          <w:rFonts w:hint="eastAsia"/>
        </w:rPr>
        <w:t>6</w:t>
      </w:r>
    </w:p>
    <w:p w14:paraId="4D3B851E" w14:textId="2247EB8C" w:rsidR="00DB52D0" w:rsidRPr="003E3D45" w:rsidRDefault="00DB52D0" w:rsidP="00343D0D">
      <w:pPr>
        <w:tabs>
          <w:tab w:val="right" w:leader="hyphen" w:pos="9214"/>
        </w:tabs>
      </w:pPr>
      <w:r w:rsidRPr="003E3D45">
        <w:t>Fig. 2</w:t>
      </w:r>
      <w:r w:rsidRPr="003E3D45">
        <w:tab/>
      </w:r>
      <w:r w:rsidR="006C246B">
        <w:rPr>
          <w:rFonts w:hint="eastAsia"/>
        </w:rPr>
        <w:t>7</w:t>
      </w:r>
    </w:p>
    <w:p w14:paraId="2FD116D5" w14:textId="1A8EDDC8" w:rsidR="00DB52D0" w:rsidRPr="003E3D45" w:rsidRDefault="00DB52D0" w:rsidP="00343D0D">
      <w:pPr>
        <w:tabs>
          <w:tab w:val="right" w:leader="hyphen" w:pos="9214"/>
        </w:tabs>
      </w:pPr>
      <w:r w:rsidRPr="003E3D45">
        <w:rPr>
          <w:rFonts w:hint="eastAsia"/>
        </w:rPr>
        <w:t>F</w:t>
      </w:r>
      <w:r w:rsidRPr="003E3D45">
        <w:t>ig. 3</w:t>
      </w:r>
      <w:r w:rsidRPr="003E3D45">
        <w:tab/>
      </w:r>
      <w:r w:rsidR="00080028">
        <w:rPr>
          <w:rFonts w:hint="eastAsia"/>
        </w:rPr>
        <w:t>8</w:t>
      </w:r>
    </w:p>
    <w:p w14:paraId="659E7B5F" w14:textId="20A83329" w:rsidR="007F01EE" w:rsidRDefault="00DB52D0" w:rsidP="00343D0D">
      <w:pPr>
        <w:tabs>
          <w:tab w:val="right" w:leader="hyphen" w:pos="9214"/>
        </w:tabs>
      </w:pPr>
      <w:r w:rsidRPr="003E3D45">
        <w:rPr>
          <w:rFonts w:hint="eastAsia"/>
        </w:rPr>
        <w:t>F</w:t>
      </w:r>
      <w:r w:rsidRPr="003E3D45">
        <w:t>ig. 4</w:t>
      </w:r>
      <w:r w:rsidRPr="003E3D45">
        <w:tab/>
      </w:r>
      <w:r w:rsidR="000E27EC">
        <w:rPr>
          <w:rFonts w:hint="eastAsia"/>
        </w:rPr>
        <w:t>9</w:t>
      </w:r>
    </w:p>
    <w:p w14:paraId="18EAECB2" w14:textId="19504780" w:rsidR="006C1D31" w:rsidRPr="003E3D45" w:rsidRDefault="006C1D31" w:rsidP="00343D0D">
      <w:pPr>
        <w:tabs>
          <w:tab w:val="right" w:leader="hyphen" w:pos="9214"/>
        </w:tabs>
      </w:pPr>
      <w:r>
        <w:rPr>
          <w:rFonts w:hint="eastAsia"/>
        </w:rPr>
        <w:t>Fig. 5</w:t>
      </w:r>
      <w:r>
        <w:tab/>
      </w:r>
      <w:r>
        <w:rPr>
          <w:rFonts w:hint="eastAsia"/>
        </w:rPr>
        <w:t>1</w:t>
      </w:r>
      <w:r w:rsidR="001140FF">
        <w:rPr>
          <w:rFonts w:hint="eastAsia"/>
        </w:rPr>
        <w:t>0</w:t>
      </w:r>
    </w:p>
    <w:p w14:paraId="7328AED4" w14:textId="24EDC61E" w:rsidR="00DB52D0" w:rsidRPr="003E3D45" w:rsidRDefault="00DB52D0" w:rsidP="00343D0D">
      <w:pPr>
        <w:tabs>
          <w:tab w:val="right" w:leader="hyphen" w:pos="9214"/>
        </w:tabs>
      </w:pPr>
      <w:r w:rsidRPr="003E3D45">
        <w:rPr>
          <w:rFonts w:hint="eastAsia"/>
        </w:rPr>
        <w:t>S</w:t>
      </w:r>
      <w:r w:rsidRPr="003E3D45">
        <w:t>upplement References</w:t>
      </w:r>
      <w:r w:rsidRPr="003E3D45">
        <w:tab/>
      </w:r>
      <w:r w:rsidR="00BD4B20">
        <w:rPr>
          <w:rFonts w:hint="eastAsia"/>
        </w:rPr>
        <w:t>1</w:t>
      </w:r>
      <w:r w:rsidR="001140FF">
        <w:rPr>
          <w:rFonts w:hint="eastAsia"/>
        </w:rPr>
        <w:t>1</w:t>
      </w:r>
    </w:p>
    <w:p w14:paraId="0650BD6B" w14:textId="77777777" w:rsidR="00FA70E1" w:rsidRDefault="00FA70E1">
      <w:r>
        <w:br w:type="page"/>
      </w:r>
    </w:p>
    <w:p w14:paraId="4E413E07" w14:textId="77777777" w:rsidR="00910F68" w:rsidRDefault="00910F68" w:rsidP="00EB36AB">
      <w:pPr>
        <w:spacing w:line="640" w:lineRule="exact"/>
        <w:rPr>
          <w:b/>
          <w:bCs/>
        </w:rPr>
      </w:pPr>
      <w:r>
        <w:rPr>
          <w:rFonts w:hint="eastAsia"/>
          <w:b/>
          <w:bCs/>
        </w:rPr>
        <w:lastRenderedPageBreak/>
        <w:t>E</w:t>
      </w:r>
      <w:r>
        <w:rPr>
          <w:b/>
          <w:bCs/>
        </w:rPr>
        <w:t>ligibility criteria</w:t>
      </w:r>
    </w:p>
    <w:p w14:paraId="332E993C" w14:textId="69A25A74" w:rsidR="00177E85" w:rsidRPr="00177E85" w:rsidRDefault="00910F68" w:rsidP="00EB36AB">
      <w:pPr>
        <w:spacing w:line="640" w:lineRule="exact"/>
        <w:rPr>
          <w:rFonts w:cs="Times New Roman"/>
          <w:szCs w:val="24"/>
        </w:rPr>
      </w:pPr>
      <w:r w:rsidRPr="008E0B19">
        <w:rPr>
          <w:rFonts w:cs="Times New Roman"/>
          <w:szCs w:val="24"/>
        </w:rPr>
        <w:t>The eligibility crite</w:t>
      </w:r>
      <w:r w:rsidRPr="00C558E2">
        <w:rPr>
          <w:rFonts w:cs="Times New Roman"/>
          <w:szCs w:val="24"/>
        </w:rPr>
        <w:t>ria for RMS as</w:t>
      </w:r>
      <w:r w:rsidRPr="008E0B19">
        <w:rPr>
          <w:rFonts w:cs="Times New Roman"/>
          <w:szCs w:val="24"/>
        </w:rPr>
        <w:t xml:space="preserve"> defined by the Japan Rhabdomyosarcoma Study Group [JRSG]</w:t>
      </w:r>
      <w:r>
        <w:rPr>
          <w:rFonts w:cs="Times New Roman"/>
          <w:szCs w:val="24"/>
        </w:rPr>
        <w:fldChar w:fldCharType="begin">
          <w:fldData xml:space="preserve">PEVuZE5vdGU+PENpdGU+PEF1dGhvcj5Ib3NvaTwvQXV0aG9yPjxZZWFyPjIwMDc8L1llYXI+PFJl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</w:fldData>
        </w:fldChar>
      </w:r>
      <w:r>
        <w:rPr>
          <w:rFonts w:cs="Times New Roman"/>
          <w:szCs w:val="24"/>
        </w:rPr>
        <w:instrText xml:space="preserve"> ADDIN EN.CITE </w:instrText>
      </w:r>
      <w:r>
        <w:rPr>
          <w:rFonts w:cs="Times New Roman"/>
          <w:szCs w:val="24"/>
        </w:rPr>
        <w:fldChar w:fldCharType="begin">
          <w:fldData xml:space="preserve">PEVuZE5vdGU+PENpdGU+PEF1dGhvcj5Ib3NvaTwvQXV0aG9yPjxZZWFyPjIwMDc8L1llYXI+PFJl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</w:fldData>
        </w:fldChar>
      </w:r>
      <w:r>
        <w:rPr>
          <w:rFonts w:cs="Times New Roman"/>
          <w:szCs w:val="24"/>
        </w:rPr>
        <w:instrText xml:space="preserve"> ADDIN EN.CITE.DATA </w:instrText>
      </w:r>
      <w:r>
        <w:rPr>
          <w:rFonts w:cs="Times New Roman"/>
          <w:szCs w:val="24"/>
        </w:rPr>
      </w:r>
      <w:r>
        <w:rPr>
          <w:rFonts w:cs="Times New Roman"/>
          <w:szCs w:val="24"/>
        </w:rPr>
        <w:fldChar w:fldCharType="end"/>
      </w:r>
      <w:r>
        <w:rPr>
          <w:rFonts w:cs="Times New Roman"/>
          <w:szCs w:val="24"/>
        </w:rPr>
      </w:r>
      <w:r>
        <w:rPr>
          <w:rFonts w:cs="Times New Roman"/>
          <w:szCs w:val="24"/>
        </w:rPr>
        <w:fldChar w:fldCharType="separate"/>
      </w:r>
      <w:r w:rsidRPr="00910F68">
        <w:rPr>
          <w:rFonts w:cs="Times New Roman"/>
          <w:noProof/>
          <w:szCs w:val="24"/>
          <w:vertAlign w:val="superscript"/>
        </w:rPr>
        <w:t>1</w:t>
      </w:r>
      <w:r>
        <w:rPr>
          <w:rFonts w:cs="Times New Roman"/>
          <w:szCs w:val="24"/>
        </w:rPr>
        <w:fldChar w:fldCharType="end"/>
      </w:r>
      <w:r w:rsidRPr="008E0B19">
        <w:rPr>
          <w:rFonts w:cs="Times New Roman"/>
          <w:szCs w:val="24"/>
        </w:rPr>
        <w:t xml:space="preserve">are as follows: </w:t>
      </w:r>
      <w:r w:rsidRPr="00E12892">
        <w:rPr>
          <w:rFonts w:cs="Times New Roman"/>
          <w:szCs w:val="24"/>
        </w:rPr>
        <w:t xml:space="preserve">pediatric patients with RMS of alveolar type (ARMS) in the high-risk group who had 1) a grade III tumor excepting the favorable sites or 2) a grade IV tumor; and pediatric patients with RMS of embryonal type (ERMS, the intermediate-risk group including the primary disease in the extremities) who had 1) a tumor in </w:t>
      </w:r>
      <w:r w:rsidRPr="00E12892">
        <w:rPr>
          <w:rFonts w:eastAsia="ＭＳ ゴシック"/>
        </w:rPr>
        <w:t xml:space="preserve">the limbs as the primary site, 2) age </w:t>
      </w:r>
      <w:r w:rsidRPr="00E12892">
        <w:rPr>
          <w:rFonts w:eastAsia="ＭＳ ゴシック"/>
        </w:rPr>
        <w:sym w:font="Symbol" w:char="F0B3"/>
      </w:r>
      <w:r w:rsidRPr="00E12892">
        <w:rPr>
          <w:rFonts w:eastAsia="ＭＳ ゴシック"/>
        </w:rPr>
        <w:t>10 years or &lt;1 year, 3) tumor diameter</w:t>
      </w:r>
      <w:r w:rsidR="009A33F4">
        <w:rPr>
          <w:rFonts w:eastAsia="ＭＳ ゴシック" w:hint="eastAsia"/>
        </w:rPr>
        <w:t xml:space="preserve"> </w:t>
      </w:r>
      <w:r w:rsidRPr="00E12892">
        <w:rPr>
          <w:rFonts w:eastAsia="ＭＳ ゴシック"/>
        </w:rPr>
        <w:sym w:font="Symbol" w:char="F0B3"/>
      </w:r>
      <w:r w:rsidRPr="00E12892">
        <w:rPr>
          <w:rFonts w:eastAsia="ＭＳ ゴシック"/>
        </w:rPr>
        <w:t>5 cm at onset, 4) a tumor infiltrates in the regional lymph nodes, and 5) a tumor remained pathologically or was categorized to PR or better on imaging studies afte</w:t>
      </w:r>
      <w:r w:rsidRPr="00A6225F">
        <w:rPr>
          <w:rFonts w:eastAsia="ＭＳ ゴシック"/>
        </w:rPr>
        <w:t xml:space="preserve">r </w:t>
      </w:r>
      <w:r w:rsidRPr="00F30257">
        <w:rPr>
          <w:rFonts w:eastAsia="ＭＳ ゴシック"/>
        </w:rPr>
        <w:t>surgery</w:t>
      </w:r>
      <w:r w:rsidRPr="00A6225F">
        <w:rPr>
          <w:rFonts w:eastAsia="ＭＳ ゴシック"/>
        </w:rPr>
        <w:t>.</w:t>
      </w:r>
      <w:r>
        <w:rPr>
          <w:rFonts w:eastAsia="ＭＳ ゴシック"/>
        </w:rPr>
        <w:t xml:space="preserve"> </w:t>
      </w:r>
      <w:r w:rsidRPr="00A6225F">
        <w:rPr>
          <w:rFonts w:cs="Times New Roman"/>
          <w:szCs w:val="24"/>
        </w:rPr>
        <w:t>In addition, the eligi</w:t>
      </w:r>
      <w:r w:rsidRPr="00840E5E">
        <w:rPr>
          <w:rFonts w:cs="Times New Roman"/>
          <w:szCs w:val="24"/>
        </w:rPr>
        <w:t xml:space="preserve">bility criteria were </w:t>
      </w:r>
      <w:r w:rsidRPr="00103506">
        <w:rPr>
          <w:rFonts w:cs="Times New Roman"/>
          <w:szCs w:val="24"/>
        </w:rPr>
        <w:t>recurrence/progression</w:t>
      </w:r>
      <w:r w:rsidRPr="00840E5E">
        <w:rPr>
          <w:rFonts w:cs="Times New Roman"/>
          <w:szCs w:val="24"/>
        </w:rPr>
        <w:t xml:space="preserve"> and a r</w:t>
      </w:r>
      <w:r w:rsidRPr="00A6225F">
        <w:rPr>
          <w:rFonts w:cs="Times New Roman"/>
          <w:szCs w:val="24"/>
        </w:rPr>
        <w:t>esidual tumor afte</w:t>
      </w:r>
      <w:r w:rsidRPr="00134025">
        <w:rPr>
          <w:rFonts w:cs="Times New Roman"/>
          <w:szCs w:val="24"/>
        </w:rPr>
        <w:t>r surgery (</w:t>
      </w:r>
      <w:r w:rsidRPr="00A6225F">
        <w:rPr>
          <w:rFonts w:cs="Times New Roman"/>
          <w:szCs w:val="24"/>
        </w:rPr>
        <w:t>remained pathologi</w:t>
      </w:r>
      <w:r w:rsidRPr="00E12892">
        <w:rPr>
          <w:rFonts w:cs="Times New Roman"/>
          <w:szCs w:val="24"/>
        </w:rPr>
        <w:t>cally or was categorized to PR or better on imaging studies after</w:t>
      </w:r>
      <w:r w:rsidRPr="00DB52D0">
        <w:rPr>
          <w:rFonts w:cs="Times New Roman"/>
          <w:szCs w:val="24"/>
        </w:rPr>
        <w:t xml:space="preserve"> surgery) for osteosarcoma and soft tissue sarcomas other than RMS and were metastatic disease for NB with no regard to metastatic disease.</w:t>
      </w:r>
      <w:r w:rsidR="001235C6">
        <w:rPr>
          <w:rFonts w:cs="Times New Roman"/>
          <w:szCs w:val="24"/>
        </w:rPr>
        <w:t xml:space="preserve"> C</w:t>
      </w:r>
      <w:r w:rsidR="001235C6" w:rsidRPr="008E0B19">
        <w:rPr>
          <w:rFonts w:cs="Times New Roman"/>
          <w:szCs w:val="24"/>
        </w:rPr>
        <w:t xml:space="preserve">onserved functions of major organs; grade </w:t>
      </w:r>
      <w:r w:rsidR="001235C6" w:rsidRPr="008E0B19">
        <w:rPr>
          <w:rFonts w:cs="Times New Roman"/>
          <w:szCs w:val="24"/>
        </w:rPr>
        <w:sym w:font="Symbol" w:char="F0A3"/>
      </w:r>
      <w:r w:rsidR="001235C6" w:rsidRPr="008E0B19">
        <w:rPr>
          <w:rFonts w:cs="Times New Roman"/>
          <w:szCs w:val="24"/>
        </w:rPr>
        <w:t>I according to the Common Terminology Criteria for Adverse Events (CTCAE) versi</w:t>
      </w:r>
      <w:r w:rsidR="001235C6" w:rsidRPr="00871A83">
        <w:rPr>
          <w:rFonts w:cs="Times New Roman"/>
          <w:szCs w:val="24"/>
        </w:rPr>
        <w:t xml:space="preserve">on </w:t>
      </w:r>
      <w:r w:rsidR="001235C6" w:rsidRPr="00871A83">
        <w:rPr>
          <w:rFonts w:cs="Times New Roman" w:hint="eastAsia"/>
          <w:szCs w:val="24"/>
        </w:rPr>
        <w:t>3</w:t>
      </w:r>
      <w:r w:rsidR="001235C6" w:rsidRPr="00871A83">
        <w:rPr>
          <w:rFonts w:cs="Times New Roman"/>
          <w:szCs w:val="24"/>
        </w:rPr>
        <w:t>.0</w:t>
      </w:r>
      <w:r w:rsidR="001235C6" w:rsidRPr="008E0B19">
        <w:rPr>
          <w:rFonts w:cs="Times New Roman"/>
          <w:szCs w:val="24"/>
        </w:rPr>
        <w:t xml:space="preserve"> </w:t>
      </w:r>
      <w:r w:rsidR="001235C6" w:rsidRPr="008E0B19">
        <w:rPr>
          <w:rFonts w:cs="Times New Roman" w:hint="eastAsia"/>
          <w:szCs w:val="24"/>
        </w:rPr>
        <w:t>(</w:t>
      </w:r>
      <w:r w:rsidR="001235C6" w:rsidRPr="008E0B19">
        <w:rPr>
          <w:rFonts w:cs="Times New Roman"/>
          <w:szCs w:val="24"/>
        </w:rPr>
        <w:t xml:space="preserve">however, the following grade </w:t>
      </w:r>
      <w:r w:rsidR="001235C6" w:rsidRPr="008E0B19">
        <w:rPr>
          <w:rFonts w:cs="Times New Roman"/>
          <w:szCs w:val="24"/>
        </w:rPr>
        <w:sym w:font="Symbol" w:char="F0A3"/>
      </w:r>
      <w:r w:rsidR="001235C6" w:rsidRPr="008E0B19">
        <w:rPr>
          <w:rFonts w:cs="Times New Roman"/>
          <w:szCs w:val="24"/>
        </w:rPr>
        <w:t>III hematologic toxicities were permitted: hematology</w:t>
      </w:r>
      <w:r w:rsidR="001235C6" w:rsidRPr="00871A83">
        <w:rPr>
          <w:rFonts w:cs="Times New Roman"/>
          <w:szCs w:val="24"/>
        </w:rPr>
        <w:t>—</w:t>
      </w:r>
      <w:r w:rsidR="001235C6" w:rsidRPr="00871A83">
        <w:rPr>
          <w:rFonts w:cs="Times New Roman"/>
          <w:szCs w:val="24"/>
        </w:rPr>
        <w:sym w:font="Symbol" w:char="F0B3"/>
      </w:r>
      <w:r w:rsidR="001235C6" w:rsidRPr="00871A83">
        <w:rPr>
          <w:rFonts w:cs="Times New Roman"/>
          <w:szCs w:val="24"/>
        </w:rPr>
        <w:t>500/mm</w:t>
      </w:r>
      <w:r w:rsidR="001235C6" w:rsidRPr="00871A83">
        <w:rPr>
          <w:rFonts w:cs="Times New Roman"/>
          <w:szCs w:val="24"/>
          <w:vertAlign w:val="superscript"/>
        </w:rPr>
        <w:t>3</w:t>
      </w:r>
      <w:r w:rsidR="001235C6" w:rsidRPr="00871A83">
        <w:rPr>
          <w:rFonts w:cs="Times New Roman"/>
          <w:szCs w:val="24"/>
        </w:rPr>
        <w:t xml:space="preserve"> in neutrophil count, </w:t>
      </w:r>
      <w:r w:rsidR="001235C6" w:rsidRPr="00871A83">
        <w:rPr>
          <w:rFonts w:cs="Times New Roman"/>
          <w:szCs w:val="24"/>
        </w:rPr>
        <w:sym w:font="Symbol" w:char="F0B3"/>
      </w:r>
      <w:r w:rsidR="001235C6" w:rsidRPr="00871A83">
        <w:rPr>
          <w:rFonts w:cs="Times New Roman"/>
          <w:szCs w:val="24"/>
        </w:rPr>
        <w:t xml:space="preserve">6.5 g/dL in hemoglobin concentration, and </w:t>
      </w:r>
      <w:r w:rsidR="001235C6" w:rsidRPr="00871A83">
        <w:rPr>
          <w:rFonts w:cs="Times New Roman"/>
          <w:szCs w:val="24"/>
        </w:rPr>
        <w:sym w:font="Symbol" w:char="F0B3"/>
      </w:r>
      <w:r w:rsidR="001235C6" w:rsidRPr="00871A83">
        <w:rPr>
          <w:rFonts w:cs="Times New Roman"/>
          <w:szCs w:val="24"/>
        </w:rPr>
        <w:t>10,000/mm</w:t>
      </w:r>
      <w:r w:rsidR="001235C6" w:rsidRPr="00871A83">
        <w:rPr>
          <w:rFonts w:cs="Times New Roman"/>
          <w:szCs w:val="24"/>
          <w:vertAlign w:val="superscript"/>
        </w:rPr>
        <w:t>3</w:t>
      </w:r>
      <w:r w:rsidR="001235C6" w:rsidRPr="00871A83">
        <w:rPr>
          <w:rFonts w:cs="Times New Roman"/>
          <w:szCs w:val="24"/>
        </w:rPr>
        <w:t xml:space="preserve"> in platelet count; and </w:t>
      </w:r>
      <w:r w:rsidR="001235C6" w:rsidRPr="00871A83">
        <w:rPr>
          <w:rFonts w:cs="Times New Roman"/>
          <w:szCs w:val="24"/>
        </w:rPr>
        <w:sym w:font="Symbol" w:char="F0B3"/>
      </w:r>
      <w:r w:rsidR="001235C6" w:rsidRPr="00871A83">
        <w:rPr>
          <w:rFonts w:cs="Times New Roman"/>
          <w:szCs w:val="24"/>
        </w:rPr>
        <w:t>5 days aft</w:t>
      </w:r>
      <w:r w:rsidR="001235C6" w:rsidRPr="008E0B19">
        <w:rPr>
          <w:rFonts w:cs="Times New Roman"/>
          <w:szCs w:val="24"/>
        </w:rPr>
        <w:t xml:space="preserve">er the final </w:t>
      </w:r>
      <w:r w:rsidR="001235C6" w:rsidRPr="00266E18">
        <w:rPr>
          <w:rFonts w:cs="Times New Roman"/>
          <w:szCs w:val="24"/>
        </w:rPr>
        <w:t>blood transfusion.</w:t>
      </w:r>
    </w:p>
    <w:p w14:paraId="3F26538C" w14:textId="77777777" w:rsidR="00DB52D0" w:rsidRDefault="00DB52D0" w:rsidP="00EB36AB">
      <w:pPr>
        <w:spacing w:line="640" w:lineRule="exact"/>
        <w:rPr>
          <w:rFonts w:cs="Times New Roman"/>
          <w:b/>
          <w:bCs/>
          <w:szCs w:val="24"/>
        </w:rPr>
      </w:pPr>
    </w:p>
    <w:p w14:paraId="714AEE13" w14:textId="77777777" w:rsidR="006C152B" w:rsidRDefault="006C152B">
      <w:pPr>
        <w:rPr>
          <w:rFonts w:cs="Times New Roman"/>
          <w:b/>
          <w:bCs/>
          <w:szCs w:val="24"/>
        </w:rPr>
      </w:pPr>
      <w:r>
        <w:rPr>
          <w:rFonts w:cs="Times New Roman"/>
          <w:b/>
          <w:bCs/>
          <w:szCs w:val="24"/>
        </w:rPr>
        <w:br w:type="page"/>
      </w:r>
    </w:p>
    <w:p w14:paraId="75CBD53E" w14:textId="3052BDDF" w:rsidR="009375F4" w:rsidRDefault="009375F4" w:rsidP="00EB36AB">
      <w:pPr>
        <w:spacing w:line="640" w:lineRule="exact"/>
        <w:rPr>
          <w:rFonts w:cs="Times New Roman"/>
          <w:b/>
          <w:bCs/>
          <w:szCs w:val="24"/>
        </w:rPr>
      </w:pPr>
      <w:r>
        <w:rPr>
          <w:rFonts w:cs="Times New Roman" w:hint="eastAsia"/>
          <w:b/>
          <w:bCs/>
          <w:szCs w:val="24"/>
        </w:rPr>
        <w:lastRenderedPageBreak/>
        <w:t>E</w:t>
      </w:r>
      <w:r>
        <w:rPr>
          <w:rFonts w:cs="Times New Roman"/>
          <w:b/>
          <w:bCs/>
          <w:szCs w:val="24"/>
        </w:rPr>
        <w:t>xclusion criteria</w:t>
      </w:r>
    </w:p>
    <w:p w14:paraId="7A9A466F" w14:textId="35E38359" w:rsidR="00EB36AB" w:rsidRPr="00932808" w:rsidRDefault="00EB36AB" w:rsidP="00177E85">
      <w:pPr>
        <w:widowControl w:val="0"/>
        <w:spacing w:line="660" w:lineRule="exact"/>
        <w:ind w:firstLineChars="177" w:firstLine="425"/>
        <w:rPr>
          <w:rFonts w:cs="Times New Roman"/>
          <w:szCs w:val="24"/>
        </w:rPr>
      </w:pPr>
      <w:r w:rsidRPr="00932808">
        <w:rPr>
          <w:rFonts w:cs="Times New Roman"/>
          <w:szCs w:val="24"/>
        </w:rPr>
        <w:t>A patient was excluded when falling under any of the following exclusion criteria: myelodysplastic syndrome defined by the World Health Organization</w:t>
      </w:r>
      <w:r>
        <w:rPr>
          <w:rFonts w:cs="Times New Roman"/>
          <w:szCs w:val="24"/>
        </w:rPr>
        <w:fldChar w:fldCharType="begin"/>
      </w:r>
      <w:r>
        <w:rPr>
          <w:rFonts w:cs="Times New Roman"/>
          <w:szCs w:val="24"/>
        </w:rPr>
        <w:instrText xml:space="preserve"> ADDIN EN.CITE &lt;EndNote&gt;&lt;Cite&gt;&lt;Author&gt;WHO. World Health Organization&lt;/Author&gt;&lt;Year&gt;2008&lt;/Year&gt;&lt;RecNum&gt;72&lt;/RecNum&gt;&lt;DisplayText&gt;&lt;style face="superscript"&gt;2&lt;/style&gt;&lt;/DisplayText&gt;&lt;record&gt;&lt;rec-number&gt;72&lt;/rec-number&gt;&lt;foreign-keys&gt;&lt;key app="EN" db-id="00twettwm0x509edsrqpt5fu5r52t2etpx9s" timestamp="1647817973"&gt;72&lt;/key&gt;&lt;/foreign-keys&gt;&lt;ref-type name="Book"&gt;6&lt;/ref-type&gt;&lt;contributors&gt;&lt;authors&gt;&lt;author&gt;WHO. World Health Organization,&lt;/author&gt;&lt;/authors&gt;&lt;/contributors&gt;&lt;titles&gt;&lt;title&gt;WHO classification of tumours of haematopoietic and lymphoid tissues&lt;/title&gt;&lt;/titles&gt;&lt;edition&gt;4th&lt;/edition&gt;&lt;dates&gt;&lt;year&gt;2008&lt;/year&gt;&lt;/dates&gt;&lt;pub-location&gt;Lyon, France&lt;/pub-location&gt;&lt;publisher&gt;IARC&lt;/publisher&gt;&lt;label&gt;30&lt;/label&gt;&lt;urls&gt;&lt;/urls&gt;&lt;/record&gt;&lt;/Cite&gt;&lt;/EndNote&gt;</w:instrText>
      </w:r>
      <w:r>
        <w:rPr>
          <w:rFonts w:cs="Times New Roman"/>
          <w:szCs w:val="24"/>
        </w:rPr>
        <w:fldChar w:fldCharType="separate"/>
      </w:r>
      <w:r w:rsidRPr="00EB36AB">
        <w:rPr>
          <w:rFonts w:cs="Times New Roman"/>
          <w:noProof/>
          <w:szCs w:val="24"/>
          <w:vertAlign w:val="superscript"/>
        </w:rPr>
        <w:t>2</w:t>
      </w:r>
      <w:r>
        <w:rPr>
          <w:rFonts w:cs="Times New Roman"/>
          <w:szCs w:val="24"/>
        </w:rPr>
        <w:fldChar w:fldCharType="end"/>
      </w:r>
      <w:r w:rsidRPr="00932808">
        <w:rPr>
          <w:rFonts w:cs="Times New Roman"/>
          <w:szCs w:val="24"/>
        </w:rPr>
        <w:t xml:space="preserve"> (however, complete chimera or stable mixed chimera after allo-HSCT were accepted); poorly controlled infections; serious complications (e.g., congestive heart failure and hepatic failure), and ineligibility determined by the investigator or subinvestigator</w:t>
      </w:r>
    </w:p>
    <w:p w14:paraId="3F6CCAAC" w14:textId="77777777" w:rsidR="001235C6" w:rsidRDefault="001235C6" w:rsidP="00177E85">
      <w:pPr>
        <w:spacing w:line="660" w:lineRule="exact"/>
        <w:rPr>
          <w:rFonts w:cs="Times New Roman"/>
          <w:b/>
          <w:bCs/>
          <w:szCs w:val="24"/>
        </w:rPr>
      </w:pPr>
    </w:p>
    <w:p w14:paraId="4D546512" w14:textId="68527C05" w:rsidR="0054345A" w:rsidRDefault="0054345A" w:rsidP="00177E85">
      <w:pPr>
        <w:spacing w:line="660" w:lineRule="exact"/>
        <w:rPr>
          <w:rFonts w:cs="Times New Roman"/>
          <w:b/>
          <w:bCs/>
          <w:szCs w:val="24"/>
        </w:rPr>
      </w:pPr>
      <w:r>
        <w:rPr>
          <w:rFonts w:cs="Times New Roman" w:hint="eastAsia"/>
          <w:b/>
          <w:bCs/>
          <w:szCs w:val="24"/>
        </w:rPr>
        <w:t>E</w:t>
      </w:r>
      <w:r>
        <w:rPr>
          <w:rFonts w:cs="Times New Roman"/>
          <w:b/>
          <w:bCs/>
          <w:szCs w:val="24"/>
        </w:rPr>
        <w:t>thical principles, as well as countermeasures for referral and selection biases</w:t>
      </w:r>
    </w:p>
    <w:p w14:paraId="1E247368" w14:textId="77777777" w:rsidR="0054345A" w:rsidRDefault="0054345A" w:rsidP="00177E85">
      <w:pPr>
        <w:spacing w:line="660" w:lineRule="exact"/>
        <w:ind w:firstLineChars="177" w:firstLine="425"/>
        <w:rPr>
          <w:rFonts w:cs="Times New Roman"/>
          <w:szCs w:val="24"/>
        </w:rPr>
      </w:pPr>
      <w:r w:rsidRPr="00A84D21">
        <w:rPr>
          <w:rFonts w:cs="Times New Roman"/>
          <w:szCs w:val="24"/>
        </w:rPr>
        <w:t xml:space="preserve">The studies were conducted in accordance with the ethical principles of the Declaration of Helsinki, the International Council Harmonised Tripartite Guideline for Good Clinical Practice, and the local IRB regulations. The IRBs reviewed and approved the protocol, investigator’s brochure, informed consent form, and other study-related documents. Referral and selection biases, as well as data missing were checked and minimized by the Data Management Committee at each medical institution. Pediatric patients, about whom recurrence/progression was not confirmed on imaging studies and who survived thereafter, were censored </w:t>
      </w:r>
      <w:r w:rsidRPr="00266E18">
        <w:t>as of the final confirmation date of survival</w:t>
      </w:r>
      <w:r w:rsidRPr="00A84D21">
        <w:rPr>
          <w:rFonts w:cs="Times New Roman"/>
          <w:szCs w:val="24"/>
        </w:rPr>
        <w:t xml:space="preserve">, while pediatric patients who became lost to follow up were censored </w:t>
      </w:r>
      <w:r w:rsidRPr="00266E18">
        <w:t>as of the newest date of medical examination on the outpatient setting prior to turning lost to follow up</w:t>
      </w:r>
      <w:r w:rsidRPr="00A84D21">
        <w:rPr>
          <w:rFonts w:cs="Times New Roman"/>
          <w:szCs w:val="24"/>
        </w:rPr>
        <w:t>.</w:t>
      </w:r>
    </w:p>
    <w:p w14:paraId="38C7F30E" w14:textId="77777777" w:rsidR="00DB4AEA" w:rsidRDefault="00DB4AEA" w:rsidP="00177E85">
      <w:pPr>
        <w:spacing w:line="660" w:lineRule="exact"/>
        <w:rPr>
          <w:rFonts w:cs="Times New Roman"/>
          <w:b/>
          <w:bCs/>
          <w:szCs w:val="24"/>
        </w:rPr>
      </w:pPr>
    </w:p>
    <w:p w14:paraId="5A4FA16E" w14:textId="77777777" w:rsidR="00A339FE" w:rsidRDefault="00A339FE">
      <w:pPr>
        <w:rPr>
          <w:rFonts w:cs="Times New Roman"/>
          <w:b/>
          <w:bCs/>
          <w:szCs w:val="24"/>
        </w:rPr>
      </w:pPr>
      <w:r>
        <w:rPr>
          <w:rFonts w:cs="Times New Roman"/>
          <w:b/>
          <w:bCs/>
          <w:szCs w:val="24"/>
        </w:rPr>
        <w:br w:type="page"/>
      </w:r>
    </w:p>
    <w:p w14:paraId="6E4F6462" w14:textId="4B6AC68B" w:rsidR="00952417" w:rsidRPr="000F49E5" w:rsidRDefault="00D56F69" w:rsidP="00177E85">
      <w:pPr>
        <w:spacing w:line="660" w:lineRule="exact"/>
        <w:rPr>
          <w:rFonts w:cs="Times New Roman"/>
          <w:b/>
          <w:bCs/>
          <w:szCs w:val="24"/>
        </w:rPr>
      </w:pPr>
      <w:r w:rsidRPr="00826B75">
        <w:rPr>
          <w:rFonts w:cs="Times New Roman"/>
          <w:b/>
          <w:bCs/>
          <w:szCs w:val="24"/>
        </w:rPr>
        <w:lastRenderedPageBreak/>
        <w:t>Pr</w:t>
      </w:r>
      <w:r w:rsidRPr="000F49E5">
        <w:rPr>
          <w:rFonts w:cs="Times New Roman"/>
          <w:b/>
          <w:bCs/>
          <w:szCs w:val="24"/>
        </w:rPr>
        <w:t>ocedures (i</w:t>
      </w:r>
      <w:r w:rsidR="0018457B" w:rsidRPr="000F49E5">
        <w:rPr>
          <w:rFonts w:cs="Times New Roman"/>
          <w:b/>
          <w:bCs/>
          <w:szCs w:val="24"/>
        </w:rPr>
        <w:t>njection sites</w:t>
      </w:r>
      <w:r w:rsidRPr="000F49E5">
        <w:rPr>
          <w:rFonts w:cs="Times New Roman"/>
          <w:b/>
          <w:bCs/>
          <w:szCs w:val="24"/>
        </w:rPr>
        <w:t>)</w:t>
      </w:r>
    </w:p>
    <w:p w14:paraId="2CC305EF" w14:textId="0F917184" w:rsidR="00952417" w:rsidRPr="000F49E5" w:rsidRDefault="0018457B" w:rsidP="00177E85">
      <w:pPr>
        <w:spacing w:line="660" w:lineRule="exact"/>
        <w:ind w:firstLineChars="175" w:firstLine="420"/>
        <w:rPr>
          <w:rFonts w:cs="Times New Roman"/>
          <w:szCs w:val="24"/>
        </w:rPr>
      </w:pPr>
      <w:r w:rsidRPr="000F49E5">
        <w:rPr>
          <w:rFonts w:cs="Times New Roman"/>
          <w:szCs w:val="24"/>
        </w:rPr>
        <w:t>The single 0.5-mg dose was injected at 2 sites of the body (i.e., lateral peripheries of the axillary and inguinal lymph nodes). The single 1-mg dose was desirably injected at 4 different sites (right and left shoulders and thighs in consideration of regional lymph nodes) to expect its higher effects.</w:t>
      </w:r>
    </w:p>
    <w:p w14:paraId="64891127" w14:textId="77777777" w:rsidR="00952417" w:rsidRDefault="00952417" w:rsidP="0054345A">
      <w:pPr>
        <w:spacing w:line="580" w:lineRule="exact"/>
        <w:rPr>
          <w:rFonts w:cs="Times New Roman"/>
          <w:b/>
          <w:bCs/>
          <w:szCs w:val="24"/>
        </w:rPr>
      </w:pPr>
    </w:p>
    <w:p w14:paraId="261C8E1E" w14:textId="77777777" w:rsidR="009E3CB5" w:rsidRDefault="009E3CB5" w:rsidP="009E3CB5">
      <w:pPr>
        <w:spacing w:line="580" w:lineRule="exact"/>
        <w:rPr>
          <w:rFonts w:cs="Times New Roman"/>
          <w:b/>
          <w:bCs/>
          <w:szCs w:val="24"/>
        </w:rPr>
      </w:pPr>
      <w:r>
        <w:rPr>
          <w:rFonts w:cs="Times New Roman" w:hint="eastAsia"/>
          <w:b/>
          <w:bCs/>
          <w:szCs w:val="24"/>
        </w:rPr>
        <w:t>E</w:t>
      </w:r>
      <w:r>
        <w:rPr>
          <w:rFonts w:cs="Times New Roman"/>
          <w:b/>
          <w:bCs/>
          <w:szCs w:val="24"/>
        </w:rPr>
        <w:t>fficacy assessments</w:t>
      </w:r>
    </w:p>
    <w:p w14:paraId="0F1C9E43" w14:textId="216E235F" w:rsidR="009E3CB5" w:rsidRPr="006609BF" w:rsidRDefault="009E3CB5" w:rsidP="009E3CB5">
      <w:pPr>
        <w:spacing w:line="660" w:lineRule="exact"/>
        <w:rPr>
          <w:rFonts w:cs="Times New Roman"/>
          <w:color w:val="FF0000"/>
          <w:szCs w:val="24"/>
        </w:rPr>
      </w:pPr>
      <w:r w:rsidRPr="000071F0">
        <w:rPr>
          <w:rFonts w:cs="Times New Roman"/>
          <w:szCs w:val="24"/>
        </w:rPr>
        <w:t xml:space="preserve">The verification day of CR/PR on </w:t>
      </w:r>
      <w:r w:rsidR="00D96547" w:rsidRPr="000071F0">
        <w:rPr>
          <w:rFonts w:cs="Times New Roman" w:hint="eastAsia"/>
          <w:szCs w:val="24"/>
        </w:rPr>
        <w:t xml:space="preserve">the first </w:t>
      </w:r>
      <w:r w:rsidRPr="000071F0">
        <w:rPr>
          <w:rFonts w:cs="Times New Roman"/>
          <w:szCs w:val="24"/>
        </w:rPr>
        <w:t>imaging studies within 21 days after the completion of conventional treatments was established as the initial day to</w:t>
      </w:r>
      <w:r w:rsidRPr="00826B75">
        <w:rPr>
          <w:rFonts w:cs="Times New Roman"/>
          <w:szCs w:val="24"/>
        </w:rPr>
        <w:t xml:space="preserve"> examine the effects of the primary and secondary endpoints. C</w:t>
      </w:r>
      <w:r>
        <w:rPr>
          <w:rFonts w:cs="Times New Roman"/>
          <w:szCs w:val="24"/>
        </w:rPr>
        <w:t xml:space="preserve">linical responders </w:t>
      </w:r>
      <w:r w:rsidRPr="00C47902">
        <w:rPr>
          <w:rFonts w:cs="Times New Roman"/>
          <w:szCs w:val="24"/>
        </w:rPr>
        <w:t>were pediatric patients exhibiting clinical response defined as no disease progression on imaging studies until 12 months after the start day of vaccination. In contrast, clinical nonresponders sh</w:t>
      </w:r>
      <w:r w:rsidRPr="00871A83">
        <w:rPr>
          <w:rFonts w:cs="Times New Roman"/>
          <w:szCs w:val="24"/>
        </w:rPr>
        <w:t>owed disease pr</w:t>
      </w:r>
      <w:r>
        <w:rPr>
          <w:rFonts w:cs="Times New Roman"/>
          <w:szCs w:val="24"/>
        </w:rPr>
        <w:t>ogression in the relevant timespan</w:t>
      </w:r>
      <w:r w:rsidRPr="0019308D">
        <w:rPr>
          <w:rFonts w:cs="Times New Roman"/>
          <w:szCs w:val="24"/>
        </w:rPr>
        <w:t>.</w:t>
      </w:r>
    </w:p>
    <w:p w14:paraId="7734DAFA" w14:textId="77777777" w:rsidR="009E3CB5" w:rsidRPr="000F49E5" w:rsidRDefault="009E3CB5" w:rsidP="0054345A">
      <w:pPr>
        <w:spacing w:line="580" w:lineRule="exact"/>
        <w:rPr>
          <w:rFonts w:cs="Times New Roman"/>
          <w:b/>
          <w:bCs/>
          <w:szCs w:val="24"/>
        </w:rPr>
      </w:pPr>
    </w:p>
    <w:p w14:paraId="3E77E616" w14:textId="111D150F" w:rsidR="00D85E92" w:rsidRPr="000F49E5" w:rsidRDefault="009E3CB5" w:rsidP="0054345A">
      <w:pPr>
        <w:spacing w:line="580" w:lineRule="exact"/>
        <w:rPr>
          <w:rFonts w:cs="Times New Roman"/>
          <w:b/>
          <w:bCs/>
          <w:szCs w:val="24"/>
        </w:rPr>
      </w:pPr>
      <w:r>
        <w:rPr>
          <w:rFonts w:cs="Times New Roman"/>
          <w:b/>
          <w:bCs/>
          <w:szCs w:val="24"/>
        </w:rPr>
        <w:t>L</w:t>
      </w:r>
      <w:r w:rsidR="00290090" w:rsidRPr="000F49E5">
        <w:rPr>
          <w:rFonts w:cs="Times New Roman"/>
          <w:b/>
          <w:bCs/>
          <w:szCs w:val="24"/>
        </w:rPr>
        <w:t>andmark analys</w:t>
      </w:r>
      <w:r w:rsidR="00302A57">
        <w:rPr>
          <w:rFonts w:cs="Times New Roman" w:hint="eastAsia"/>
          <w:b/>
          <w:bCs/>
          <w:szCs w:val="24"/>
        </w:rPr>
        <w:t>e</w:t>
      </w:r>
      <w:r w:rsidR="00290090" w:rsidRPr="000F49E5">
        <w:rPr>
          <w:rFonts w:cs="Times New Roman"/>
          <w:b/>
          <w:bCs/>
          <w:szCs w:val="24"/>
        </w:rPr>
        <w:t>s</w:t>
      </w:r>
    </w:p>
    <w:p w14:paraId="4C450CFC" w14:textId="28D23034" w:rsidR="00BA04B3" w:rsidRDefault="008C02D6" w:rsidP="00141B5B">
      <w:pPr>
        <w:spacing w:line="580" w:lineRule="exact"/>
        <w:ind w:firstLineChars="177" w:firstLine="425"/>
        <w:rPr>
          <w:rFonts w:cs="Times New Roman" w:hint="eastAsia"/>
          <w:szCs w:val="24"/>
        </w:rPr>
      </w:pPr>
      <w:bookmarkStart w:id="0" w:name="_Hlk152925253"/>
      <w:r w:rsidRPr="000F49E5">
        <w:rPr>
          <w:rFonts w:cs="Times New Roman"/>
          <w:szCs w:val="24"/>
        </w:rPr>
        <w:t>Landmark analyses were made to</w:t>
      </w:r>
      <w:r w:rsidR="005205FA" w:rsidRPr="000F49E5">
        <w:rPr>
          <w:rFonts w:cs="Times New Roman"/>
          <w:szCs w:val="24"/>
        </w:rPr>
        <w:t xml:space="preserve"> test the impact of </w:t>
      </w:r>
      <w:r w:rsidR="00873062" w:rsidRPr="000F49E5">
        <w:rPr>
          <w:rFonts w:cs="Times New Roman"/>
          <w:szCs w:val="24"/>
        </w:rPr>
        <w:t>immunological variables</w:t>
      </w:r>
      <w:r w:rsidR="005205FA" w:rsidRPr="000F49E5">
        <w:rPr>
          <w:rFonts w:cs="Times New Roman"/>
          <w:szCs w:val="24"/>
        </w:rPr>
        <w:t xml:space="preserve"> </w:t>
      </w:r>
      <w:r w:rsidR="00342492" w:rsidRPr="000F49E5">
        <w:rPr>
          <w:rFonts w:cs="Times New Roman"/>
          <w:szCs w:val="24"/>
        </w:rPr>
        <w:t xml:space="preserve">(i.e., WT1-specific CTL frequency, </w:t>
      </w:r>
      <w:r w:rsidR="000F49E5" w:rsidRPr="000F49E5">
        <w:rPr>
          <w:rFonts w:cs="Times New Roman"/>
          <w:szCs w:val="24"/>
        </w:rPr>
        <w:t xml:space="preserve">and </w:t>
      </w:r>
      <w:r w:rsidR="00342492" w:rsidRPr="000F49E5">
        <w:rPr>
          <w:rFonts w:cs="Times New Roman"/>
          <w:szCs w:val="24"/>
        </w:rPr>
        <w:t xml:space="preserve">DTH) </w:t>
      </w:r>
      <w:r w:rsidR="005205FA" w:rsidRPr="000F49E5">
        <w:rPr>
          <w:rFonts w:cs="Times New Roman"/>
          <w:szCs w:val="24"/>
        </w:rPr>
        <w:t xml:space="preserve">at </w:t>
      </w:r>
      <w:r w:rsidR="000C3108">
        <w:rPr>
          <w:rFonts w:cs="Times New Roman" w:hint="eastAsia"/>
          <w:szCs w:val="24"/>
        </w:rPr>
        <w:t xml:space="preserve">week 11 </w:t>
      </w:r>
      <w:r w:rsidR="005205FA" w:rsidRPr="000F49E5">
        <w:rPr>
          <w:rFonts w:cs="Times New Roman"/>
          <w:szCs w:val="24"/>
        </w:rPr>
        <w:t>on patient survival thereafter</w:t>
      </w:r>
      <w:r w:rsidR="000C3108">
        <w:rPr>
          <w:rFonts w:cs="Times New Roman" w:hint="eastAsia"/>
          <w:szCs w:val="24"/>
        </w:rPr>
        <w:t xml:space="preserve"> to </w:t>
      </w:r>
      <w:r w:rsidR="000C3108" w:rsidRPr="000F49E5">
        <w:rPr>
          <w:szCs w:val="24"/>
        </w:rPr>
        <w:t xml:space="preserve">investigate whether immune responses </w:t>
      </w:r>
      <w:r w:rsidR="000C3108" w:rsidRPr="000F49E5">
        <w:t>(WT1-specific CTL frequency</w:t>
      </w:r>
      <w:r w:rsidR="000C3108">
        <w:t xml:space="preserve"> and</w:t>
      </w:r>
      <w:r w:rsidR="000C3108" w:rsidRPr="000F49E5">
        <w:rPr>
          <w:szCs w:val="24"/>
        </w:rPr>
        <w:t xml:space="preserve"> DTH</w:t>
      </w:r>
      <w:r w:rsidR="000C3108">
        <w:rPr>
          <w:szCs w:val="24"/>
        </w:rPr>
        <w:t>)</w:t>
      </w:r>
      <w:r w:rsidR="000C3108" w:rsidRPr="000F49E5">
        <w:rPr>
          <w:szCs w:val="24"/>
        </w:rPr>
        <w:t xml:space="preserve"> affect patient prognosis</w:t>
      </w:r>
      <w:r w:rsidR="005205FA" w:rsidRPr="000F49E5">
        <w:rPr>
          <w:rFonts w:cs="Times New Roman"/>
          <w:szCs w:val="24"/>
        </w:rPr>
        <w:t>.</w:t>
      </w:r>
      <w:bookmarkEnd w:id="0"/>
    </w:p>
    <w:p w14:paraId="47FAC987" w14:textId="77777777" w:rsidR="000C3108" w:rsidRDefault="000C3108">
      <w:pPr>
        <w:rPr>
          <w:rFonts w:cs="Times New Roman"/>
          <w:szCs w:val="24"/>
        </w:rPr>
      </w:pPr>
      <w:r>
        <w:rPr>
          <w:rFonts w:cs="Times New Roman"/>
          <w:szCs w:val="24"/>
        </w:rPr>
        <w:br w:type="page"/>
      </w:r>
    </w:p>
    <w:p w14:paraId="7483DD71" w14:textId="0F263638" w:rsidR="0079034D" w:rsidRPr="0079034D" w:rsidRDefault="0079034D" w:rsidP="008D00E2">
      <w:pPr>
        <w:spacing w:line="560" w:lineRule="exact"/>
        <w:rPr>
          <w:rFonts w:cs="Times New Roman"/>
          <w:szCs w:val="24"/>
        </w:rPr>
      </w:pPr>
      <w:r w:rsidRPr="00932808">
        <w:rPr>
          <w:rFonts w:cs="Times New Roman"/>
          <w:b/>
          <w:bCs/>
          <w:szCs w:val="24"/>
        </w:rPr>
        <w:lastRenderedPageBreak/>
        <w:t>Safety assessments</w:t>
      </w:r>
    </w:p>
    <w:p w14:paraId="585D1DEE" w14:textId="47863CDF" w:rsidR="00D839CD" w:rsidRPr="00FB7BA0" w:rsidRDefault="0079034D" w:rsidP="008D00E2">
      <w:pPr>
        <w:spacing w:line="560" w:lineRule="exact"/>
        <w:rPr>
          <w:rFonts w:cs="Times New Roman"/>
          <w:szCs w:val="24"/>
        </w:rPr>
      </w:pPr>
      <w:r w:rsidRPr="0079034D">
        <w:rPr>
          <w:rFonts w:cs="Times New Roman"/>
          <w:szCs w:val="24"/>
        </w:rPr>
        <w:t>Pediatric patients were assessed at the time of every injection for the safety of the vaccination through the following endpoints: general condition including height, body weight, body surface area, performance status, body temperature, blood pressure, pulse rate, and physical findings; peripheral blood (PB) counts including white blood cell count, differential white blood cell counts, platelet count, and hemoglobin concentration; blood chemistry including Na, K, blood urea nitrogen, creatinine, aspartate transaminase, alanine transaminase, total bilirubin concentration, differential bilirubin, total protein, albumin, and C-reactive protein; and TEAEs including date of occurrence, verification date of disappearance/continuation, causality, and reason to deny causality.</w:t>
      </w:r>
    </w:p>
    <w:p w14:paraId="6367B177" w14:textId="5573A421" w:rsidR="00A90248" w:rsidRPr="00FB7BA0" w:rsidRDefault="00A90248" w:rsidP="008D00E2">
      <w:pPr>
        <w:spacing w:line="540" w:lineRule="exact"/>
        <w:ind w:firstLineChars="177" w:firstLine="425"/>
        <w:rPr>
          <w:rFonts w:cs="Times New Roman"/>
          <w:szCs w:val="24"/>
        </w:rPr>
      </w:pPr>
    </w:p>
    <w:p w14:paraId="00A1C700" w14:textId="77777777" w:rsidR="007B46A2" w:rsidRDefault="007B46A2">
      <w:r>
        <w:br w:type="page"/>
      </w:r>
    </w:p>
    <w:p w14:paraId="15ECD558" w14:textId="45234F00" w:rsidR="00DC050C" w:rsidRPr="009F1D73" w:rsidRDefault="002127FA" w:rsidP="00DC050C">
      <w:pPr>
        <w:tabs>
          <w:tab w:val="left" w:pos="1134"/>
        </w:tabs>
        <w:rPr>
          <w:rFonts w:cs="Times New Roman"/>
          <w:szCs w:val="24"/>
        </w:rPr>
      </w:pPr>
      <w:r w:rsidRPr="00DC050C">
        <w:rPr>
          <w:rFonts w:hint="eastAsia"/>
          <w:b/>
          <w:bCs/>
        </w:rPr>
        <w:lastRenderedPageBreak/>
        <w:t>F</w:t>
      </w:r>
      <w:r w:rsidRPr="00DC050C">
        <w:rPr>
          <w:b/>
          <w:bCs/>
        </w:rPr>
        <w:t xml:space="preserve">igure </w:t>
      </w:r>
      <w:r w:rsidR="00F92A25" w:rsidRPr="00077A8F">
        <w:rPr>
          <w:rFonts w:hint="eastAsia"/>
          <w:b/>
          <w:bCs/>
        </w:rPr>
        <w:t>1</w:t>
      </w:r>
      <w:r w:rsidRPr="00077A8F">
        <w:rPr>
          <w:b/>
          <w:bCs/>
        </w:rPr>
        <w:t>.</w:t>
      </w:r>
      <w:r w:rsidR="00DC050C">
        <w:rPr>
          <w:b/>
          <w:bCs/>
        </w:rPr>
        <w:tab/>
      </w:r>
      <w:r w:rsidR="00DC050C" w:rsidRPr="00A55860">
        <w:rPr>
          <w:rFonts w:cs="Times New Roman"/>
          <w:szCs w:val="24"/>
        </w:rPr>
        <w:t>WT1-specific CTL frequency in 3 clin</w:t>
      </w:r>
      <w:r w:rsidR="00DC050C" w:rsidRPr="009F1D73">
        <w:rPr>
          <w:rFonts w:cs="Times New Roman"/>
          <w:szCs w:val="24"/>
        </w:rPr>
        <w:t>ical responders (A</w:t>
      </w:r>
      <w:r w:rsidR="00DC050C">
        <w:rPr>
          <w:rFonts w:cs="Times New Roman" w:hint="eastAsia"/>
          <w:szCs w:val="24"/>
        </w:rPr>
        <w:t xml:space="preserve">) </w:t>
      </w:r>
      <w:r w:rsidR="00DC050C" w:rsidRPr="009F1D73">
        <w:rPr>
          <w:rFonts w:cs="Times New Roman"/>
          <w:szCs w:val="24"/>
        </w:rPr>
        <w:t>and</w:t>
      </w:r>
      <w:r w:rsidR="00DC050C">
        <w:rPr>
          <w:rFonts w:cs="Times New Roman" w:hint="eastAsia"/>
          <w:szCs w:val="24"/>
        </w:rPr>
        <w:t xml:space="preserve"> </w:t>
      </w:r>
      <w:r w:rsidR="00DC050C" w:rsidRPr="009F1D73">
        <w:rPr>
          <w:rFonts w:cs="Times New Roman"/>
          <w:szCs w:val="24"/>
        </w:rPr>
        <w:t>3 clinical</w:t>
      </w:r>
      <w:r w:rsidR="00DC050C">
        <w:rPr>
          <w:rFonts w:cs="Times New Roman" w:hint="eastAsia"/>
          <w:szCs w:val="24"/>
        </w:rPr>
        <w:t xml:space="preserve"> </w:t>
      </w:r>
      <w:r w:rsidR="00DC050C">
        <w:rPr>
          <w:rFonts w:cs="Times New Roman"/>
          <w:szCs w:val="24"/>
        </w:rPr>
        <w:tab/>
      </w:r>
      <w:r w:rsidR="00DC050C" w:rsidRPr="009F1D73">
        <w:rPr>
          <w:rFonts w:cs="Times New Roman"/>
          <w:szCs w:val="24"/>
        </w:rPr>
        <w:t>nonresponders (B)</w:t>
      </w:r>
    </w:p>
    <w:p w14:paraId="0A66C1A3" w14:textId="3223B4D8" w:rsidR="006F188F" w:rsidRDefault="006F188F" w:rsidP="006F188F">
      <w:pPr>
        <w:tabs>
          <w:tab w:val="left" w:pos="1134"/>
        </w:tabs>
      </w:pPr>
    </w:p>
    <w:p w14:paraId="1A0C171E" w14:textId="0260CAF2" w:rsidR="006F188F" w:rsidRDefault="00596ADB" w:rsidP="00D93193">
      <w:pPr>
        <w:tabs>
          <w:tab w:val="left" w:pos="1134"/>
        </w:tabs>
        <w:jc w:val="center"/>
      </w:pPr>
      <w:r>
        <w:rPr>
          <w:noProof/>
        </w:rPr>
        <w:drawing>
          <wp:inline distT="0" distB="0" distL="0" distR="0" wp14:anchorId="38D6B471" wp14:editId="56C519B4">
            <wp:extent cx="6096635" cy="3429000"/>
            <wp:effectExtent l="0" t="0" r="0" b="0"/>
            <wp:docPr id="2097727713"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635" cy="3429000"/>
                    </a:xfrm>
                    <a:prstGeom prst="rect">
                      <a:avLst/>
                    </a:prstGeom>
                    <a:noFill/>
                    <a:ln>
                      <a:noFill/>
                    </a:ln>
                  </pic:spPr>
                </pic:pic>
              </a:graphicData>
            </a:graphic>
          </wp:inline>
        </w:drawing>
      </w:r>
    </w:p>
    <w:p w14:paraId="231F469C" w14:textId="5CDFA008" w:rsidR="006F188F" w:rsidRPr="00D93193" w:rsidRDefault="006F188F" w:rsidP="006F188F">
      <w:pPr>
        <w:tabs>
          <w:tab w:val="left" w:pos="1134"/>
        </w:tabs>
        <w:rPr>
          <w:sz w:val="20"/>
          <w:szCs w:val="18"/>
        </w:rPr>
      </w:pPr>
      <w:r w:rsidRPr="00D93193">
        <w:rPr>
          <w:sz w:val="20"/>
          <w:szCs w:val="18"/>
        </w:rPr>
        <w:t>Shaded area, the area under the curve, is representatively depicted in UPN4.</w:t>
      </w:r>
    </w:p>
    <w:p w14:paraId="7B430DA3" w14:textId="2C216543" w:rsidR="00F23BEB" w:rsidRDefault="00DC050C" w:rsidP="006F188F">
      <w:pPr>
        <w:tabs>
          <w:tab w:val="left" w:pos="1134"/>
        </w:tabs>
        <w:rPr>
          <w:sz w:val="20"/>
          <w:szCs w:val="18"/>
        </w:rPr>
      </w:pPr>
      <w:r w:rsidRPr="00DC050C">
        <w:rPr>
          <w:rFonts w:cs="Times New Roman"/>
          <w:sz w:val="20"/>
          <w:szCs w:val="20"/>
        </w:rPr>
        <w:t>WT1, Wilms tumor gene 1; CTL, cytotoxic lymphocyte; UPN, unique patient number.</w:t>
      </w:r>
    </w:p>
    <w:p w14:paraId="5B3D8D3D" w14:textId="73486E0D" w:rsidR="001053BF" w:rsidRDefault="001053BF">
      <w:pPr>
        <w:rPr>
          <w:sz w:val="20"/>
          <w:szCs w:val="18"/>
        </w:rPr>
      </w:pPr>
      <w:r>
        <w:rPr>
          <w:sz w:val="20"/>
          <w:szCs w:val="18"/>
        </w:rPr>
        <w:br w:type="page"/>
      </w:r>
    </w:p>
    <w:p w14:paraId="37CC0885" w14:textId="1815D256" w:rsidR="00F40B6F" w:rsidRDefault="001053BF" w:rsidP="005F7D7D">
      <w:pPr>
        <w:tabs>
          <w:tab w:val="left" w:pos="1134"/>
        </w:tabs>
        <w:rPr>
          <w:rFonts w:cs="Times New Roman"/>
          <w:szCs w:val="24"/>
        </w:rPr>
      </w:pPr>
      <w:r w:rsidRPr="005F7D7D">
        <w:rPr>
          <w:rFonts w:hint="eastAsia"/>
          <w:b/>
          <w:bCs/>
        </w:rPr>
        <w:lastRenderedPageBreak/>
        <w:t>F</w:t>
      </w:r>
      <w:r w:rsidRPr="00077A8F">
        <w:rPr>
          <w:b/>
          <w:bCs/>
        </w:rPr>
        <w:t xml:space="preserve">igure </w:t>
      </w:r>
      <w:r w:rsidR="00F92A25" w:rsidRPr="00077A8F">
        <w:rPr>
          <w:rFonts w:hint="eastAsia"/>
          <w:b/>
          <w:bCs/>
        </w:rPr>
        <w:t>2</w:t>
      </w:r>
      <w:r w:rsidRPr="00077A8F">
        <w:rPr>
          <w:b/>
          <w:bCs/>
        </w:rPr>
        <w:t>.</w:t>
      </w:r>
      <w:r w:rsidR="005F7D7D" w:rsidRPr="00077A8F">
        <w:tab/>
      </w:r>
      <w:r w:rsidR="005F7D7D" w:rsidRPr="00077A8F">
        <w:rPr>
          <w:rFonts w:cs="Times New Roman" w:hint="eastAsia"/>
          <w:szCs w:val="24"/>
        </w:rPr>
        <w:t>Kaplan-Mei</w:t>
      </w:r>
      <w:r w:rsidR="0036295B" w:rsidRPr="00077A8F">
        <w:rPr>
          <w:rFonts w:cs="Times New Roman" w:hint="eastAsia"/>
          <w:szCs w:val="24"/>
        </w:rPr>
        <w:t>e</w:t>
      </w:r>
      <w:r w:rsidR="005F7D7D" w:rsidRPr="00077A8F">
        <w:rPr>
          <w:rFonts w:cs="Times New Roman" w:hint="eastAsia"/>
          <w:szCs w:val="24"/>
        </w:rPr>
        <w:t>r curves</w:t>
      </w:r>
      <w:r w:rsidR="00F40B6F">
        <w:rPr>
          <w:rFonts w:cs="Times New Roman" w:hint="eastAsia"/>
          <w:szCs w:val="24"/>
        </w:rPr>
        <w:t>*</w:t>
      </w:r>
      <w:r w:rsidR="005F7D7D" w:rsidRPr="00077A8F">
        <w:rPr>
          <w:rFonts w:cs="Times New Roman" w:hint="eastAsia"/>
          <w:szCs w:val="24"/>
        </w:rPr>
        <w:t xml:space="preserve"> of PFS (A) and</w:t>
      </w:r>
      <w:r w:rsidR="005F7D7D">
        <w:rPr>
          <w:rFonts w:cs="Times New Roman" w:hint="eastAsia"/>
          <w:szCs w:val="24"/>
        </w:rPr>
        <w:t xml:space="preserve"> OS (B) </w:t>
      </w:r>
      <w:r w:rsidR="00F40B6F">
        <w:rPr>
          <w:rFonts w:cs="Times New Roman" w:hint="eastAsia"/>
          <w:szCs w:val="24"/>
        </w:rPr>
        <w:t>in DTH-positive and -negative</w:t>
      </w:r>
    </w:p>
    <w:p w14:paraId="15E5E553" w14:textId="475B8C8B" w:rsidR="00F40B6F" w:rsidRDefault="00F40B6F" w:rsidP="005F7D7D">
      <w:pPr>
        <w:tabs>
          <w:tab w:val="left" w:pos="1134"/>
        </w:tabs>
        <w:rPr>
          <w:rFonts w:cs="Times New Roman"/>
          <w:szCs w:val="24"/>
        </w:rPr>
      </w:pPr>
      <w:r>
        <w:rPr>
          <w:rFonts w:cs="Times New Roman"/>
          <w:szCs w:val="24"/>
        </w:rPr>
        <w:tab/>
      </w:r>
      <w:r>
        <w:rPr>
          <w:rFonts w:cs="Times New Roman" w:hint="eastAsia"/>
          <w:szCs w:val="24"/>
        </w:rPr>
        <w:t>patients among patients who were evaluable for DTH at week 11 after the</w:t>
      </w:r>
    </w:p>
    <w:p w14:paraId="7AF474D1" w14:textId="6EEE5086" w:rsidR="002432F6" w:rsidRDefault="00F40B6F" w:rsidP="00F40B6F">
      <w:pPr>
        <w:tabs>
          <w:tab w:val="left" w:pos="1134"/>
        </w:tabs>
      </w:pPr>
      <w:r>
        <w:rPr>
          <w:rFonts w:cs="Times New Roman"/>
          <w:szCs w:val="24"/>
        </w:rPr>
        <w:tab/>
      </w:r>
      <w:r>
        <w:rPr>
          <w:rFonts w:cs="Times New Roman" w:hint="eastAsia"/>
          <w:szCs w:val="24"/>
        </w:rPr>
        <w:t>start of vaccination</w:t>
      </w:r>
      <w:r w:rsidR="003C4CCA">
        <w:rPr>
          <w:noProof/>
        </w:rPr>
        <w:drawing>
          <wp:inline distT="0" distB="0" distL="0" distR="0" wp14:anchorId="4EAC9F84" wp14:editId="15CA858B">
            <wp:extent cx="6101505" cy="2760792"/>
            <wp:effectExtent l="0" t="0" r="0" b="1905"/>
            <wp:docPr id="648746732"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8532" cy="2773021"/>
                    </a:xfrm>
                    <a:prstGeom prst="rect">
                      <a:avLst/>
                    </a:prstGeom>
                    <a:noFill/>
                    <a:ln>
                      <a:noFill/>
                    </a:ln>
                  </pic:spPr>
                </pic:pic>
              </a:graphicData>
            </a:graphic>
          </wp:inline>
        </w:drawing>
      </w:r>
    </w:p>
    <w:p w14:paraId="5F0842FC" w14:textId="77777777" w:rsidR="00F40B6F" w:rsidRDefault="00F40B6F" w:rsidP="00F40B6F">
      <w:pPr>
        <w:tabs>
          <w:tab w:val="left" w:pos="196"/>
        </w:tabs>
        <w:rPr>
          <w:sz w:val="20"/>
          <w:szCs w:val="18"/>
        </w:rPr>
      </w:pPr>
      <w:r>
        <w:rPr>
          <w:rFonts w:hint="eastAsia"/>
          <w:sz w:val="20"/>
          <w:szCs w:val="18"/>
        </w:rPr>
        <w:t>*:</w:t>
      </w:r>
      <w:r>
        <w:rPr>
          <w:sz w:val="20"/>
          <w:szCs w:val="18"/>
        </w:rPr>
        <w:tab/>
      </w:r>
      <w:r>
        <w:rPr>
          <w:rFonts w:hint="eastAsia"/>
          <w:sz w:val="20"/>
          <w:szCs w:val="18"/>
        </w:rPr>
        <w:t xml:space="preserve">Drawn according to the Kaplan-Meier </w:t>
      </w:r>
      <w:r>
        <w:rPr>
          <w:sz w:val="20"/>
          <w:szCs w:val="18"/>
        </w:rPr>
        <w:t>method</w:t>
      </w:r>
      <w:r>
        <w:rPr>
          <w:rFonts w:hint="eastAsia"/>
          <w:sz w:val="20"/>
          <w:szCs w:val="18"/>
        </w:rPr>
        <w:t xml:space="preserve"> including the landmark analysis at </w:t>
      </w:r>
      <w:r>
        <w:rPr>
          <w:sz w:val="20"/>
          <w:szCs w:val="18"/>
        </w:rPr>
        <w:t>week</w:t>
      </w:r>
      <w:r>
        <w:rPr>
          <w:rFonts w:hint="eastAsia"/>
          <w:sz w:val="20"/>
          <w:szCs w:val="18"/>
        </w:rPr>
        <w:t xml:space="preserve"> 11 after the</w:t>
      </w:r>
    </w:p>
    <w:p w14:paraId="740BD731" w14:textId="40CCE71C" w:rsidR="00F40B6F" w:rsidRPr="00F40B6F" w:rsidRDefault="00F40B6F" w:rsidP="00F40B6F">
      <w:pPr>
        <w:tabs>
          <w:tab w:val="left" w:pos="196"/>
        </w:tabs>
        <w:rPr>
          <w:sz w:val="20"/>
          <w:szCs w:val="18"/>
        </w:rPr>
      </w:pPr>
      <w:r>
        <w:rPr>
          <w:sz w:val="20"/>
          <w:szCs w:val="18"/>
        </w:rPr>
        <w:tab/>
      </w:r>
      <w:r>
        <w:rPr>
          <w:rFonts w:hint="eastAsia"/>
          <w:sz w:val="20"/>
          <w:szCs w:val="18"/>
        </w:rPr>
        <w:t>start of vaccination</w:t>
      </w:r>
    </w:p>
    <w:p w14:paraId="56217605" w14:textId="1832E870" w:rsidR="00596B7B" w:rsidRDefault="00D80E85" w:rsidP="00190738">
      <w:pPr>
        <w:tabs>
          <w:tab w:val="left" w:pos="1134"/>
        </w:tabs>
        <w:rPr>
          <w:sz w:val="20"/>
          <w:szCs w:val="18"/>
        </w:rPr>
      </w:pPr>
      <w:r w:rsidRPr="00D80E85">
        <w:rPr>
          <w:rFonts w:cs="Times New Roman" w:hint="eastAsia"/>
          <w:sz w:val="20"/>
          <w:szCs w:val="20"/>
        </w:rPr>
        <w:t>D</w:t>
      </w:r>
      <w:r w:rsidRPr="00D80E85">
        <w:rPr>
          <w:rFonts w:cs="Times New Roman"/>
          <w:sz w:val="20"/>
          <w:szCs w:val="20"/>
        </w:rPr>
        <w:t>TH, delayed-type hypersensitivity; PFS, progression-free survival; OS, overall survival; CI, confidence interval.</w:t>
      </w:r>
    </w:p>
    <w:p w14:paraId="54C55BF5" w14:textId="77777777" w:rsidR="00596B7B" w:rsidRDefault="00596B7B">
      <w:pPr>
        <w:rPr>
          <w:sz w:val="20"/>
          <w:szCs w:val="18"/>
        </w:rPr>
      </w:pPr>
      <w:r>
        <w:rPr>
          <w:sz w:val="20"/>
          <w:szCs w:val="18"/>
        </w:rPr>
        <w:br w:type="page"/>
      </w:r>
    </w:p>
    <w:p w14:paraId="18344894" w14:textId="18BE8355" w:rsidR="00D40F46" w:rsidRDefault="004F4DBB" w:rsidP="00D40F46">
      <w:pPr>
        <w:tabs>
          <w:tab w:val="left" w:pos="1134"/>
        </w:tabs>
        <w:rPr>
          <w:rFonts w:cs="Times New Roman"/>
          <w:szCs w:val="24"/>
        </w:rPr>
      </w:pPr>
      <w:r w:rsidRPr="00077A8F">
        <w:rPr>
          <w:rFonts w:hint="eastAsia"/>
          <w:b/>
          <w:bCs/>
        </w:rPr>
        <w:lastRenderedPageBreak/>
        <w:t>F</w:t>
      </w:r>
      <w:r w:rsidRPr="00077A8F">
        <w:rPr>
          <w:b/>
          <w:bCs/>
        </w:rPr>
        <w:t xml:space="preserve">igure </w:t>
      </w:r>
      <w:r w:rsidR="00F92A25" w:rsidRPr="00077A8F">
        <w:rPr>
          <w:rFonts w:hint="eastAsia"/>
          <w:b/>
          <w:bCs/>
        </w:rPr>
        <w:t>3</w:t>
      </w:r>
      <w:r w:rsidRPr="00077A8F">
        <w:rPr>
          <w:b/>
          <w:bCs/>
        </w:rPr>
        <w:t>.</w:t>
      </w:r>
      <w:r w:rsidR="00D40F46" w:rsidRPr="00077A8F">
        <w:rPr>
          <w:b/>
          <w:bCs/>
        </w:rPr>
        <w:tab/>
      </w:r>
      <w:r w:rsidR="00D40F46" w:rsidRPr="00077A8F">
        <w:rPr>
          <w:rFonts w:cs="Times New Roman"/>
          <w:szCs w:val="24"/>
        </w:rPr>
        <w:t>Typical t</w:t>
      </w:r>
      <w:r w:rsidR="00D40F46" w:rsidRPr="009F1D73">
        <w:rPr>
          <w:rFonts w:cs="Times New Roman"/>
          <w:szCs w:val="24"/>
        </w:rPr>
        <w:t xml:space="preserve">ime-course changes in </w:t>
      </w:r>
      <w:r w:rsidR="00D40F46" w:rsidRPr="00A55860">
        <w:rPr>
          <w:rFonts w:cs="Times New Roman"/>
          <w:szCs w:val="24"/>
        </w:rPr>
        <w:t>anti-WT1</w:t>
      </w:r>
      <w:r w:rsidR="00D40F46" w:rsidRPr="00A55860">
        <w:rPr>
          <w:rFonts w:cs="Times New Roman"/>
          <w:szCs w:val="24"/>
          <w:vertAlign w:val="subscript"/>
        </w:rPr>
        <w:t>235</w:t>
      </w:r>
      <w:r w:rsidR="00D40F46" w:rsidRPr="00A55860">
        <w:rPr>
          <w:rFonts w:cs="Times New Roman"/>
          <w:szCs w:val="24"/>
        </w:rPr>
        <w:t xml:space="preserve"> IgM</w:t>
      </w:r>
      <w:r w:rsidR="00D40F46" w:rsidRPr="009F1D73">
        <w:rPr>
          <w:rFonts w:cs="Times New Roman"/>
          <w:szCs w:val="24"/>
        </w:rPr>
        <w:t>- and</w:t>
      </w:r>
      <w:r w:rsidR="00D40F46">
        <w:rPr>
          <w:rFonts w:cs="Times New Roman" w:hint="eastAsia"/>
          <w:szCs w:val="24"/>
        </w:rPr>
        <w:t xml:space="preserve"> </w:t>
      </w:r>
      <w:r w:rsidR="00D40F46" w:rsidRPr="009F1D73">
        <w:rPr>
          <w:rFonts w:cs="Times New Roman"/>
          <w:szCs w:val="24"/>
        </w:rPr>
        <w:t xml:space="preserve">IgG antibody titers </w:t>
      </w:r>
      <w:r w:rsidR="00D40F46">
        <w:rPr>
          <w:rFonts w:cs="Times New Roman"/>
          <w:szCs w:val="24"/>
        </w:rPr>
        <w:tab/>
      </w:r>
      <w:r w:rsidR="00D40F46" w:rsidRPr="009F1D73">
        <w:rPr>
          <w:rFonts w:cs="Times New Roman"/>
          <w:szCs w:val="24"/>
        </w:rPr>
        <w:t>(absorbance) among clinical responders</w:t>
      </w:r>
      <w:r w:rsidR="00D40F46">
        <w:rPr>
          <w:rFonts w:cs="Times New Roman" w:hint="eastAsia"/>
          <w:szCs w:val="24"/>
        </w:rPr>
        <w:t xml:space="preserve"> </w:t>
      </w:r>
      <w:r w:rsidR="00D40F46" w:rsidRPr="009F1D73">
        <w:rPr>
          <w:rFonts w:cs="Times New Roman"/>
          <w:szCs w:val="24"/>
        </w:rPr>
        <w:t>(n=14) and nonresponders (n=7):</w:t>
      </w:r>
    </w:p>
    <w:p w14:paraId="7B6456A3" w14:textId="77777777" w:rsidR="0011769E" w:rsidRDefault="00D40F46" w:rsidP="00D40F46">
      <w:pPr>
        <w:tabs>
          <w:tab w:val="left" w:pos="1134"/>
        </w:tabs>
        <w:rPr>
          <w:rFonts w:cs="Times New Roman"/>
          <w:color w:val="000000" w:themeColor="text1"/>
          <w:szCs w:val="24"/>
        </w:rPr>
      </w:pPr>
      <w:r>
        <w:rPr>
          <w:rFonts w:cs="Times New Roman"/>
          <w:szCs w:val="24"/>
        </w:rPr>
        <w:tab/>
      </w:r>
      <w:r w:rsidRPr="009F1D73">
        <w:rPr>
          <w:rFonts w:cs="Times New Roman"/>
          <w:szCs w:val="24"/>
        </w:rPr>
        <w:t xml:space="preserve">3 </w:t>
      </w:r>
      <w:r w:rsidRPr="008B183C">
        <w:rPr>
          <w:rFonts w:cs="Times New Roman" w:hint="eastAsia"/>
          <w:color w:val="000000" w:themeColor="text1"/>
          <w:szCs w:val="24"/>
        </w:rPr>
        <w:t xml:space="preserve">representative </w:t>
      </w:r>
      <w:r w:rsidRPr="008B183C">
        <w:rPr>
          <w:rFonts w:cs="Times New Roman"/>
          <w:color w:val="000000" w:themeColor="text1"/>
          <w:szCs w:val="24"/>
        </w:rPr>
        <w:t>pediatric patients each of</w:t>
      </w:r>
      <w:r w:rsidRPr="008B183C">
        <w:rPr>
          <w:rFonts w:cs="Times New Roman" w:hint="eastAsia"/>
          <w:color w:val="000000" w:themeColor="text1"/>
          <w:szCs w:val="24"/>
        </w:rPr>
        <w:t xml:space="preserve"> </w:t>
      </w:r>
      <w:r w:rsidRPr="008B183C">
        <w:rPr>
          <w:rFonts w:cs="Times New Roman"/>
          <w:color w:val="000000" w:themeColor="text1"/>
          <w:szCs w:val="24"/>
        </w:rPr>
        <w:t>clinical responders</w:t>
      </w:r>
      <w:r w:rsidRPr="008B183C">
        <w:rPr>
          <w:rFonts w:cs="Times New Roman" w:hint="eastAsia"/>
          <w:color w:val="000000" w:themeColor="text1"/>
          <w:szCs w:val="24"/>
        </w:rPr>
        <w:t xml:space="preserve"> (A)</w:t>
      </w:r>
      <w:r w:rsidRPr="008B183C">
        <w:rPr>
          <w:rFonts w:cs="Times New Roman"/>
          <w:color w:val="000000" w:themeColor="text1"/>
          <w:szCs w:val="24"/>
        </w:rPr>
        <w:t xml:space="preserve"> and </w:t>
      </w:r>
    </w:p>
    <w:p w14:paraId="2DB7B1D3" w14:textId="0471EFCB" w:rsidR="00D40F46" w:rsidRPr="008B183C" w:rsidRDefault="0011769E" w:rsidP="00D40F46">
      <w:pPr>
        <w:tabs>
          <w:tab w:val="left" w:pos="1134"/>
        </w:tabs>
        <w:rPr>
          <w:rFonts w:cs="Times New Roman"/>
          <w:color w:val="000000" w:themeColor="text1"/>
          <w:szCs w:val="24"/>
        </w:rPr>
      </w:pPr>
      <w:r>
        <w:rPr>
          <w:rFonts w:cs="Times New Roman"/>
          <w:color w:val="000000" w:themeColor="text1"/>
          <w:szCs w:val="24"/>
        </w:rPr>
        <w:tab/>
      </w:r>
      <w:r w:rsidRPr="008B183C">
        <w:rPr>
          <w:rFonts w:cs="Times New Roman"/>
          <w:color w:val="000000" w:themeColor="text1"/>
          <w:szCs w:val="24"/>
        </w:rPr>
        <w:t>N</w:t>
      </w:r>
      <w:r w:rsidR="00D40F46" w:rsidRPr="008B183C">
        <w:rPr>
          <w:rFonts w:cs="Times New Roman"/>
          <w:color w:val="000000" w:themeColor="text1"/>
          <w:szCs w:val="24"/>
        </w:rPr>
        <w:t>onresponders</w:t>
      </w:r>
      <w:r>
        <w:rPr>
          <w:rFonts w:cs="Times New Roman" w:hint="eastAsia"/>
          <w:color w:val="000000" w:themeColor="text1"/>
          <w:szCs w:val="24"/>
        </w:rPr>
        <w:t xml:space="preserve"> </w:t>
      </w:r>
      <w:r w:rsidR="00D40F46" w:rsidRPr="008B183C">
        <w:rPr>
          <w:rFonts w:cs="Times New Roman" w:hint="eastAsia"/>
          <w:color w:val="000000" w:themeColor="text1"/>
          <w:szCs w:val="24"/>
        </w:rPr>
        <w:t>(B)</w:t>
      </w:r>
    </w:p>
    <w:p w14:paraId="1A99E152" w14:textId="7A07CC48" w:rsidR="00E36AB3" w:rsidRDefault="00E36AB3" w:rsidP="00E36AB3">
      <w:pPr>
        <w:tabs>
          <w:tab w:val="left" w:pos="1134"/>
        </w:tabs>
      </w:pPr>
    </w:p>
    <w:p w14:paraId="595F89F4" w14:textId="3D09E574" w:rsidR="00C063E0" w:rsidRDefault="00DA3EA8" w:rsidP="00407F9D">
      <w:pPr>
        <w:tabs>
          <w:tab w:val="left" w:pos="1134"/>
        </w:tabs>
        <w:jc w:val="center"/>
      </w:pPr>
      <w:r>
        <w:rPr>
          <w:noProof/>
        </w:rPr>
        <w:drawing>
          <wp:inline distT="0" distB="0" distL="0" distR="0" wp14:anchorId="5DA94170" wp14:editId="137DA8E5">
            <wp:extent cx="5894649" cy="3493467"/>
            <wp:effectExtent l="0" t="0" r="0" b="0"/>
            <wp:docPr id="604083164"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7161" cy="3500882"/>
                    </a:xfrm>
                    <a:prstGeom prst="rect">
                      <a:avLst/>
                    </a:prstGeom>
                    <a:noFill/>
                    <a:ln>
                      <a:noFill/>
                    </a:ln>
                  </pic:spPr>
                </pic:pic>
              </a:graphicData>
            </a:graphic>
          </wp:inline>
        </w:drawing>
      </w:r>
    </w:p>
    <w:p w14:paraId="59B6E1FB" w14:textId="0FE16B0B" w:rsidR="00CC345A" w:rsidRPr="00DB5B97" w:rsidRDefault="00DD6C38" w:rsidP="00DB5B97">
      <w:pPr>
        <w:tabs>
          <w:tab w:val="left" w:pos="1134"/>
        </w:tabs>
        <w:rPr>
          <w:sz w:val="14"/>
          <w:szCs w:val="12"/>
        </w:rPr>
      </w:pPr>
      <w:r w:rsidRPr="00DD6C38">
        <w:rPr>
          <w:rFonts w:cs="Times New Roman"/>
          <w:color w:val="000000" w:themeColor="text1"/>
          <w:sz w:val="20"/>
          <w:szCs w:val="20"/>
        </w:rPr>
        <w:t>UPN, unique patient number; Ig, immunoglobulin</w:t>
      </w:r>
      <w:r w:rsidRPr="00DD6C38">
        <w:rPr>
          <w:rFonts w:cs="Times New Roman" w:hint="eastAsia"/>
          <w:color w:val="000000" w:themeColor="text1"/>
          <w:sz w:val="20"/>
          <w:szCs w:val="20"/>
        </w:rPr>
        <w:t>.</w:t>
      </w:r>
      <w:r w:rsidR="00CC345A">
        <w:rPr>
          <w:b/>
          <w:bCs/>
        </w:rPr>
        <w:br w:type="page"/>
      </w:r>
    </w:p>
    <w:p w14:paraId="5A58DE28" w14:textId="77777777" w:rsidR="0031429D" w:rsidRDefault="0031429D" w:rsidP="0031429D">
      <w:pPr>
        <w:tabs>
          <w:tab w:val="left" w:pos="1134"/>
        </w:tabs>
        <w:rPr>
          <w:rFonts w:cs="Times New Roman"/>
          <w:szCs w:val="24"/>
        </w:rPr>
      </w:pPr>
      <w:r w:rsidRPr="00077A8F">
        <w:rPr>
          <w:rFonts w:hint="eastAsia"/>
          <w:b/>
          <w:bCs/>
        </w:rPr>
        <w:lastRenderedPageBreak/>
        <w:t>F</w:t>
      </w:r>
      <w:r w:rsidRPr="00077A8F">
        <w:rPr>
          <w:rFonts w:cs="Times New Roman"/>
          <w:b/>
          <w:bCs/>
          <w:szCs w:val="24"/>
        </w:rPr>
        <w:t xml:space="preserve">igure </w:t>
      </w:r>
      <w:r w:rsidRPr="00077A8F">
        <w:rPr>
          <w:rFonts w:cs="Times New Roman" w:hint="eastAsia"/>
          <w:b/>
          <w:bCs/>
          <w:szCs w:val="24"/>
        </w:rPr>
        <w:t>4.</w:t>
      </w:r>
      <w:r w:rsidRPr="00077A8F">
        <w:rPr>
          <w:rFonts w:cs="Times New Roman"/>
          <w:b/>
          <w:bCs/>
          <w:szCs w:val="24"/>
        </w:rPr>
        <w:tab/>
      </w:r>
      <w:r w:rsidRPr="00077A8F">
        <w:rPr>
          <w:rFonts w:cs="Times New Roman"/>
          <w:szCs w:val="24"/>
        </w:rPr>
        <w:t>The</w:t>
      </w:r>
      <w:r w:rsidRPr="00077A8F">
        <w:rPr>
          <w:rFonts w:cs="Times New Roman" w:hint="eastAsia"/>
          <w:szCs w:val="24"/>
        </w:rPr>
        <w:t xml:space="preserve"> 2-year </w:t>
      </w:r>
      <w:r w:rsidRPr="00077A8F">
        <w:rPr>
          <w:rFonts w:cs="Times New Roman"/>
          <w:szCs w:val="24"/>
        </w:rPr>
        <w:t xml:space="preserve">PFS and </w:t>
      </w:r>
      <w:r w:rsidRPr="00077A8F">
        <w:rPr>
          <w:rFonts w:cs="Times New Roman" w:hint="eastAsia"/>
          <w:szCs w:val="24"/>
        </w:rPr>
        <w:t xml:space="preserve">4-year </w:t>
      </w:r>
      <w:r w:rsidRPr="00077A8F">
        <w:rPr>
          <w:rFonts w:cs="Times New Roman"/>
          <w:szCs w:val="24"/>
        </w:rPr>
        <w:t>OS rates for all p</w:t>
      </w:r>
      <w:r w:rsidRPr="009F1D73">
        <w:rPr>
          <w:rFonts w:cs="Times New Roman"/>
          <w:szCs w:val="24"/>
        </w:rPr>
        <w:t>atients</w:t>
      </w:r>
      <w:r>
        <w:rPr>
          <w:rFonts w:cs="Times New Roman" w:hint="eastAsia"/>
          <w:szCs w:val="24"/>
        </w:rPr>
        <w:t xml:space="preserve"> </w:t>
      </w:r>
      <w:r w:rsidRPr="009F1D73">
        <w:rPr>
          <w:rFonts w:cs="Times New Roman"/>
          <w:szCs w:val="24"/>
        </w:rPr>
        <w:t>with RMS (A,</w:t>
      </w:r>
      <w:r>
        <w:rPr>
          <w:rFonts w:cs="Times New Roman" w:hint="eastAsia"/>
          <w:szCs w:val="24"/>
        </w:rPr>
        <w:t>B</w:t>
      </w:r>
      <w:r w:rsidRPr="009F1D73">
        <w:rPr>
          <w:rFonts w:cs="Times New Roman"/>
          <w:szCs w:val="24"/>
        </w:rPr>
        <w:t>) or</w:t>
      </w:r>
      <w:r>
        <w:rPr>
          <w:rFonts w:cs="Times New Roman" w:hint="eastAsia"/>
          <w:szCs w:val="24"/>
        </w:rPr>
        <w:t xml:space="preserve"> </w:t>
      </w:r>
      <w:r w:rsidRPr="009F1D73">
        <w:rPr>
          <w:rFonts w:cs="Times New Roman"/>
          <w:szCs w:val="24"/>
        </w:rPr>
        <w:t xml:space="preserve">NB </w:t>
      </w:r>
    </w:p>
    <w:p w14:paraId="1E4F8B2F" w14:textId="77777777" w:rsidR="0031429D" w:rsidRPr="000C002D" w:rsidRDefault="0031429D" w:rsidP="0031429D">
      <w:pPr>
        <w:tabs>
          <w:tab w:val="left" w:pos="1134"/>
        </w:tabs>
        <w:rPr>
          <w:rFonts w:cs="Times New Roman"/>
          <w:szCs w:val="24"/>
        </w:rPr>
      </w:pPr>
      <w:r>
        <w:rPr>
          <w:rFonts w:cs="Times New Roman"/>
          <w:szCs w:val="24"/>
        </w:rPr>
        <w:tab/>
      </w:r>
      <w:r w:rsidRPr="009F1D73">
        <w:rPr>
          <w:rFonts w:cs="Times New Roman"/>
          <w:szCs w:val="24"/>
        </w:rPr>
        <w:t>(</w:t>
      </w:r>
      <w:r>
        <w:rPr>
          <w:rFonts w:cs="Times New Roman" w:hint="eastAsia"/>
          <w:szCs w:val="24"/>
        </w:rPr>
        <w:t>C</w:t>
      </w:r>
      <w:r w:rsidRPr="009F1D73">
        <w:rPr>
          <w:rFonts w:cs="Times New Roman"/>
          <w:szCs w:val="24"/>
        </w:rPr>
        <w:t>,D)</w:t>
      </w:r>
    </w:p>
    <w:p w14:paraId="6C9B5E11" w14:textId="77777777" w:rsidR="0031429D" w:rsidRDefault="0031429D" w:rsidP="0031429D">
      <w:pPr>
        <w:tabs>
          <w:tab w:val="left" w:pos="1134"/>
        </w:tabs>
      </w:pPr>
    </w:p>
    <w:p w14:paraId="1F74A3C5" w14:textId="77777777" w:rsidR="0031429D" w:rsidRDefault="0031429D" w:rsidP="0031429D">
      <w:pPr>
        <w:tabs>
          <w:tab w:val="left" w:pos="1134"/>
        </w:tabs>
      </w:pPr>
    </w:p>
    <w:p w14:paraId="58BB7E21" w14:textId="77777777" w:rsidR="0031429D" w:rsidRDefault="0031429D" w:rsidP="0031429D">
      <w:pPr>
        <w:jc w:val="center"/>
      </w:pPr>
      <w:r>
        <w:rPr>
          <w:noProof/>
        </w:rPr>
        <w:drawing>
          <wp:inline distT="0" distB="0" distL="0" distR="0" wp14:anchorId="6BB8EFDA" wp14:editId="30D67269">
            <wp:extent cx="6096635" cy="3429000"/>
            <wp:effectExtent l="0" t="0" r="0" b="0"/>
            <wp:docPr id="205729926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96635" cy="3429000"/>
                    </a:xfrm>
                    <a:prstGeom prst="rect">
                      <a:avLst/>
                    </a:prstGeom>
                    <a:noFill/>
                    <a:ln>
                      <a:noFill/>
                    </a:ln>
                  </pic:spPr>
                </pic:pic>
              </a:graphicData>
            </a:graphic>
          </wp:inline>
        </w:drawing>
      </w:r>
    </w:p>
    <w:p w14:paraId="2BE28F5B" w14:textId="77777777" w:rsidR="0031429D" w:rsidRDefault="0031429D" w:rsidP="0031429D">
      <w:pPr>
        <w:rPr>
          <w:rFonts w:cs="Times New Roman"/>
          <w:sz w:val="20"/>
          <w:szCs w:val="20"/>
        </w:rPr>
      </w:pPr>
      <w:r w:rsidRPr="00AC68CF">
        <w:rPr>
          <w:rFonts w:cs="Times New Roman"/>
          <w:sz w:val="20"/>
          <w:szCs w:val="20"/>
        </w:rPr>
        <w:t>PFS, progression-free survival; CI, confidence interval; OS, overall survival; RMS, rhabdomyosarcoma; and</w:t>
      </w:r>
    </w:p>
    <w:p w14:paraId="2DA267F5" w14:textId="77777777" w:rsidR="0031429D" w:rsidRPr="00AC68CF" w:rsidRDefault="0031429D" w:rsidP="0031429D">
      <w:pPr>
        <w:rPr>
          <w:sz w:val="20"/>
          <w:szCs w:val="20"/>
        </w:rPr>
      </w:pPr>
      <w:r w:rsidRPr="00AC68CF">
        <w:rPr>
          <w:rFonts w:cs="Times New Roman"/>
          <w:sz w:val="20"/>
          <w:szCs w:val="20"/>
        </w:rPr>
        <w:t>NB, neuroblastoma.</w:t>
      </w:r>
    </w:p>
    <w:p w14:paraId="4A7AE9EF" w14:textId="77777777" w:rsidR="0031429D" w:rsidRDefault="0031429D" w:rsidP="0031429D">
      <w:r>
        <w:br w:type="page"/>
      </w:r>
    </w:p>
    <w:p w14:paraId="71962B2E" w14:textId="4C8E65A6" w:rsidR="00172ACE" w:rsidRDefault="0031429D" w:rsidP="0031429D">
      <w:pPr>
        <w:tabs>
          <w:tab w:val="left" w:pos="1134"/>
        </w:tabs>
      </w:pPr>
      <w:r w:rsidRPr="000C002D">
        <w:rPr>
          <w:rFonts w:hint="eastAsia"/>
          <w:b/>
          <w:bCs/>
        </w:rPr>
        <w:lastRenderedPageBreak/>
        <w:t>F</w:t>
      </w:r>
      <w:r w:rsidRPr="00077A8F">
        <w:rPr>
          <w:b/>
          <w:bCs/>
        </w:rPr>
        <w:t xml:space="preserve">igure </w:t>
      </w:r>
      <w:r w:rsidRPr="00077A8F">
        <w:rPr>
          <w:rFonts w:hint="eastAsia"/>
          <w:b/>
          <w:bCs/>
        </w:rPr>
        <w:t>4</w:t>
      </w:r>
      <w:r w:rsidRPr="00077A8F">
        <w:rPr>
          <w:b/>
          <w:bCs/>
        </w:rPr>
        <w:t>.</w:t>
      </w:r>
      <w:r w:rsidRPr="00077A8F">
        <w:tab/>
      </w:r>
      <w:r w:rsidR="00FA3B00">
        <w:rPr>
          <w:rFonts w:hint="eastAsia"/>
        </w:rPr>
        <w:t xml:space="preserve">Kaplan-Meier curves* of PFS </w:t>
      </w:r>
      <w:r w:rsidR="00172ACE">
        <w:rPr>
          <w:rFonts w:hint="eastAsia"/>
        </w:rPr>
        <w:t xml:space="preserve">(E) and OS (F) </w:t>
      </w:r>
      <w:r w:rsidR="00F40B6F">
        <w:rPr>
          <w:rFonts w:hint="eastAsia"/>
        </w:rPr>
        <w:t xml:space="preserve">for </w:t>
      </w:r>
      <w:r w:rsidR="00FA3B00">
        <w:rPr>
          <w:rFonts w:hint="eastAsia"/>
        </w:rPr>
        <w:t xml:space="preserve">WT1-specific immune </w:t>
      </w:r>
    </w:p>
    <w:p w14:paraId="7CE39BED" w14:textId="1AAE6F12" w:rsidR="00B54F7F" w:rsidRDefault="00172ACE" w:rsidP="00B54F7F">
      <w:pPr>
        <w:tabs>
          <w:tab w:val="left" w:pos="1134"/>
        </w:tabs>
      </w:pPr>
      <w:r>
        <w:tab/>
      </w:r>
      <w:r w:rsidR="00FA3B00">
        <w:rPr>
          <w:rFonts w:hint="eastAsia"/>
        </w:rPr>
        <w:t>responders and</w:t>
      </w:r>
      <w:r>
        <w:rPr>
          <w:rFonts w:hint="eastAsia"/>
        </w:rPr>
        <w:t xml:space="preserve"> </w:t>
      </w:r>
      <w:r w:rsidR="00FA3B00">
        <w:rPr>
          <w:rFonts w:hint="eastAsia"/>
        </w:rPr>
        <w:t xml:space="preserve">nonresponders </w:t>
      </w:r>
      <w:r>
        <w:rPr>
          <w:rFonts w:hint="eastAsia"/>
        </w:rPr>
        <w:t>among patients with RMS</w:t>
      </w:r>
      <w:r w:rsidR="00B54F7F">
        <w:rPr>
          <w:rFonts w:hint="eastAsia"/>
        </w:rPr>
        <w:t xml:space="preserve"> and of PFS (G) and </w:t>
      </w:r>
    </w:p>
    <w:p w14:paraId="48E91CD7" w14:textId="447DE274" w:rsidR="00B54F7F" w:rsidRDefault="00B54F7F" w:rsidP="00B54F7F">
      <w:pPr>
        <w:tabs>
          <w:tab w:val="left" w:pos="1134"/>
        </w:tabs>
      </w:pPr>
      <w:r>
        <w:tab/>
      </w:r>
      <w:r>
        <w:rPr>
          <w:rFonts w:hint="eastAsia"/>
        </w:rPr>
        <w:t xml:space="preserve">OS (H) in WT1-specific immune responders and nonresponders among patients </w:t>
      </w:r>
    </w:p>
    <w:p w14:paraId="7F955512" w14:textId="04C1C970" w:rsidR="00FA3B00" w:rsidRPr="00172ACE" w:rsidRDefault="00B54F7F" w:rsidP="00B54F7F">
      <w:pPr>
        <w:tabs>
          <w:tab w:val="left" w:pos="1134"/>
        </w:tabs>
      </w:pPr>
      <w:r>
        <w:tab/>
      </w:r>
      <w:r>
        <w:rPr>
          <w:rFonts w:hint="eastAsia"/>
        </w:rPr>
        <w:t>with NB</w:t>
      </w:r>
    </w:p>
    <w:p w14:paraId="46BDE599" w14:textId="77777777" w:rsidR="0031429D" w:rsidRDefault="0031429D" w:rsidP="0031429D">
      <w:pPr>
        <w:tabs>
          <w:tab w:val="left" w:pos="1134"/>
        </w:tabs>
      </w:pPr>
      <w:r>
        <w:rPr>
          <w:noProof/>
        </w:rPr>
        <w:drawing>
          <wp:inline distT="0" distB="0" distL="0" distR="0" wp14:anchorId="2DEFF57F" wp14:editId="377EB8A0">
            <wp:extent cx="6096635" cy="3429000"/>
            <wp:effectExtent l="0" t="0" r="0" b="0"/>
            <wp:docPr id="1357202478"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96635" cy="3429000"/>
                    </a:xfrm>
                    <a:prstGeom prst="rect">
                      <a:avLst/>
                    </a:prstGeom>
                    <a:noFill/>
                    <a:ln>
                      <a:noFill/>
                    </a:ln>
                  </pic:spPr>
                </pic:pic>
              </a:graphicData>
            </a:graphic>
          </wp:inline>
        </w:drawing>
      </w:r>
    </w:p>
    <w:p w14:paraId="7E1E065B" w14:textId="77777777" w:rsidR="0031429D" w:rsidRPr="00746311" w:rsidRDefault="0031429D" w:rsidP="0031429D">
      <w:pPr>
        <w:jc w:val="center"/>
        <w:rPr>
          <w:sz w:val="20"/>
          <w:szCs w:val="18"/>
        </w:rPr>
      </w:pPr>
    </w:p>
    <w:p w14:paraId="1BFB4C41" w14:textId="161DEDFD" w:rsidR="00900878" w:rsidRDefault="00FA3B00" w:rsidP="00900878">
      <w:pPr>
        <w:tabs>
          <w:tab w:val="left" w:pos="196"/>
        </w:tabs>
        <w:rPr>
          <w:sz w:val="20"/>
          <w:szCs w:val="18"/>
        </w:rPr>
      </w:pPr>
      <w:r>
        <w:rPr>
          <w:rFonts w:hint="eastAsia"/>
          <w:sz w:val="20"/>
          <w:szCs w:val="18"/>
        </w:rPr>
        <w:t>*:</w:t>
      </w:r>
      <w:r w:rsidR="00900878">
        <w:rPr>
          <w:sz w:val="20"/>
          <w:szCs w:val="18"/>
        </w:rPr>
        <w:tab/>
      </w:r>
      <w:r w:rsidR="00900878">
        <w:rPr>
          <w:rFonts w:hint="eastAsia"/>
          <w:sz w:val="20"/>
          <w:szCs w:val="18"/>
        </w:rPr>
        <w:t xml:space="preserve">Drawn according to the Kaplan-Meier </w:t>
      </w:r>
      <w:r w:rsidR="00900878">
        <w:rPr>
          <w:sz w:val="20"/>
          <w:szCs w:val="18"/>
        </w:rPr>
        <w:t>method</w:t>
      </w:r>
      <w:r w:rsidR="00900878">
        <w:rPr>
          <w:rFonts w:hint="eastAsia"/>
          <w:sz w:val="20"/>
          <w:szCs w:val="18"/>
        </w:rPr>
        <w:t xml:space="preserve"> including the landmark analysis at </w:t>
      </w:r>
      <w:r w:rsidR="00900878">
        <w:rPr>
          <w:sz w:val="20"/>
          <w:szCs w:val="18"/>
        </w:rPr>
        <w:t>week</w:t>
      </w:r>
      <w:r w:rsidR="00900878">
        <w:rPr>
          <w:rFonts w:hint="eastAsia"/>
          <w:sz w:val="20"/>
          <w:szCs w:val="18"/>
        </w:rPr>
        <w:t xml:space="preserve"> 11 after the</w:t>
      </w:r>
    </w:p>
    <w:p w14:paraId="47E02A2A" w14:textId="4DBA1830" w:rsidR="00900878" w:rsidRPr="00900878" w:rsidRDefault="00900878" w:rsidP="00900878">
      <w:pPr>
        <w:tabs>
          <w:tab w:val="left" w:pos="196"/>
        </w:tabs>
        <w:rPr>
          <w:sz w:val="20"/>
          <w:szCs w:val="18"/>
        </w:rPr>
      </w:pPr>
      <w:r>
        <w:rPr>
          <w:sz w:val="20"/>
          <w:szCs w:val="18"/>
        </w:rPr>
        <w:tab/>
      </w:r>
      <w:r>
        <w:rPr>
          <w:rFonts w:hint="eastAsia"/>
          <w:sz w:val="20"/>
          <w:szCs w:val="18"/>
        </w:rPr>
        <w:t>of vaccination</w:t>
      </w:r>
    </w:p>
    <w:p w14:paraId="6F1F6110" w14:textId="77777777" w:rsidR="00B54F7F" w:rsidRDefault="0031429D" w:rsidP="001C02FF">
      <w:pPr>
        <w:tabs>
          <w:tab w:val="left" w:pos="1134"/>
        </w:tabs>
        <w:rPr>
          <w:sz w:val="20"/>
          <w:szCs w:val="18"/>
        </w:rPr>
      </w:pPr>
      <w:r w:rsidRPr="00F97B77">
        <w:rPr>
          <w:sz w:val="20"/>
          <w:szCs w:val="18"/>
        </w:rPr>
        <w:t>PFS, progression-free survival; CI, confidence interval; OS, overall survival; RMS, rhabdomyosarcoma</w:t>
      </w:r>
      <w:r w:rsidR="00B54F7F">
        <w:rPr>
          <w:rFonts w:hint="eastAsia"/>
          <w:sz w:val="20"/>
          <w:szCs w:val="18"/>
        </w:rPr>
        <w:t>;</w:t>
      </w:r>
    </w:p>
    <w:p w14:paraId="4D880FD6" w14:textId="77777777" w:rsidR="0056596B" w:rsidRDefault="00B54F7F" w:rsidP="001C02FF">
      <w:pPr>
        <w:tabs>
          <w:tab w:val="left" w:pos="1134"/>
        </w:tabs>
      </w:pPr>
      <w:r>
        <w:rPr>
          <w:rFonts w:hint="eastAsia"/>
          <w:sz w:val="20"/>
          <w:szCs w:val="18"/>
        </w:rPr>
        <w:t>NB, neuroblastoma</w:t>
      </w:r>
      <w:r w:rsidR="0031429D">
        <w:br w:type="page"/>
      </w:r>
      <w:r w:rsidR="0031429D" w:rsidRPr="000C002D">
        <w:rPr>
          <w:rFonts w:hint="eastAsia"/>
          <w:b/>
          <w:bCs/>
        </w:rPr>
        <w:lastRenderedPageBreak/>
        <w:t>F</w:t>
      </w:r>
      <w:r w:rsidR="0031429D" w:rsidRPr="000C002D">
        <w:rPr>
          <w:b/>
          <w:bCs/>
        </w:rPr>
        <w:t>ig</w:t>
      </w:r>
      <w:r w:rsidR="0031429D" w:rsidRPr="0056596B">
        <w:rPr>
          <w:b/>
          <w:bCs/>
        </w:rPr>
        <w:t xml:space="preserve">ure </w:t>
      </w:r>
      <w:r w:rsidR="0031429D" w:rsidRPr="0056596B">
        <w:rPr>
          <w:rFonts w:hint="eastAsia"/>
          <w:b/>
          <w:bCs/>
        </w:rPr>
        <w:t>5</w:t>
      </w:r>
      <w:r w:rsidR="0031429D" w:rsidRPr="0056596B">
        <w:rPr>
          <w:b/>
          <w:bCs/>
        </w:rPr>
        <w:t>.</w:t>
      </w:r>
      <w:r w:rsidR="001C02FF" w:rsidRPr="0056596B">
        <w:tab/>
      </w:r>
      <w:r w:rsidR="00037BAE">
        <w:rPr>
          <w:rFonts w:hint="eastAsia"/>
        </w:rPr>
        <w:t xml:space="preserve">Kaplan-Meier curves of </w:t>
      </w:r>
      <w:r w:rsidR="0031429D">
        <w:t xml:space="preserve">PFS </w:t>
      </w:r>
      <w:r w:rsidR="0056596B">
        <w:rPr>
          <w:rFonts w:hint="eastAsia"/>
        </w:rPr>
        <w:t xml:space="preserve">(A) and OS (B) </w:t>
      </w:r>
      <w:r w:rsidR="00F40B6F">
        <w:rPr>
          <w:rFonts w:hint="eastAsia"/>
        </w:rPr>
        <w:t xml:space="preserve">for patients in PR1, CR1, or </w:t>
      </w:r>
    </w:p>
    <w:p w14:paraId="359CEBF1" w14:textId="0988491A" w:rsidR="00F40B6F" w:rsidRDefault="0056596B" w:rsidP="001C02FF">
      <w:pPr>
        <w:tabs>
          <w:tab w:val="left" w:pos="1134"/>
        </w:tabs>
      </w:pPr>
      <w:r>
        <w:tab/>
      </w:r>
      <w:r w:rsidR="00F40B6F">
        <w:rPr>
          <w:rFonts w:hint="eastAsia"/>
        </w:rPr>
        <w:t>CR2/PR2</w:t>
      </w:r>
    </w:p>
    <w:p w14:paraId="6D4DBB6C" w14:textId="49AB2714" w:rsidR="0031429D" w:rsidRDefault="00F40B6F" w:rsidP="00F40B6F">
      <w:pPr>
        <w:tabs>
          <w:tab w:val="left" w:pos="1134"/>
        </w:tabs>
      </w:pPr>
      <w:r>
        <w:tab/>
      </w:r>
    </w:p>
    <w:p w14:paraId="5A1C0D80" w14:textId="77777777" w:rsidR="0031429D" w:rsidRPr="001F2166" w:rsidRDefault="0031429D" w:rsidP="0031429D">
      <w:pPr>
        <w:tabs>
          <w:tab w:val="left" w:pos="1134"/>
        </w:tabs>
        <w:jc w:val="center"/>
      </w:pPr>
    </w:p>
    <w:p w14:paraId="013EDDAB" w14:textId="77777777" w:rsidR="0031429D" w:rsidRDefault="0031429D" w:rsidP="0031429D">
      <w:pPr>
        <w:tabs>
          <w:tab w:val="left" w:pos="1134"/>
        </w:tabs>
        <w:jc w:val="center"/>
      </w:pPr>
      <w:r>
        <w:rPr>
          <w:noProof/>
        </w:rPr>
        <w:drawing>
          <wp:inline distT="0" distB="0" distL="0" distR="0" wp14:anchorId="31C3AD0B" wp14:editId="571ABAD7">
            <wp:extent cx="6096635" cy="3429000"/>
            <wp:effectExtent l="0" t="0" r="0" b="0"/>
            <wp:docPr id="144818941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96635" cy="3429000"/>
                    </a:xfrm>
                    <a:prstGeom prst="rect">
                      <a:avLst/>
                    </a:prstGeom>
                    <a:noFill/>
                    <a:ln>
                      <a:noFill/>
                    </a:ln>
                  </pic:spPr>
                </pic:pic>
              </a:graphicData>
            </a:graphic>
          </wp:inline>
        </w:drawing>
      </w:r>
    </w:p>
    <w:p w14:paraId="63CA8764" w14:textId="26519C36" w:rsidR="0031429D" w:rsidRDefault="0031429D" w:rsidP="0031429D">
      <w:pPr>
        <w:tabs>
          <w:tab w:val="left" w:pos="1134"/>
        </w:tabs>
        <w:rPr>
          <w:sz w:val="20"/>
          <w:szCs w:val="18"/>
        </w:rPr>
      </w:pPr>
      <w:r w:rsidRPr="00E41D92">
        <w:rPr>
          <w:sz w:val="20"/>
          <w:szCs w:val="18"/>
        </w:rPr>
        <w:t>PFS, progression-free survival; OS, overall survival</w:t>
      </w:r>
      <w:r w:rsidRPr="00E41D92">
        <w:rPr>
          <w:rFonts w:hint="eastAsia"/>
          <w:sz w:val="20"/>
          <w:szCs w:val="18"/>
        </w:rPr>
        <w:t>;</w:t>
      </w:r>
      <w:r w:rsidRPr="00E41D92">
        <w:rPr>
          <w:sz w:val="20"/>
          <w:szCs w:val="18"/>
        </w:rPr>
        <w:t xml:space="preserve"> CR, complete remission; PR, partial remission</w:t>
      </w:r>
      <w:r>
        <w:rPr>
          <w:sz w:val="20"/>
          <w:szCs w:val="18"/>
        </w:rPr>
        <w:t xml:space="preserve">; WT1, Wilms tumor </w:t>
      </w:r>
      <w:r w:rsidR="00F5232C">
        <w:rPr>
          <w:rFonts w:hint="eastAsia"/>
          <w:sz w:val="20"/>
          <w:szCs w:val="18"/>
        </w:rPr>
        <w:t xml:space="preserve">gene </w:t>
      </w:r>
      <w:r>
        <w:rPr>
          <w:sz w:val="20"/>
          <w:szCs w:val="18"/>
        </w:rPr>
        <w:t>1; CTL, cytotoxic T lymphocyte</w:t>
      </w:r>
    </w:p>
    <w:p w14:paraId="378A93E7" w14:textId="77777777" w:rsidR="0031429D" w:rsidRDefault="0031429D">
      <w:pPr>
        <w:rPr>
          <w:b/>
          <w:bCs/>
        </w:rPr>
      </w:pPr>
      <w:r>
        <w:rPr>
          <w:b/>
          <w:bCs/>
        </w:rPr>
        <w:br w:type="page"/>
      </w:r>
    </w:p>
    <w:p w14:paraId="5CD7907C" w14:textId="658EEF98" w:rsidR="002819E2" w:rsidRPr="00276DE1" w:rsidRDefault="009F2DF7" w:rsidP="00D839CD">
      <w:pPr>
        <w:spacing w:line="660" w:lineRule="exact"/>
        <w:rPr>
          <w:b/>
          <w:bCs/>
        </w:rPr>
      </w:pPr>
      <w:r>
        <w:rPr>
          <w:b/>
          <w:bCs/>
        </w:rPr>
        <w:lastRenderedPageBreak/>
        <w:t xml:space="preserve">Supplemental </w:t>
      </w:r>
      <w:r w:rsidR="005D500E" w:rsidRPr="005D500E">
        <w:rPr>
          <w:rFonts w:hint="eastAsia"/>
          <w:b/>
          <w:bCs/>
        </w:rPr>
        <w:t>R</w:t>
      </w:r>
      <w:r w:rsidR="005D500E" w:rsidRPr="005D500E">
        <w:rPr>
          <w:b/>
          <w:bCs/>
        </w:rPr>
        <w:t>eferences</w:t>
      </w:r>
    </w:p>
    <w:p w14:paraId="11A2757D" w14:textId="77777777" w:rsidR="00405F54" w:rsidRPr="00405F54" w:rsidRDefault="002819E2" w:rsidP="00405F54">
      <w:pPr>
        <w:pStyle w:val="EndNoteBibliography"/>
        <w:ind w:left="720" w:hanging="720"/>
      </w:pPr>
      <w:r>
        <w:fldChar w:fldCharType="begin"/>
      </w:r>
      <w:r>
        <w:instrText xml:space="preserve"> ADDIN EN.REFLIST </w:instrText>
      </w:r>
      <w:r>
        <w:fldChar w:fldCharType="separate"/>
      </w:r>
      <w:r w:rsidR="00405F54" w:rsidRPr="00405F54">
        <w:t>1</w:t>
      </w:r>
      <w:r w:rsidR="00405F54" w:rsidRPr="00405F54">
        <w:tab/>
        <w:t>Hosoi H, Teramukai S, Matsumoto Y</w:t>
      </w:r>
      <w:r w:rsidR="00405F54" w:rsidRPr="00405F54">
        <w:rPr>
          <w:i/>
        </w:rPr>
        <w:t>, et al.</w:t>
      </w:r>
      <w:r w:rsidR="00405F54" w:rsidRPr="00405F54">
        <w:t xml:space="preserve"> A review of 331 rhabdomyosarcoma cases in patients treated between 1991 and 2002 in Japan. </w:t>
      </w:r>
      <w:r w:rsidR="00405F54" w:rsidRPr="00405F54">
        <w:rPr>
          <w:i/>
        </w:rPr>
        <w:t>Int J Clin Oncol</w:t>
      </w:r>
      <w:r w:rsidR="00405F54" w:rsidRPr="00405F54">
        <w:t xml:space="preserve"> 2007;12:137-45.</w:t>
      </w:r>
    </w:p>
    <w:p w14:paraId="1D6CC78D" w14:textId="77777777" w:rsidR="00405F54" w:rsidRPr="00405F54" w:rsidRDefault="00405F54" w:rsidP="00405F54">
      <w:pPr>
        <w:pStyle w:val="EndNoteBibliography"/>
        <w:ind w:left="720" w:hanging="720"/>
      </w:pPr>
      <w:r w:rsidRPr="00405F54">
        <w:t>2</w:t>
      </w:r>
      <w:r w:rsidRPr="00405F54">
        <w:tab/>
        <w:t>Oka Y, Tsuboi A, Taguchi T</w:t>
      </w:r>
      <w:r w:rsidRPr="00405F54">
        <w:rPr>
          <w:i/>
        </w:rPr>
        <w:t>, et al.</w:t>
      </w:r>
      <w:r w:rsidRPr="00405F54">
        <w:t xml:space="preserve"> Induction of WT1 (Wilms' tumor gene)-specific cytotoxic T lymphocytes by WT1 peptide vaccine and the resultant cancer regression. </w:t>
      </w:r>
      <w:r w:rsidRPr="00405F54">
        <w:rPr>
          <w:i/>
        </w:rPr>
        <w:t>Proc Natl Acad Sci U S A</w:t>
      </w:r>
      <w:r w:rsidRPr="00405F54">
        <w:t xml:space="preserve"> 2004;101:13885-90.</w:t>
      </w:r>
    </w:p>
    <w:p w14:paraId="22A426A2" w14:textId="77777777" w:rsidR="00405F54" w:rsidRPr="00405F54" w:rsidRDefault="00405F54" w:rsidP="00405F54">
      <w:pPr>
        <w:pStyle w:val="EndNoteBibliography"/>
        <w:ind w:left="720" w:hanging="720"/>
      </w:pPr>
      <w:r w:rsidRPr="00405F54">
        <w:t>3</w:t>
      </w:r>
      <w:r w:rsidRPr="00405F54">
        <w:tab/>
        <w:t>Koch S, Larbi A, Derhovanessian E</w:t>
      </w:r>
      <w:r w:rsidRPr="00405F54">
        <w:rPr>
          <w:i/>
        </w:rPr>
        <w:t>, et al.</w:t>
      </w:r>
      <w:r w:rsidRPr="00405F54">
        <w:t xml:space="preserve"> Multiparameter flow cytometric analysis of CD4 and CD8 T cell subsets in young and old people. </w:t>
      </w:r>
      <w:r w:rsidRPr="00405F54">
        <w:rPr>
          <w:i/>
        </w:rPr>
        <w:t>Immun Ageing</w:t>
      </w:r>
      <w:r w:rsidRPr="00405F54">
        <w:t xml:space="preserve"> 2008;5:6.</w:t>
      </w:r>
    </w:p>
    <w:p w14:paraId="33FE1462" w14:textId="77777777" w:rsidR="00405F54" w:rsidRPr="00405F54" w:rsidRDefault="00405F54" w:rsidP="00405F54">
      <w:pPr>
        <w:pStyle w:val="EndNoteBibliography"/>
        <w:ind w:left="720" w:hanging="720"/>
      </w:pPr>
      <w:r w:rsidRPr="00405F54">
        <w:t>4</w:t>
      </w:r>
      <w:r w:rsidRPr="00405F54">
        <w:tab/>
        <w:t xml:space="preserve">Sallusto F, Geginat J, Lanzavecchia A. Central memory and effector memory T cell subsets: function, generation, and maintenance. </w:t>
      </w:r>
      <w:r w:rsidRPr="00405F54">
        <w:rPr>
          <w:i/>
        </w:rPr>
        <w:t>Annu Rev Immunol</w:t>
      </w:r>
      <w:r w:rsidRPr="00405F54">
        <w:t xml:space="preserve"> 2004;22:745-63.</w:t>
      </w:r>
    </w:p>
    <w:p w14:paraId="01B0879D" w14:textId="77777777" w:rsidR="00405F54" w:rsidRPr="00405F54" w:rsidRDefault="00405F54" w:rsidP="00405F54">
      <w:pPr>
        <w:pStyle w:val="EndNoteBibliography"/>
        <w:ind w:left="720" w:hanging="720"/>
      </w:pPr>
      <w:r w:rsidRPr="00405F54">
        <w:t>5</w:t>
      </w:r>
      <w:r w:rsidRPr="00405F54">
        <w:tab/>
        <w:t>Alzaaqi S, Naka N, Hamada K</w:t>
      </w:r>
      <w:r w:rsidRPr="00405F54">
        <w:rPr>
          <w:i/>
        </w:rPr>
        <w:t>, et al.</w:t>
      </w:r>
      <w:r w:rsidRPr="00405F54">
        <w:t xml:space="preserve"> WT1 epitope-specific IgG and IgM antibodies for immune-monitoring in patients with advanced sarcoma treated with a WT1 peptide cancer vaccine. </w:t>
      </w:r>
      <w:r w:rsidRPr="00405F54">
        <w:rPr>
          <w:i/>
        </w:rPr>
        <w:t>Oncol Lett</w:t>
      </w:r>
      <w:r w:rsidRPr="00405F54">
        <w:t xml:space="preserve"> 2022;23:65.</w:t>
      </w:r>
    </w:p>
    <w:p w14:paraId="56F06FFA" w14:textId="1410E26A" w:rsidR="00276DE1" w:rsidRPr="00F73FC7" w:rsidRDefault="00405F54" w:rsidP="004F576F">
      <w:pPr>
        <w:pStyle w:val="EndNoteBibliography"/>
        <w:ind w:left="720" w:hanging="720"/>
      </w:pPr>
      <w:r w:rsidRPr="00405F54">
        <w:t>6</w:t>
      </w:r>
      <w:r w:rsidRPr="00405F54">
        <w:tab/>
        <w:t>Oji Y, Hashimoto N, Tsuboi A</w:t>
      </w:r>
      <w:r w:rsidRPr="00405F54">
        <w:rPr>
          <w:i/>
        </w:rPr>
        <w:t>, et al.</w:t>
      </w:r>
      <w:r w:rsidRPr="00405F54">
        <w:t xml:space="preserve"> Association of WT1 IgG antibody against WT1 peptide with prolonged survival in glioblastoma multiforme patients vaccinated with WT1 peptide. </w:t>
      </w:r>
      <w:r w:rsidRPr="00405F54">
        <w:rPr>
          <w:i/>
        </w:rPr>
        <w:t>Int J Cancer</w:t>
      </w:r>
      <w:r w:rsidRPr="00405F54">
        <w:t xml:space="preserve"> 2016;139:1391-401.</w:t>
      </w:r>
      <w:r w:rsidR="002819E2">
        <w:fldChar w:fldCharType="end"/>
      </w:r>
    </w:p>
    <w:sectPr w:rsidR="00276DE1" w:rsidRPr="00F73FC7" w:rsidSect="00FE5052">
      <w:footerReference w:type="even" r:id="rId13"/>
      <w:footerReference w:type="default" r:id="rId14"/>
      <w:type w:val="continuous"/>
      <w:pgSz w:w="11906" w:h="16838"/>
      <w:pgMar w:top="1985" w:right="1416" w:bottom="1701" w:left="1701" w:header="851" w:footer="992" w:gutter="0"/>
      <w:lnNumType w:countBy="1" w:restart="continuou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610FE" w14:textId="77777777" w:rsidR="003714B3" w:rsidRDefault="003714B3" w:rsidP="00A90248">
      <w:r>
        <w:separator/>
      </w:r>
    </w:p>
  </w:endnote>
  <w:endnote w:type="continuationSeparator" w:id="0">
    <w:p w14:paraId="7608B1BF" w14:textId="77777777" w:rsidR="003714B3" w:rsidRDefault="003714B3" w:rsidP="00A90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BFA00" w14:textId="77777777" w:rsidR="000E6F21" w:rsidRDefault="00000000">
    <w:pPr>
      <w:pStyle w:val="a5"/>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6812BE32" w14:textId="77777777" w:rsidR="000E6F21" w:rsidRDefault="000E6F21" w:rsidP="008D4247">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78AE5" w14:textId="77777777" w:rsidR="000E6F21" w:rsidRPr="00A84975" w:rsidRDefault="00000000">
    <w:pPr>
      <w:pStyle w:val="a5"/>
      <w:framePr w:wrap="around" w:vAnchor="text" w:hAnchor="margin" w:xAlign="right" w:y="1"/>
      <w:rPr>
        <w:rStyle w:val="ab"/>
      </w:rPr>
    </w:pPr>
    <w:r w:rsidRPr="0016302E">
      <w:rPr>
        <w:rStyle w:val="ab"/>
      </w:rPr>
      <w:fldChar w:fldCharType="begin"/>
    </w:r>
    <w:r w:rsidRPr="0016302E">
      <w:rPr>
        <w:rStyle w:val="ab"/>
      </w:rPr>
      <w:instrText xml:space="preserve">PAGE  </w:instrText>
    </w:r>
    <w:r w:rsidRPr="0016302E">
      <w:rPr>
        <w:rStyle w:val="ab"/>
      </w:rPr>
      <w:fldChar w:fldCharType="separate"/>
    </w:r>
    <w:r w:rsidRPr="0016302E">
      <w:rPr>
        <w:rStyle w:val="ab"/>
        <w:noProof/>
      </w:rPr>
      <w:t>21</w:t>
    </w:r>
    <w:r w:rsidRPr="0016302E">
      <w:rPr>
        <w:rStyle w:val="ab"/>
      </w:rPr>
      <w:fldChar w:fldCharType="end"/>
    </w:r>
  </w:p>
  <w:p w14:paraId="5308507A" w14:textId="77777777" w:rsidR="000E6F21" w:rsidRDefault="00000000" w:rsidP="008D4247">
    <w:pPr>
      <w:pStyle w:val="a5"/>
      <w:ind w:right="360"/>
    </w:pPr>
    <w:r>
      <w:rPr>
        <w:rFonts w:hint="eastAsia"/>
      </w:rPr>
      <w:tab/>
    </w:r>
    <w:r>
      <w:rPr>
        <w:rFonts w:hint="eastAsia"/>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5D49E" w14:textId="77777777" w:rsidR="003714B3" w:rsidRDefault="003714B3" w:rsidP="00A90248">
      <w:r>
        <w:separator/>
      </w:r>
    </w:p>
  </w:footnote>
  <w:footnote w:type="continuationSeparator" w:id="0">
    <w:p w14:paraId="1F56FB8F" w14:textId="77777777" w:rsidR="003714B3" w:rsidRDefault="003714B3" w:rsidP="00A902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09A5"/>
    <w:multiLevelType w:val="hybridMultilevel"/>
    <w:tmpl w:val="EC5C4BF4"/>
    <w:lvl w:ilvl="0" w:tplc="B426B9AE">
      <w:start w:val="1"/>
      <w:numFmt w:val="decimal"/>
      <w:lvlText w:val="%1)."/>
      <w:lvlJc w:val="left"/>
      <w:pPr>
        <w:ind w:left="987" w:hanging="420"/>
      </w:pPr>
      <w:rPr>
        <w:rFonts w:hint="eastAsia"/>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1" w15:restartNumberingAfterBreak="0">
    <w:nsid w:val="07864E6B"/>
    <w:multiLevelType w:val="multilevel"/>
    <w:tmpl w:val="2932D416"/>
    <w:styleLink w:val="8"/>
    <w:lvl w:ilvl="0">
      <w:start w:val="2"/>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 w15:restartNumberingAfterBreak="0">
    <w:nsid w:val="08165C37"/>
    <w:multiLevelType w:val="hybridMultilevel"/>
    <w:tmpl w:val="EE8870F8"/>
    <w:lvl w:ilvl="0" w:tplc="A64E874A">
      <w:start w:val="1"/>
      <w:numFmt w:val="decimal"/>
      <w:lvlText w:val="(%1)."/>
      <w:lvlJc w:val="left"/>
      <w:pPr>
        <w:ind w:left="1158" w:hanging="420"/>
      </w:pPr>
      <w:rPr>
        <w:rFonts w:hint="eastAsia"/>
      </w:rPr>
    </w:lvl>
    <w:lvl w:ilvl="1" w:tplc="04090017" w:tentative="1">
      <w:start w:val="1"/>
      <w:numFmt w:val="aiueoFullWidth"/>
      <w:lvlText w:val="(%2)"/>
      <w:lvlJc w:val="left"/>
      <w:pPr>
        <w:ind w:left="1578" w:hanging="420"/>
      </w:pPr>
    </w:lvl>
    <w:lvl w:ilvl="2" w:tplc="04090011" w:tentative="1">
      <w:start w:val="1"/>
      <w:numFmt w:val="decimalEnclosedCircle"/>
      <w:lvlText w:val="%3"/>
      <w:lvlJc w:val="left"/>
      <w:pPr>
        <w:ind w:left="1998" w:hanging="420"/>
      </w:pPr>
    </w:lvl>
    <w:lvl w:ilvl="3" w:tplc="0409000F" w:tentative="1">
      <w:start w:val="1"/>
      <w:numFmt w:val="decimal"/>
      <w:lvlText w:val="%4."/>
      <w:lvlJc w:val="left"/>
      <w:pPr>
        <w:ind w:left="2418" w:hanging="420"/>
      </w:pPr>
    </w:lvl>
    <w:lvl w:ilvl="4" w:tplc="04090017" w:tentative="1">
      <w:start w:val="1"/>
      <w:numFmt w:val="aiueoFullWidth"/>
      <w:lvlText w:val="(%5)"/>
      <w:lvlJc w:val="left"/>
      <w:pPr>
        <w:ind w:left="2838" w:hanging="420"/>
      </w:pPr>
    </w:lvl>
    <w:lvl w:ilvl="5" w:tplc="04090011" w:tentative="1">
      <w:start w:val="1"/>
      <w:numFmt w:val="decimalEnclosedCircle"/>
      <w:lvlText w:val="%6"/>
      <w:lvlJc w:val="left"/>
      <w:pPr>
        <w:ind w:left="3258" w:hanging="420"/>
      </w:pPr>
    </w:lvl>
    <w:lvl w:ilvl="6" w:tplc="0409000F" w:tentative="1">
      <w:start w:val="1"/>
      <w:numFmt w:val="decimal"/>
      <w:lvlText w:val="%7."/>
      <w:lvlJc w:val="left"/>
      <w:pPr>
        <w:ind w:left="3678" w:hanging="420"/>
      </w:pPr>
    </w:lvl>
    <w:lvl w:ilvl="7" w:tplc="04090017" w:tentative="1">
      <w:start w:val="1"/>
      <w:numFmt w:val="aiueoFullWidth"/>
      <w:lvlText w:val="(%8)"/>
      <w:lvlJc w:val="left"/>
      <w:pPr>
        <w:ind w:left="4098" w:hanging="420"/>
      </w:pPr>
    </w:lvl>
    <w:lvl w:ilvl="8" w:tplc="04090011" w:tentative="1">
      <w:start w:val="1"/>
      <w:numFmt w:val="decimalEnclosedCircle"/>
      <w:lvlText w:val="%9"/>
      <w:lvlJc w:val="left"/>
      <w:pPr>
        <w:ind w:left="4518" w:hanging="420"/>
      </w:pPr>
    </w:lvl>
  </w:abstractNum>
  <w:abstractNum w:abstractNumId="3" w15:restartNumberingAfterBreak="0">
    <w:nsid w:val="0BBA1751"/>
    <w:multiLevelType w:val="hybridMultilevel"/>
    <w:tmpl w:val="F95A8A9C"/>
    <w:lvl w:ilvl="0" w:tplc="BFD2866C">
      <w:start w:val="1"/>
      <w:numFmt w:val="decimal"/>
      <w:lvlText w:val="%1)"/>
      <w:lvlJc w:val="left"/>
      <w:pPr>
        <w:ind w:left="420" w:hanging="420"/>
      </w:pPr>
      <w:rPr>
        <w:rFonts w:hint="eastAsia"/>
        <w:color w:val="auto"/>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C66F3F"/>
    <w:multiLevelType w:val="multilevel"/>
    <w:tmpl w:val="0409001F"/>
    <w:styleLink w:val="6"/>
    <w:lvl w:ilvl="0">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5" w15:restartNumberingAfterBreak="0">
    <w:nsid w:val="2099326D"/>
    <w:multiLevelType w:val="hybridMultilevel"/>
    <w:tmpl w:val="F7867216"/>
    <w:lvl w:ilvl="0" w:tplc="1C50776C">
      <w:start w:val="1"/>
      <w:numFmt w:val="decimal"/>
      <w:lvlText w:val="(%1)"/>
      <w:lvlJc w:val="left"/>
      <w:pPr>
        <w:tabs>
          <w:tab w:val="num" w:pos="420"/>
        </w:tabs>
        <w:ind w:left="420" w:hanging="420"/>
      </w:pPr>
      <w:rPr>
        <w:rFonts w:hint="eastAsia"/>
      </w:rPr>
    </w:lvl>
    <w:lvl w:ilvl="1" w:tplc="37E47C8A">
      <w:start w:val="1"/>
      <w:numFmt w:val="aiueoFullWidth"/>
      <w:lvlText w:val="(%2)"/>
      <w:lvlJc w:val="left"/>
      <w:pPr>
        <w:tabs>
          <w:tab w:val="num" w:pos="0"/>
        </w:tabs>
        <w:ind w:left="0" w:firstLine="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9205A36"/>
    <w:multiLevelType w:val="hybridMultilevel"/>
    <w:tmpl w:val="2C2860F2"/>
    <w:lvl w:ilvl="0" w:tplc="1C50776C">
      <w:start w:val="1"/>
      <w:numFmt w:val="decimal"/>
      <w:lvlText w:val="(%1)"/>
      <w:lvlJc w:val="left"/>
      <w:pPr>
        <w:tabs>
          <w:tab w:val="num" w:pos="420"/>
        </w:tabs>
        <w:ind w:left="420" w:hanging="420"/>
      </w:pPr>
      <w:rPr>
        <w:rFonts w:hint="eastAsia"/>
      </w:rPr>
    </w:lvl>
    <w:lvl w:ilvl="1" w:tplc="75DE2E9C">
      <w:start w:val="1"/>
      <w:numFmt w:val="aiueoFullWidth"/>
      <w:lvlText w:val="(%2)"/>
      <w:lvlJc w:val="left"/>
      <w:pPr>
        <w:tabs>
          <w:tab w:val="num" w:pos="0"/>
        </w:tabs>
        <w:ind w:left="0" w:firstLine="0"/>
      </w:pPr>
      <w:rPr>
        <w:rFonts w:hint="eastAsia"/>
      </w:rPr>
    </w:lvl>
    <w:lvl w:ilvl="2" w:tplc="64825244"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9D805B7"/>
    <w:multiLevelType w:val="hybridMultilevel"/>
    <w:tmpl w:val="D4E039B4"/>
    <w:lvl w:ilvl="0" w:tplc="1C50776C">
      <w:start w:val="1"/>
      <w:numFmt w:val="decimal"/>
      <w:lvlText w:val="(%1)"/>
      <w:lvlJc w:val="left"/>
      <w:pPr>
        <w:ind w:left="420" w:hanging="420"/>
      </w:pPr>
      <w:rPr>
        <w:rFonts w:hint="eastAsia"/>
      </w:rPr>
    </w:lvl>
    <w:lvl w:ilvl="1" w:tplc="1B1C75E4">
      <w:start w:val="1"/>
      <w:numFmt w:val="decimal"/>
      <w:lvlText w:val="%2)"/>
      <w:lvlJc w:val="left"/>
      <w:pPr>
        <w:ind w:left="840" w:hanging="420"/>
      </w:pPr>
      <w:rPr>
        <w:rFonts w:ascii="Times New Roman" w:eastAsia="ＭＳ ゴシック" w:hAnsi="Times New Roman" w:cs="Times New Roman"/>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E162B31"/>
    <w:multiLevelType w:val="hybridMultilevel"/>
    <w:tmpl w:val="8BB64AD8"/>
    <w:lvl w:ilvl="0" w:tplc="1C50776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2E82AA3"/>
    <w:multiLevelType w:val="hybridMultilevel"/>
    <w:tmpl w:val="5E1E3A24"/>
    <w:lvl w:ilvl="0" w:tplc="1C50776C">
      <w:start w:val="1"/>
      <w:numFmt w:val="decimal"/>
      <w:lvlText w:val="(%1)"/>
      <w:lvlJc w:val="left"/>
      <w:pPr>
        <w:tabs>
          <w:tab w:val="num" w:pos="567"/>
        </w:tabs>
        <w:ind w:left="567" w:hanging="147"/>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E417D8C"/>
    <w:multiLevelType w:val="hybridMultilevel"/>
    <w:tmpl w:val="73420F18"/>
    <w:lvl w:ilvl="0" w:tplc="1C50776C">
      <w:start w:val="1"/>
      <w:numFmt w:val="decimal"/>
      <w:lvlText w:val="(%1)"/>
      <w:lvlJc w:val="left"/>
      <w:pPr>
        <w:tabs>
          <w:tab w:val="num" w:pos="420"/>
        </w:tabs>
        <w:ind w:left="420" w:hanging="420"/>
      </w:pPr>
      <w:rPr>
        <w:rFonts w:hint="eastAsia"/>
      </w:rPr>
    </w:lvl>
    <w:lvl w:ilvl="1" w:tplc="04090017">
      <w:start w:val="1"/>
      <w:numFmt w:val="decimalEnclosedCircle"/>
      <w:lvlText w:val="%2"/>
      <w:lvlJc w:val="left"/>
      <w:pPr>
        <w:tabs>
          <w:tab w:val="num" w:pos="780"/>
        </w:tabs>
        <w:ind w:left="780" w:hanging="360"/>
      </w:pPr>
      <w:rPr>
        <w:rFonts w:hint="default"/>
      </w:rPr>
    </w:lvl>
    <w:lvl w:ilvl="2" w:tplc="04090011">
      <w:start w:val="1"/>
      <w:numFmt w:val="decimal"/>
      <w:lvlText w:val="%3)"/>
      <w:lvlJc w:val="left"/>
      <w:pPr>
        <w:ind w:left="1215" w:hanging="375"/>
      </w:pPr>
      <w:rPr>
        <w:rFonts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EF921C4"/>
    <w:multiLevelType w:val="multilevel"/>
    <w:tmpl w:val="AADAE59C"/>
    <w:styleLink w:val="5"/>
    <w:lvl w:ilvl="0">
      <w:start w:val="1"/>
      <w:numFmt w:val="decimal"/>
      <w:lvlText w:val="%1."/>
      <w:lvlJc w:val="left"/>
      <w:pPr>
        <w:ind w:left="845" w:hanging="425"/>
      </w:pPr>
      <w:rPr>
        <w:rFonts w:hint="eastAsia"/>
      </w:rPr>
    </w:lvl>
    <w:lvl w:ilvl="1">
      <w:start w:val="1"/>
      <w:numFmt w:val="decimal"/>
      <w:lvlText w:val="%1.%2."/>
      <w:lvlJc w:val="left"/>
      <w:pPr>
        <w:ind w:left="987" w:hanging="567"/>
      </w:pPr>
      <w:rPr>
        <w:rFonts w:hint="eastAsia"/>
      </w:rPr>
    </w:lvl>
    <w:lvl w:ilvl="2">
      <w:start w:val="1"/>
      <w:numFmt w:val="decimal"/>
      <w:lvlText w:val="%1.%2.%3."/>
      <w:lvlJc w:val="left"/>
      <w:pPr>
        <w:ind w:left="1129" w:hanging="709"/>
      </w:pPr>
      <w:rPr>
        <w:rFonts w:hint="eastAsia"/>
      </w:rPr>
    </w:lvl>
    <w:lvl w:ilvl="3">
      <w:start w:val="1"/>
      <w:numFmt w:val="decimal"/>
      <w:lvlText w:val="%1.%2.%3.%4."/>
      <w:lvlJc w:val="left"/>
      <w:pPr>
        <w:ind w:left="1271" w:hanging="851"/>
      </w:pPr>
      <w:rPr>
        <w:rFonts w:hint="eastAsia"/>
      </w:rPr>
    </w:lvl>
    <w:lvl w:ilvl="4">
      <w:start w:val="1"/>
      <w:numFmt w:val="decimal"/>
      <w:lvlText w:val="%1.%2.%3.%4.%5."/>
      <w:lvlJc w:val="left"/>
      <w:pPr>
        <w:ind w:left="1412" w:hanging="992"/>
      </w:pPr>
      <w:rPr>
        <w:rFonts w:hint="eastAsia"/>
      </w:rPr>
    </w:lvl>
    <w:lvl w:ilvl="5">
      <w:start w:val="1"/>
      <w:numFmt w:val="decimal"/>
      <w:lvlText w:val="%1.%2.%3.%4.%5.%6."/>
      <w:lvlJc w:val="left"/>
      <w:pPr>
        <w:ind w:left="1554" w:hanging="1134"/>
      </w:pPr>
      <w:rPr>
        <w:rFonts w:hint="eastAsia"/>
      </w:rPr>
    </w:lvl>
    <w:lvl w:ilvl="6">
      <w:start w:val="1"/>
      <w:numFmt w:val="decimal"/>
      <w:lvlText w:val="%1.%2.%3.%4.%5.%6.%7."/>
      <w:lvlJc w:val="left"/>
      <w:pPr>
        <w:ind w:left="1696" w:hanging="1276"/>
      </w:pPr>
      <w:rPr>
        <w:rFonts w:hint="eastAsia"/>
      </w:rPr>
    </w:lvl>
    <w:lvl w:ilvl="7">
      <w:start w:val="1"/>
      <w:numFmt w:val="decimal"/>
      <w:lvlText w:val="%1.%2.%3.%4.%5.%6.%7.%8."/>
      <w:lvlJc w:val="left"/>
      <w:pPr>
        <w:ind w:left="1838" w:hanging="1418"/>
      </w:pPr>
      <w:rPr>
        <w:rFonts w:hint="eastAsia"/>
      </w:rPr>
    </w:lvl>
    <w:lvl w:ilvl="8">
      <w:start w:val="1"/>
      <w:numFmt w:val="decimal"/>
      <w:lvlText w:val="%1.%2.%3.%4.%5.%6.%7.%8.%9."/>
      <w:lvlJc w:val="left"/>
      <w:pPr>
        <w:ind w:left="1979" w:hanging="1559"/>
      </w:pPr>
      <w:rPr>
        <w:rFonts w:hint="eastAsia"/>
      </w:rPr>
    </w:lvl>
  </w:abstractNum>
  <w:abstractNum w:abstractNumId="12" w15:restartNumberingAfterBreak="0">
    <w:nsid w:val="40B47D58"/>
    <w:multiLevelType w:val="singleLevel"/>
    <w:tmpl w:val="1C50776C"/>
    <w:lvl w:ilvl="0">
      <w:start w:val="1"/>
      <w:numFmt w:val="decimal"/>
      <w:lvlText w:val="(%1)"/>
      <w:lvlJc w:val="left"/>
      <w:pPr>
        <w:ind w:left="420" w:hanging="420"/>
      </w:pPr>
      <w:rPr>
        <w:rFonts w:hint="eastAsia"/>
      </w:rPr>
    </w:lvl>
  </w:abstractNum>
  <w:abstractNum w:abstractNumId="13" w15:restartNumberingAfterBreak="0">
    <w:nsid w:val="48A221D9"/>
    <w:multiLevelType w:val="hybridMultilevel"/>
    <w:tmpl w:val="147092EE"/>
    <w:lvl w:ilvl="0" w:tplc="1C50776C">
      <w:start w:val="1"/>
      <w:numFmt w:val="decimal"/>
      <w:lvlText w:val="(%1)"/>
      <w:lvlJc w:val="left"/>
      <w:pPr>
        <w:ind w:left="420" w:hanging="420"/>
      </w:pPr>
      <w:rPr>
        <w:rFonts w:hint="eastAsia"/>
      </w:rPr>
    </w:lvl>
    <w:lvl w:ilvl="1" w:tplc="58D422DE">
      <w:start w:val="1"/>
      <w:numFmt w:val="decimalFullWidth"/>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D6975A5"/>
    <w:multiLevelType w:val="hybridMultilevel"/>
    <w:tmpl w:val="DFA41056"/>
    <w:lvl w:ilvl="0" w:tplc="1C50776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B2A3174"/>
    <w:multiLevelType w:val="hybridMultilevel"/>
    <w:tmpl w:val="5A3648CE"/>
    <w:lvl w:ilvl="0" w:tplc="1C50776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B3015B5"/>
    <w:multiLevelType w:val="hybridMultilevel"/>
    <w:tmpl w:val="73420F18"/>
    <w:lvl w:ilvl="0" w:tplc="1C50776C">
      <w:start w:val="1"/>
      <w:numFmt w:val="decimal"/>
      <w:lvlText w:val="(%1)"/>
      <w:lvlJc w:val="left"/>
      <w:pPr>
        <w:tabs>
          <w:tab w:val="num" w:pos="420"/>
        </w:tabs>
        <w:ind w:left="420" w:hanging="420"/>
      </w:pPr>
      <w:rPr>
        <w:rFonts w:hint="eastAsia"/>
      </w:rPr>
    </w:lvl>
    <w:lvl w:ilvl="1" w:tplc="04090017">
      <w:start w:val="1"/>
      <w:numFmt w:val="decimalEnclosedCircle"/>
      <w:lvlText w:val="%2"/>
      <w:lvlJc w:val="left"/>
      <w:pPr>
        <w:tabs>
          <w:tab w:val="num" w:pos="780"/>
        </w:tabs>
        <w:ind w:left="780" w:hanging="360"/>
      </w:pPr>
      <w:rPr>
        <w:rFonts w:hint="default"/>
      </w:rPr>
    </w:lvl>
    <w:lvl w:ilvl="2" w:tplc="04090011">
      <w:start w:val="1"/>
      <w:numFmt w:val="decimal"/>
      <w:lvlText w:val="%3)"/>
      <w:lvlJc w:val="left"/>
      <w:pPr>
        <w:ind w:left="1215" w:hanging="375"/>
      </w:pPr>
      <w:rPr>
        <w:rFonts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61B350A1"/>
    <w:multiLevelType w:val="hybridMultilevel"/>
    <w:tmpl w:val="E684F632"/>
    <w:lvl w:ilvl="0" w:tplc="3DA09620">
      <w:start w:val="1"/>
      <w:numFmt w:val="decimal"/>
      <w:lvlText w:val="(%1)"/>
      <w:lvlJc w:val="left"/>
      <w:pPr>
        <w:ind w:left="420" w:hanging="420"/>
      </w:pPr>
      <w:rPr>
        <w:rFonts w:hint="eastAsia"/>
      </w:rPr>
    </w:lvl>
    <w:lvl w:ilvl="1" w:tplc="C890F60A" w:tentative="1">
      <w:start w:val="1"/>
      <w:numFmt w:val="aiueoFullWidth"/>
      <w:lvlText w:val="(%2)"/>
      <w:lvlJc w:val="left"/>
      <w:pPr>
        <w:ind w:left="840" w:hanging="420"/>
      </w:pPr>
    </w:lvl>
    <w:lvl w:ilvl="2" w:tplc="6F9ACB3C" w:tentative="1">
      <w:start w:val="1"/>
      <w:numFmt w:val="decimalEnclosedCircle"/>
      <w:lvlText w:val="%3"/>
      <w:lvlJc w:val="left"/>
      <w:pPr>
        <w:ind w:left="1260" w:hanging="420"/>
      </w:pPr>
    </w:lvl>
    <w:lvl w:ilvl="3" w:tplc="5A18A3E2" w:tentative="1">
      <w:start w:val="1"/>
      <w:numFmt w:val="decimal"/>
      <w:lvlText w:val="%4."/>
      <w:lvlJc w:val="left"/>
      <w:pPr>
        <w:ind w:left="1680" w:hanging="420"/>
      </w:pPr>
    </w:lvl>
    <w:lvl w:ilvl="4" w:tplc="99FABAA6" w:tentative="1">
      <w:start w:val="1"/>
      <w:numFmt w:val="aiueoFullWidth"/>
      <w:lvlText w:val="(%5)"/>
      <w:lvlJc w:val="left"/>
      <w:pPr>
        <w:ind w:left="2100" w:hanging="420"/>
      </w:pPr>
    </w:lvl>
    <w:lvl w:ilvl="5" w:tplc="0D0005AE" w:tentative="1">
      <w:start w:val="1"/>
      <w:numFmt w:val="decimalEnclosedCircle"/>
      <w:lvlText w:val="%6"/>
      <w:lvlJc w:val="left"/>
      <w:pPr>
        <w:ind w:left="2520" w:hanging="420"/>
      </w:pPr>
    </w:lvl>
    <w:lvl w:ilvl="6" w:tplc="45985C02" w:tentative="1">
      <w:start w:val="1"/>
      <w:numFmt w:val="decimal"/>
      <w:lvlText w:val="%7."/>
      <w:lvlJc w:val="left"/>
      <w:pPr>
        <w:ind w:left="2940" w:hanging="420"/>
      </w:pPr>
    </w:lvl>
    <w:lvl w:ilvl="7" w:tplc="39B67BB0" w:tentative="1">
      <w:start w:val="1"/>
      <w:numFmt w:val="aiueoFullWidth"/>
      <w:lvlText w:val="(%8)"/>
      <w:lvlJc w:val="left"/>
      <w:pPr>
        <w:ind w:left="3360" w:hanging="420"/>
      </w:pPr>
    </w:lvl>
    <w:lvl w:ilvl="8" w:tplc="804C771A" w:tentative="1">
      <w:start w:val="1"/>
      <w:numFmt w:val="decimalEnclosedCircle"/>
      <w:lvlText w:val="%9"/>
      <w:lvlJc w:val="left"/>
      <w:pPr>
        <w:ind w:left="3780" w:hanging="420"/>
      </w:pPr>
    </w:lvl>
  </w:abstractNum>
  <w:abstractNum w:abstractNumId="18" w15:restartNumberingAfterBreak="0">
    <w:nsid w:val="63B575D3"/>
    <w:multiLevelType w:val="multilevel"/>
    <w:tmpl w:val="0409001D"/>
    <w:styleLink w:val="7"/>
    <w:lvl w:ilvl="0">
      <w:start w:val="2"/>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9" w15:restartNumberingAfterBreak="0">
    <w:nsid w:val="71B74C77"/>
    <w:multiLevelType w:val="hybridMultilevel"/>
    <w:tmpl w:val="DA605840"/>
    <w:lvl w:ilvl="0" w:tplc="1C50776C">
      <w:start w:val="1"/>
      <w:numFmt w:val="decimal"/>
      <w:lvlText w:val="(%1)"/>
      <w:lvlJc w:val="left"/>
      <w:pPr>
        <w:tabs>
          <w:tab w:val="num" w:pos="0"/>
        </w:tabs>
        <w:ind w:left="420" w:hanging="420"/>
      </w:pPr>
      <w:rPr>
        <w:rFonts w:hint="eastAsia"/>
      </w:rPr>
    </w:lvl>
    <w:lvl w:ilvl="1" w:tplc="0409000B">
      <w:start w:val="1"/>
      <w:numFmt w:val="decimalEnclosedCircle"/>
      <w:lvlText w:val="%2"/>
      <w:lvlJc w:val="left"/>
      <w:pPr>
        <w:tabs>
          <w:tab w:val="num" w:pos="840"/>
        </w:tabs>
        <w:ind w:left="840" w:hanging="420"/>
      </w:pPr>
      <w:rPr>
        <w:rFonts w:hint="eastAsia"/>
      </w:rPr>
    </w:lvl>
    <w:lvl w:ilvl="2" w:tplc="0409000D" w:tentative="1">
      <w:start w:val="1"/>
      <w:numFmt w:val="decimalEnclosedCircle"/>
      <w:lvlText w:val="%3"/>
      <w:lvlJc w:val="left"/>
      <w:pPr>
        <w:tabs>
          <w:tab w:val="num" w:pos="1260"/>
        </w:tabs>
        <w:ind w:left="1260" w:hanging="420"/>
      </w:pPr>
    </w:lvl>
    <w:lvl w:ilvl="3" w:tplc="04090001" w:tentative="1">
      <w:start w:val="1"/>
      <w:numFmt w:val="decimal"/>
      <w:lvlText w:val="%4."/>
      <w:lvlJc w:val="left"/>
      <w:pPr>
        <w:tabs>
          <w:tab w:val="num" w:pos="1680"/>
        </w:tabs>
        <w:ind w:left="1680" w:hanging="420"/>
      </w:pPr>
    </w:lvl>
    <w:lvl w:ilvl="4" w:tplc="0409000B" w:tentative="1">
      <w:start w:val="1"/>
      <w:numFmt w:val="aiueoFullWidth"/>
      <w:lvlText w:val="(%5)"/>
      <w:lvlJc w:val="left"/>
      <w:pPr>
        <w:tabs>
          <w:tab w:val="num" w:pos="2100"/>
        </w:tabs>
        <w:ind w:left="2100" w:hanging="420"/>
      </w:pPr>
    </w:lvl>
    <w:lvl w:ilvl="5" w:tplc="0409000D" w:tentative="1">
      <w:start w:val="1"/>
      <w:numFmt w:val="decimalEnclosedCircle"/>
      <w:lvlText w:val="%6"/>
      <w:lvlJc w:val="left"/>
      <w:pPr>
        <w:tabs>
          <w:tab w:val="num" w:pos="2520"/>
        </w:tabs>
        <w:ind w:left="2520" w:hanging="420"/>
      </w:pPr>
    </w:lvl>
    <w:lvl w:ilvl="6" w:tplc="04090001" w:tentative="1">
      <w:start w:val="1"/>
      <w:numFmt w:val="decimal"/>
      <w:lvlText w:val="%7."/>
      <w:lvlJc w:val="left"/>
      <w:pPr>
        <w:tabs>
          <w:tab w:val="num" w:pos="2940"/>
        </w:tabs>
        <w:ind w:left="2940" w:hanging="420"/>
      </w:pPr>
    </w:lvl>
    <w:lvl w:ilvl="7" w:tplc="0409000B" w:tentative="1">
      <w:start w:val="1"/>
      <w:numFmt w:val="aiueoFullWidth"/>
      <w:lvlText w:val="(%8)"/>
      <w:lvlJc w:val="left"/>
      <w:pPr>
        <w:tabs>
          <w:tab w:val="num" w:pos="3360"/>
        </w:tabs>
        <w:ind w:left="3360" w:hanging="420"/>
      </w:pPr>
    </w:lvl>
    <w:lvl w:ilvl="8" w:tplc="0409000D" w:tentative="1">
      <w:start w:val="1"/>
      <w:numFmt w:val="decimalEnclosedCircle"/>
      <w:lvlText w:val="%9"/>
      <w:lvlJc w:val="left"/>
      <w:pPr>
        <w:tabs>
          <w:tab w:val="num" w:pos="3780"/>
        </w:tabs>
        <w:ind w:left="3780" w:hanging="420"/>
      </w:pPr>
    </w:lvl>
  </w:abstractNum>
  <w:abstractNum w:abstractNumId="20" w15:restartNumberingAfterBreak="0">
    <w:nsid w:val="71EE782D"/>
    <w:multiLevelType w:val="multilevel"/>
    <w:tmpl w:val="AADAE59C"/>
    <w:styleLink w:val="4"/>
    <w:lvl w:ilvl="0">
      <w:start w:val="1"/>
      <w:numFmt w:val="decimal"/>
      <w:lvlText w:val="%1."/>
      <w:lvlJc w:val="left"/>
      <w:pPr>
        <w:ind w:left="845" w:hanging="425"/>
      </w:pPr>
      <w:rPr>
        <w:rFonts w:hint="eastAsia"/>
      </w:rPr>
    </w:lvl>
    <w:lvl w:ilvl="1">
      <w:start w:val="1"/>
      <w:numFmt w:val="decimal"/>
      <w:lvlText w:val="%1.%2."/>
      <w:lvlJc w:val="left"/>
      <w:pPr>
        <w:ind w:left="987" w:hanging="567"/>
      </w:pPr>
      <w:rPr>
        <w:rFonts w:hint="eastAsia"/>
      </w:rPr>
    </w:lvl>
    <w:lvl w:ilvl="2">
      <w:start w:val="1"/>
      <w:numFmt w:val="decimal"/>
      <w:lvlText w:val="%1.%2.%3."/>
      <w:lvlJc w:val="left"/>
      <w:pPr>
        <w:ind w:left="1129" w:hanging="709"/>
      </w:pPr>
      <w:rPr>
        <w:rFonts w:hint="eastAsia"/>
      </w:rPr>
    </w:lvl>
    <w:lvl w:ilvl="3">
      <w:start w:val="1"/>
      <w:numFmt w:val="decimal"/>
      <w:lvlText w:val="%1.%2.%3.%4."/>
      <w:lvlJc w:val="left"/>
      <w:pPr>
        <w:ind w:left="1271" w:hanging="851"/>
      </w:pPr>
      <w:rPr>
        <w:rFonts w:hint="eastAsia"/>
      </w:rPr>
    </w:lvl>
    <w:lvl w:ilvl="4">
      <w:start w:val="1"/>
      <w:numFmt w:val="decimal"/>
      <w:lvlText w:val="%1.%2.%3.%4.%5."/>
      <w:lvlJc w:val="left"/>
      <w:pPr>
        <w:ind w:left="1412" w:hanging="992"/>
      </w:pPr>
      <w:rPr>
        <w:rFonts w:hint="eastAsia"/>
      </w:rPr>
    </w:lvl>
    <w:lvl w:ilvl="5">
      <w:start w:val="1"/>
      <w:numFmt w:val="decimal"/>
      <w:lvlText w:val="%1.%2.%3.%4.%5.%6."/>
      <w:lvlJc w:val="left"/>
      <w:pPr>
        <w:ind w:left="1554" w:hanging="1134"/>
      </w:pPr>
      <w:rPr>
        <w:rFonts w:hint="eastAsia"/>
      </w:rPr>
    </w:lvl>
    <w:lvl w:ilvl="6">
      <w:start w:val="1"/>
      <w:numFmt w:val="decimal"/>
      <w:lvlText w:val="%1.%2.%3.%4.%5.%6.%7."/>
      <w:lvlJc w:val="left"/>
      <w:pPr>
        <w:ind w:left="1696" w:hanging="1276"/>
      </w:pPr>
      <w:rPr>
        <w:rFonts w:hint="eastAsia"/>
      </w:rPr>
    </w:lvl>
    <w:lvl w:ilvl="7">
      <w:start w:val="1"/>
      <w:numFmt w:val="decimal"/>
      <w:lvlText w:val="%1.%2.%3.%4.%5.%6.%7.%8."/>
      <w:lvlJc w:val="left"/>
      <w:pPr>
        <w:ind w:left="1838" w:hanging="1418"/>
      </w:pPr>
      <w:rPr>
        <w:rFonts w:hint="eastAsia"/>
      </w:rPr>
    </w:lvl>
    <w:lvl w:ilvl="8">
      <w:start w:val="1"/>
      <w:numFmt w:val="decimal"/>
      <w:lvlText w:val="%1.%2.%3.%4.%5.%6.%7.%8.%9."/>
      <w:lvlJc w:val="left"/>
      <w:pPr>
        <w:ind w:left="1979" w:hanging="1559"/>
      </w:pPr>
      <w:rPr>
        <w:rFonts w:hint="eastAsia"/>
      </w:rPr>
    </w:lvl>
  </w:abstractNum>
  <w:num w:numId="1" w16cid:durableId="1045527600">
    <w:abstractNumId w:val="5"/>
  </w:num>
  <w:num w:numId="2" w16cid:durableId="74980607">
    <w:abstractNumId w:val="19"/>
  </w:num>
  <w:num w:numId="3" w16cid:durableId="674964631">
    <w:abstractNumId w:val="9"/>
  </w:num>
  <w:num w:numId="4" w16cid:durableId="1585797136">
    <w:abstractNumId w:val="16"/>
  </w:num>
  <w:num w:numId="5" w16cid:durableId="1479808092">
    <w:abstractNumId w:val="20"/>
  </w:num>
  <w:num w:numId="6" w16cid:durableId="1005862155">
    <w:abstractNumId w:val="11"/>
  </w:num>
  <w:num w:numId="7" w16cid:durableId="374088149">
    <w:abstractNumId w:val="12"/>
  </w:num>
  <w:num w:numId="8" w16cid:durableId="855843970">
    <w:abstractNumId w:val="4"/>
  </w:num>
  <w:num w:numId="9" w16cid:durableId="1158182329">
    <w:abstractNumId w:val="18"/>
  </w:num>
  <w:num w:numId="10" w16cid:durableId="4750161">
    <w:abstractNumId w:val="1"/>
  </w:num>
  <w:num w:numId="11" w16cid:durableId="1855148001">
    <w:abstractNumId w:val="15"/>
  </w:num>
  <w:num w:numId="12" w16cid:durableId="521431523">
    <w:abstractNumId w:val="14"/>
  </w:num>
  <w:num w:numId="13" w16cid:durableId="2084905874">
    <w:abstractNumId w:val="3"/>
  </w:num>
  <w:num w:numId="14" w16cid:durableId="1530677251">
    <w:abstractNumId w:val="0"/>
  </w:num>
  <w:num w:numId="15" w16cid:durableId="1740783601">
    <w:abstractNumId w:val="6"/>
  </w:num>
  <w:num w:numId="16" w16cid:durableId="1203785875">
    <w:abstractNumId w:val="7"/>
  </w:num>
  <w:num w:numId="17" w16cid:durableId="1817716771">
    <w:abstractNumId w:val="8"/>
  </w:num>
  <w:num w:numId="18" w16cid:durableId="1879776137">
    <w:abstractNumId w:val="17"/>
  </w:num>
  <w:num w:numId="19" w16cid:durableId="526869004">
    <w:abstractNumId w:val="10"/>
  </w:num>
  <w:num w:numId="20" w16cid:durableId="1019619089">
    <w:abstractNumId w:val="13"/>
  </w:num>
  <w:num w:numId="21" w16cid:durableId="1879389654">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58"/>
  <w:bordersDoNotSurroundHeader/>
  <w:bordersDoNotSurroundFooter/>
  <w:proofState w:spelling="clean" w:grammar="clean"/>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JITC&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1&lt;/LineSpacing&gt;&lt;SpaceAfter&gt;0&lt;/SpaceAfter&gt;&lt;HyperlinksEnabled&gt;0&lt;/HyperlinksEnabled&gt;&lt;HyperlinksVisible&gt;0&lt;/HyperlinksVisible&gt;&lt;EnableBibliographyCategories&gt;0&lt;/EnableBibliographyCategories&gt;&lt;/ENLayout&gt;"/>
    <w:docVar w:name="EN.Libraries" w:val="&lt;Libraries&gt;&lt;item db-id=&quot;5592v292je02fmea92tptxxk9es0sdfx5225&quot;&gt;EndNote Library for Nature Medicine (version 20)&lt;record-ids&gt;&lt;item&gt;49&lt;/item&gt;&lt;item&gt;94&lt;/item&gt;&lt;item&gt;121&lt;/item&gt;&lt;/record-ids&gt;&lt;/item&gt;&lt;/Libraries&gt;"/>
  </w:docVars>
  <w:rsids>
    <w:rsidRoot w:val="00BB4B11"/>
    <w:rsid w:val="00004693"/>
    <w:rsid w:val="0000491C"/>
    <w:rsid w:val="000071F0"/>
    <w:rsid w:val="000127F7"/>
    <w:rsid w:val="000308D2"/>
    <w:rsid w:val="0003153A"/>
    <w:rsid w:val="00037BAE"/>
    <w:rsid w:val="00040450"/>
    <w:rsid w:val="00052F55"/>
    <w:rsid w:val="00062D70"/>
    <w:rsid w:val="00077A8F"/>
    <w:rsid w:val="00080028"/>
    <w:rsid w:val="0008595E"/>
    <w:rsid w:val="00097CA5"/>
    <w:rsid w:val="000A16F2"/>
    <w:rsid w:val="000A3713"/>
    <w:rsid w:val="000A3D81"/>
    <w:rsid w:val="000B0D20"/>
    <w:rsid w:val="000B29C9"/>
    <w:rsid w:val="000B571D"/>
    <w:rsid w:val="000C002D"/>
    <w:rsid w:val="000C3108"/>
    <w:rsid w:val="000D3186"/>
    <w:rsid w:val="000D5187"/>
    <w:rsid w:val="000D63C7"/>
    <w:rsid w:val="000E27EC"/>
    <w:rsid w:val="000E4E88"/>
    <w:rsid w:val="000E576E"/>
    <w:rsid w:val="000E6F21"/>
    <w:rsid w:val="000E759D"/>
    <w:rsid w:val="000E7F0A"/>
    <w:rsid w:val="000F3458"/>
    <w:rsid w:val="000F49E5"/>
    <w:rsid w:val="000F4D67"/>
    <w:rsid w:val="000F7C0A"/>
    <w:rsid w:val="001053BF"/>
    <w:rsid w:val="00105ECA"/>
    <w:rsid w:val="001140FF"/>
    <w:rsid w:val="0011769E"/>
    <w:rsid w:val="001235C6"/>
    <w:rsid w:val="00130E50"/>
    <w:rsid w:val="00134BA8"/>
    <w:rsid w:val="0013594B"/>
    <w:rsid w:val="0013597D"/>
    <w:rsid w:val="00141B5B"/>
    <w:rsid w:val="00153936"/>
    <w:rsid w:val="00154DA8"/>
    <w:rsid w:val="00155B95"/>
    <w:rsid w:val="00156D2A"/>
    <w:rsid w:val="00172262"/>
    <w:rsid w:val="00172ACE"/>
    <w:rsid w:val="00175BC4"/>
    <w:rsid w:val="00177E85"/>
    <w:rsid w:val="0018457B"/>
    <w:rsid w:val="0018648B"/>
    <w:rsid w:val="00190738"/>
    <w:rsid w:val="001B0CED"/>
    <w:rsid w:val="001B6883"/>
    <w:rsid w:val="001B78D4"/>
    <w:rsid w:val="001C02FF"/>
    <w:rsid w:val="001E0559"/>
    <w:rsid w:val="001E147E"/>
    <w:rsid w:val="001E2160"/>
    <w:rsid w:val="001E2A9A"/>
    <w:rsid w:val="001E65B5"/>
    <w:rsid w:val="001E71B7"/>
    <w:rsid w:val="001F1B07"/>
    <w:rsid w:val="001F2166"/>
    <w:rsid w:val="001F2B26"/>
    <w:rsid w:val="001F5C75"/>
    <w:rsid w:val="001F6592"/>
    <w:rsid w:val="00202731"/>
    <w:rsid w:val="00203DF4"/>
    <w:rsid w:val="00204092"/>
    <w:rsid w:val="00204D96"/>
    <w:rsid w:val="002127FA"/>
    <w:rsid w:val="00216D88"/>
    <w:rsid w:val="002203BB"/>
    <w:rsid w:val="00225501"/>
    <w:rsid w:val="002260D2"/>
    <w:rsid w:val="002262A8"/>
    <w:rsid w:val="002432F6"/>
    <w:rsid w:val="002654C7"/>
    <w:rsid w:val="00276DE1"/>
    <w:rsid w:val="002819E2"/>
    <w:rsid w:val="00284E98"/>
    <w:rsid w:val="00286420"/>
    <w:rsid w:val="00290090"/>
    <w:rsid w:val="002B0943"/>
    <w:rsid w:val="002C61B3"/>
    <w:rsid w:val="002D5A29"/>
    <w:rsid w:val="002E23B4"/>
    <w:rsid w:val="002E6BC1"/>
    <w:rsid w:val="002F088A"/>
    <w:rsid w:val="002F5014"/>
    <w:rsid w:val="00302A57"/>
    <w:rsid w:val="00302DC5"/>
    <w:rsid w:val="003043FA"/>
    <w:rsid w:val="00304FD1"/>
    <w:rsid w:val="00312F0B"/>
    <w:rsid w:val="0031344A"/>
    <w:rsid w:val="0031429D"/>
    <w:rsid w:val="0032239C"/>
    <w:rsid w:val="00323338"/>
    <w:rsid w:val="0032691C"/>
    <w:rsid w:val="003403EB"/>
    <w:rsid w:val="00342492"/>
    <w:rsid w:val="00343534"/>
    <w:rsid w:val="00343D0D"/>
    <w:rsid w:val="0034544B"/>
    <w:rsid w:val="00350DA6"/>
    <w:rsid w:val="00357602"/>
    <w:rsid w:val="0036295B"/>
    <w:rsid w:val="003657E3"/>
    <w:rsid w:val="00367536"/>
    <w:rsid w:val="003714B3"/>
    <w:rsid w:val="00373180"/>
    <w:rsid w:val="0037614C"/>
    <w:rsid w:val="0038524E"/>
    <w:rsid w:val="00385790"/>
    <w:rsid w:val="0038774D"/>
    <w:rsid w:val="0039139A"/>
    <w:rsid w:val="0039548A"/>
    <w:rsid w:val="00397EF7"/>
    <w:rsid w:val="003A303B"/>
    <w:rsid w:val="003A4FEB"/>
    <w:rsid w:val="003A7687"/>
    <w:rsid w:val="003C33B7"/>
    <w:rsid w:val="003C4CCA"/>
    <w:rsid w:val="003D1457"/>
    <w:rsid w:val="003D1BDF"/>
    <w:rsid w:val="003D2B6A"/>
    <w:rsid w:val="003D4788"/>
    <w:rsid w:val="003D64BF"/>
    <w:rsid w:val="003E3D45"/>
    <w:rsid w:val="003E7D7E"/>
    <w:rsid w:val="003F589E"/>
    <w:rsid w:val="0040185E"/>
    <w:rsid w:val="00405F54"/>
    <w:rsid w:val="00407540"/>
    <w:rsid w:val="00407F9D"/>
    <w:rsid w:val="00410F57"/>
    <w:rsid w:val="004175F2"/>
    <w:rsid w:val="0042690E"/>
    <w:rsid w:val="00432F51"/>
    <w:rsid w:val="00452EEF"/>
    <w:rsid w:val="00461AAE"/>
    <w:rsid w:val="004656B5"/>
    <w:rsid w:val="004703CA"/>
    <w:rsid w:val="00484125"/>
    <w:rsid w:val="004B4D7F"/>
    <w:rsid w:val="004C3F8D"/>
    <w:rsid w:val="004C6BDA"/>
    <w:rsid w:val="004F4DBB"/>
    <w:rsid w:val="004F576F"/>
    <w:rsid w:val="00505724"/>
    <w:rsid w:val="00513C12"/>
    <w:rsid w:val="00516B79"/>
    <w:rsid w:val="005205FA"/>
    <w:rsid w:val="005301D7"/>
    <w:rsid w:val="00531D3A"/>
    <w:rsid w:val="00532A28"/>
    <w:rsid w:val="005353C4"/>
    <w:rsid w:val="00540F66"/>
    <w:rsid w:val="00543018"/>
    <w:rsid w:val="0054345A"/>
    <w:rsid w:val="00543B29"/>
    <w:rsid w:val="005517D2"/>
    <w:rsid w:val="00556FF3"/>
    <w:rsid w:val="0056596B"/>
    <w:rsid w:val="00575053"/>
    <w:rsid w:val="005751D3"/>
    <w:rsid w:val="00575704"/>
    <w:rsid w:val="0058015D"/>
    <w:rsid w:val="00581ABA"/>
    <w:rsid w:val="00581CC0"/>
    <w:rsid w:val="0058741E"/>
    <w:rsid w:val="005936D9"/>
    <w:rsid w:val="00594557"/>
    <w:rsid w:val="0059487B"/>
    <w:rsid w:val="00594A51"/>
    <w:rsid w:val="00596ADB"/>
    <w:rsid w:val="00596B7B"/>
    <w:rsid w:val="005A3A90"/>
    <w:rsid w:val="005A5E56"/>
    <w:rsid w:val="005B16EE"/>
    <w:rsid w:val="005B4C96"/>
    <w:rsid w:val="005B4D0F"/>
    <w:rsid w:val="005B6424"/>
    <w:rsid w:val="005B7646"/>
    <w:rsid w:val="005C1DE6"/>
    <w:rsid w:val="005D2B2A"/>
    <w:rsid w:val="005D3079"/>
    <w:rsid w:val="005D39B5"/>
    <w:rsid w:val="005D4B24"/>
    <w:rsid w:val="005D4C71"/>
    <w:rsid w:val="005D500E"/>
    <w:rsid w:val="005E1D3A"/>
    <w:rsid w:val="005F11CE"/>
    <w:rsid w:val="005F75F0"/>
    <w:rsid w:val="005F7D7D"/>
    <w:rsid w:val="00613BA3"/>
    <w:rsid w:val="00627425"/>
    <w:rsid w:val="0063141E"/>
    <w:rsid w:val="00645AC0"/>
    <w:rsid w:val="00692419"/>
    <w:rsid w:val="00694C81"/>
    <w:rsid w:val="006959C6"/>
    <w:rsid w:val="0069785E"/>
    <w:rsid w:val="006A6D9C"/>
    <w:rsid w:val="006B330A"/>
    <w:rsid w:val="006C0870"/>
    <w:rsid w:val="006C0DA0"/>
    <w:rsid w:val="006C152B"/>
    <w:rsid w:val="006C1D31"/>
    <w:rsid w:val="006C246B"/>
    <w:rsid w:val="006C6F2A"/>
    <w:rsid w:val="006E348B"/>
    <w:rsid w:val="006E4803"/>
    <w:rsid w:val="006E566E"/>
    <w:rsid w:val="006F188F"/>
    <w:rsid w:val="007075A8"/>
    <w:rsid w:val="00710806"/>
    <w:rsid w:val="007111F7"/>
    <w:rsid w:val="00716FA0"/>
    <w:rsid w:val="0072654F"/>
    <w:rsid w:val="00737108"/>
    <w:rsid w:val="00740FAD"/>
    <w:rsid w:val="00746311"/>
    <w:rsid w:val="007477AD"/>
    <w:rsid w:val="0075060C"/>
    <w:rsid w:val="007514F4"/>
    <w:rsid w:val="00751838"/>
    <w:rsid w:val="007524BF"/>
    <w:rsid w:val="00752751"/>
    <w:rsid w:val="00753404"/>
    <w:rsid w:val="00755116"/>
    <w:rsid w:val="00760ED6"/>
    <w:rsid w:val="00770AB8"/>
    <w:rsid w:val="007717D7"/>
    <w:rsid w:val="00787008"/>
    <w:rsid w:val="0079034D"/>
    <w:rsid w:val="007A0349"/>
    <w:rsid w:val="007A17D6"/>
    <w:rsid w:val="007B46A2"/>
    <w:rsid w:val="007B4F9B"/>
    <w:rsid w:val="007C21B1"/>
    <w:rsid w:val="007D73D9"/>
    <w:rsid w:val="007E1E4D"/>
    <w:rsid w:val="007E675E"/>
    <w:rsid w:val="007E7C67"/>
    <w:rsid w:val="007F01EE"/>
    <w:rsid w:val="007F5D6B"/>
    <w:rsid w:val="00812DB0"/>
    <w:rsid w:val="008219CF"/>
    <w:rsid w:val="00823707"/>
    <w:rsid w:val="00826B75"/>
    <w:rsid w:val="00842309"/>
    <w:rsid w:val="00843621"/>
    <w:rsid w:val="00851394"/>
    <w:rsid w:val="00852437"/>
    <w:rsid w:val="00856C92"/>
    <w:rsid w:val="0085729C"/>
    <w:rsid w:val="00857491"/>
    <w:rsid w:val="00863078"/>
    <w:rsid w:val="0086318F"/>
    <w:rsid w:val="00863646"/>
    <w:rsid w:val="00863866"/>
    <w:rsid w:val="00873062"/>
    <w:rsid w:val="00874ABA"/>
    <w:rsid w:val="008824D9"/>
    <w:rsid w:val="0088501C"/>
    <w:rsid w:val="008A1074"/>
    <w:rsid w:val="008B23B7"/>
    <w:rsid w:val="008B5633"/>
    <w:rsid w:val="008B5BA0"/>
    <w:rsid w:val="008B7E64"/>
    <w:rsid w:val="008C02D6"/>
    <w:rsid w:val="008C2DF8"/>
    <w:rsid w:val="008C4886"/>
    <w:rsid w:val="008C682C"/>
    <w:rsid w:val="008C7B27"/>
    <w:rsid w:val="008D00E2"/>
    <w:rsid w:val="008D2B70"/>
    <w:rsid w:val="008D3F3A"/>
    <w:rsid w:val="008D637F"/>
    <w:rsid w:val="008E0662"/>
    <w:rsid w:val="008F1350"/>
    <w:rsid w:val="008F78F2"/>
    <w:rsid w:val="00900878"/>
    <w:rsid w:val="00910F68"/>
    <w:rsid w:val="00911AD5"/>
    <w:rsid w:val="009123ED"/>
    <w:rsid w:val="009133DA"/>
    <w:rsid w:val="00922B0F"/>
    <w:rsid w:val="00923630"/>
    <w:rsid w:val="00923A96"/>
    <w:rsid w:val="009254F4"/>
    <w:rsid w:val="00930501"/>
    <w:rsid w:val="009375F4"/>
    <w:rsid w:val="00950014"/>
    <w:rsid w:val="0095036E"/>
    <w:rsid w:val="00952417"/>
    <w:rsid w:val="00967C3C"/>
    <w:rsid w:val="00974F51"/>
    <w:rsid w:val="0098256C"/>
    <w:rsid w:val="00992EB5"/>
    <w:rsid w:val="009937E1"/>
    <w:rsid w:val="00994D97"/>
    <w:rsid w:val="0099625D"/>
    <w:rsid w:val="009A13F2"/>
    <w:rsid w:val="009A33F4"/>
    <w:rsid w:val="009C28BD"/>
    <w:rsid w:val="009E0551"/>
    <w:rsid w:val="009E3CB5"/>
    <w:rsid w:val="009F2787"/>
    <w:rsid w:val="009F2DF7"/>
    <w:rsid w:val="00A05E24"/>
    <w:rsid w:val="00A06684"/>
    <w:rsid w:val="00A104F5"/>
    <w:rsid w:val="00A11B65"/>
    <w:rsid w:val="00A13AC6"/>
    <w:rsid w:val="00A256BC"/>
    <w:rsid w:val="00A339FE"/>
    <w:rsid w:val="00A36773"/>
    <w:rsid w:val="00A36A98"/>
    <w:rsid w:val="00A36F31"/>
    <w:rsid w:val="00A45DFC"/>
    <w:rsid w:val="00A52A78"/>
    <w:rsid w:val="00A53A10"/>
    <w:rsid w:val="00A56DF9"/>
    <w:rsid w:val="00A60255"/>
    <w:rsid w:val="00A64026"/>
    <w:rsid w:val="00A717C7"/>
    <w:rsid w:val="00A7716B"/>
    <w:rsid w:val="00A848AF"/>
    <w:rsid w:val="00A84CF0"/>
    <w:rsid w:val="00A90248"/>
    <w:rsid w:val="00A95502"/>
    <w:rsid w:val="00A96ABB"/>
    <w:rsid w:val="00AA103D"/>
    <w:rsid w:val="00AB1374"/>
    <w:rsid w:val="00AB3208"/>
    <w:rsid w:val="00AB7EFD"/>
    <w:rsid w:val="00AC5136"/>
    <w:rsid w:val="00AC5624"/>
    <w:rsid w:val="00AC68CF"/>
    <w:rsid w:val="00AD2B97"/>
    <w:rsid w:val="00AD361E"/>
    <w:rsid w:val="00AE109F"/>
    <w:rsid w:val="00AF3C86"/>
    <w:rsid w:val="00AF4F68"/>
    <w:rsid w:val="00B03F8E"/>
    <w:rsid w:val="00B105F7"/>
    <w:rsid w:val="00B11F44"/>
    <w:rsid w:val="00B13F06"/>
    <w:rsid w:val="00B1506B"/>
    <w:rsid w:val="00B1511A"/>
    <w:rsid w:val="00B20933"/>
    <w:rsid w:val="00B21AEA"/>
    <w:rsid w:val="00B30939"/>
    <w:rsid w:val="00B33904"/>
    <w:rsid w:val="00B4351C"/>
    <w:rsid w:val="00B54F7F"/>
    <w:rsid w:val="00B57E71"/>
    <w:rsid w:val="00B7014C"/>
    <w:rsid w:val="00B77A59"/>
    <w:rsid w:val="00B90F93"/>
    <w:rsid w:val="00B96EDD"/>
    <w:rsid w:val="00BA04B3"/>
    <w:rsid w:val="00BA2F4D"/>
    <w:rsid w:val="00BA4972"/>
    <w:rsid w:val="00BB33A6"/>
    <w:rsid w:val="00BB4B11"/>
    <w:rsid w:val="00BC2A07"/>
    <w:rsid w:val="00BC4D32"/>
    <w:rsid w:val="00BC5014"/>
    <w:rsid w:val="00BD1C01"/>
    <w:rsid w:val="00BD343A"/>
    <w:rsid w:val="00BD4970"/>
    <w:rsid w:val="00BD4B20"/>
    <w:rsid w:val="00BD6BD9"/>
    <w:rsid w:val="00BE6DBD"/>
    <w:rsid w:val="00BE7F63"/>
    <w:rsid w:val="00BF2E08"/>
    <w:rsid w:val="00BF685D"/>
    <w:rsid w:val="00BF7276"/>
    <w:rsid w:val="00C02334"/>
    <w:rsid w:val="00C063E0"/>
    <w:rsid w:val="00C265C3"/>
    <w:rsid w:val="00C313EF"/>
    <w:rsid w:val="00C31CDD"/>
    <w:rsid w:val="00C33CC2"/>
    <w:rsid w:val="00C36909"/>
    <w:rsid w:val="00C474DF"/>
    <w:rsid w:val="00C558E2"/>
    <w:rsid w:val="00C559BC"/>
    <w:rsid w:val="00C76E84"/>
    <w:rsid w:val="00C80ECF"/>
    <w:rsid w:val="00CC345A"/>
    <w:rsid w:val="00CD07EB"/>
    <w:rsid w:val="00CD5699"/>
    <w:rsid w:val="00CE5DBA"/>
    <w:rsid w:val="00D022CD"/>
    <w:rsid w:val="00D1566E"/>
    <w:rsid w:val="00D173B0"/>
    <w:rsid w:val="00D21F1E"/>
    <w:rsid w:val="00D31A91"/>
    <w:rsid w:val="00D3764D"/>
    <w:rsid w:val="00D37F3F"/>
    <w:rsid w:val="00D40F46"/>
    <w:rsid w:val="00D5100C"/>
    <w:rsid w:val="00D51BF9"/>
    <w:rsid w:val="00D52C42"/>
    <w:rsid w:val="00D56F69"/>
    <w:rsid w:val="00D62EEF"/>
    <w:rsid w:val="00D63D3B"/>
    <w:rsid w:val="00D63D65"/>
    <w:rsid w:val="00D703F2"/>
    <w:rsid w:val="00D802B5"/>
    <w:rsid w:val="00D80E85"/>
    <w:rsid w:val="00D839CD"/>
    <w:rsid w:val="00D85033"/>
    <w:rsid w:val="00D858BC"/>
    <w:rsid w:val="00D85E92"/>
    <w:rsid w:val="00D93193"/>
    <w:rsid w:val="00D9420A"/>
    <w:rsid w:val="00D96547"/>
    <w:rsid w:val="00DA296F"/>
    <w:rsid w:val="00DA3EA8"/>
    <w:rsid w:val="00DB4AEA"/>
    <w:rsid w:val="00DB52D0"/>
    <w:rsid w:val="00DB5B97"/>
    <w:rsid w:val="00DC050C"/>
    <w:rsid w:val="00DC70EA"/>
    <w:rsid w:val="00DD02A8"/>
    <w:rsid w:val="00DD0CF2"/>
    <w:rsid w:val="00DD0F23"/>
    <w:rsid w:val="00DD48F5"/>
    <w:rsid w:val="00DD6C38"/>
    <w:rsid w:val="00DF12E6"/>
    <w:rsid w:val="00DF3B7B"/>
    <w:rsid w:val="00DF5D2B"/>
    <w:rsid w:val="00E02E14"/>
    <w:rsid w:val="00E20DC0"/>
    <w:rsid w:val="00E225AF"/>
    <w:rsid w:val="00E24C8D"/>
    <w:rsid w:val="00E32B35"/>
    <w:rsid w:val="00E331C7"/>
    <w:rsid w:val="00E36AB3"/>
    <w:rsid w:val="00E41D92"/>
    <w:rsid w:val="00E47729"/>
    <w:rsid w:val="00E532BF"/>
    <w:rsid w:val="00E53651"/>
    <w:rsid w:val="00E54280"/>
    <w:rsid w:val="00E56A0F"/>
    <w:rsid w:val="00E63F8B"/>
    <w:rsid w:val="00E7267D"/>
    <w:rsid w:val="00E9727B"/>
    <w:rsid w:val="00E97A70"/>
    <w:rsid w:val="00EB36AB"/>
    <w:rsid w:val="00EB5AC6"/>
    <w:rsid w:val="00EB78A5"/>
    <w:rsid w:val="00EC3AEC"/>
    <w:rsid w:val="00EE3162"/>
    <w:rsid w:val="00EF1E66"/>
    <w:rsid w:val="00EF244C"/>
    <w:rsid w:val="00EF25E6"/>
    <w:rsid w:val="00EF5F4C"/>
    <w:rsid w:val="00F0570B"/>
    <w:rsid w:val="00F07321"/>
    <w:rsid w:val="00F11AFF"/>
    <w:rsid w:val="00F11D24"/>
    <w:rsid w:val="00F15888"/>
    <w:rsid w:val="00F21AE1"/>
    <w:rsid w:val="00F23BEB"/>
    <w:rsid w:val="00F30015"/>
    <w:rsid w:val="00F311ED"/>
    <w:rsid w:val="00F32754"/>
    <w:rsid w:val="00F37477"/>
    <w:rsid w:val="00F409B0"/>
    <w:rsid w:val="00F40B6F"/>
    <w:rsid w:val="00F44A38"/>
    <w:rsid w:val="00F5232C"/>
    <w:rsid w:val="00F54876"/>
    <w:rsid w:val="00F601A4"/>
    <w:rsid w:val="00F62DEF"/>
    <w:rsid w:val="00F67294"/>
    <w:rsid w:val="00F70267"/>
    <w:rsid w:val="00F73219"/>
    <w:rsid w:val="00F73FC7"/>
    <w:rsid w:val="00F74F00"/>
    <w:rsid w:val="00F77FF9"/>
    <w:rsid w:val="00F92A25"/>
    <w:rsid w:val="00F95798"/>
    <w:rsid w:val="00F97B77"/>
    <w:rsid w:val="00F97FFA"/>
    <w:rsid w:val="00FA3B00"/>
    <w:rsid w:val="00FA70E1"/>
    <w:rsid w:val="00FB7BA0"/>
    <w:rsid w:val="00FC59E6"/>
    <w:rsid w:val="00FD7929"/>
    <w:rsid w:val="00FE5052"/>
    <w:rsid w:val="00FF220A"/>
    <w:rsid w:val="00FF38F0"/>
    <w:rsid w:val="00FF70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1C5EA2"/>
  <w15:chartTrackingRefBased/>
  <w15:docId w15:val="{C0FFE3A7-151D-4EFF-9114-9F8D9FAF3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0B6F"/>
  </w:style>
  <w:style w:type="paragraph" w:styleId="1">
    <w:name w:val="heading 1"/>
    <w:basedOn w:val="a"/>
    <w:next w:val="a"/>
    <w:link w:val="10"/>
    <w:qFormat/>
    <w:rsid w:val="00E53651"/>
    <w:pPr>
      <w:widowControl w:val="0"/>
      <w:spacing w:line="320" w:lineRule="exact"/>
      <w:jc w:val="both"/>
      <w:outlineLvl w:val="0"/>
    </w:pPr>
    <w:rPr>
      <w:rFonts w:ascii="Century" w:eastAsia="ＭＳ 明朝" w:hAnsi="Century" w:cs="Times New Roman"/>
      <w:szCs w:val="24"/>
    </w:rPr>
  </w:style>
  <w:style w:type="paragraph" w:styleId="2">
    <w:name w:val="heading 2"/>
    <w:basedOn w:val="a"/>
    <w:next w:val="a"/>
    <w:link w:val="20"/>
    <w:qFormat/>
    <w:rsid w:val="00E53651"/>
    <w:pPr>
      <w:keepNext/>
      <w:widowControl w:val="0"/>
      <w:jc w:val="both"/>
      <w:outlineLvl w:val="1"/>
    </w:pPr>
    <w:rPr>
      <w:rFonts w:ascii="Arial" w:eastAsia="ＭＳ 明朝" w:hAnsi="Arial" w:cs="Times New Roman"/>
      <w:sz w:val="22"/>
      <w:szCs w:val="24"/>
    </w:rPr>
  </w:style>
  <w:style w:type="paragraph" w:styleId="3">
    <w:name w:val="heading 3"/>
    <w:basedOn w:val="a"/>
    <w:next w:val="a"/>
    <w:link w:val="30"/>
    <w:qFormat/>
    <w:rsid w:val="00E53651"/>
    <w:pPr>
      <w:keepNext/>
      <w:widowControl w:val="0"/>
      <w:jc w:val="both"/>
      <w:outlineLvl w:val="2"/>
    </w:pPr>
    <w:rPr>
      <w:rFonts w:ascii="Arial" w:eastAsia="ＭＳ ゴシック" w:hAnsi="Arial" w:cs="Times New Roman"/>
      <w:sz w:val="21"/>
      <w:szCs w:val="24"/>
    </w:rPr>
  </w:style>
  <w:style w:type="paragraph" w:styleId="40">
    <w:name w:val="heading 4"/>
    <w:basedOn w:val="a"/>
    <w:next w:val="a"/>
    <w:link w:val="41"/>
    <w:qFormat/>
    <w:rsid w:val="00E53651"/>
    <w:pPr>
      <w:widowControl w:val="0"/>
      <w:jc w:val="both"/>
      <w:outlineLvl w:val="3"/>
    </w:pPr>
    <w:rPr>
      <w:rFonts w:ascii="Century" w:eastAsia="ＭＳ 明朝" w:hAnsi="Century" w:cs="Times New Roman"/>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90248"/>
    <w:pPr>
      <w:tabs>
        <w:tab w:val="center" w:pos="4252"/>
        <w:tab w:val="right" w:pos="8504"/>
      </w:tabs>
      <w:snapToGrid w:val="0"/>
    </w:pPr>
  </w:style>
  <w:style w:type="character" w:customStyle="1" w:styleId="a4">
    <w:name w:val="ヘッダー (文字)"/>
    <w:basedOn w:val="a0"/>
    <w:link w:val="a3"/>
    <w:uiPriority w:val="99"/>
    <w:rsid w:val="00A90248"/>
  </w:style>
  <w:style w:type="paragraph" w:styleId="a5">
    <w:name w:val="footer"/>
    <w:basedOn w:val="a"/>
    <w:link w:val="a6"/>
    <w:unhideWhenUsed/>
    <w:rsid w:val="00A90248"/>
    <w:pPr>
      <w:tabs>
        <w:tab w:val="center" w:pos="4252"/>
        <w:tab w:val="right" w:pos="8504"/>
      </w:tabs>
      <w:snapToGrid w:val="0"/>
    </w:pPr>
  </w:style>
  <w:style w:type="character" w:customStyle="1" w:styleId="a6">
    <w:name w:val="フッター (文字)"/>
    <w:basedOn w:val="a0"/>
    <w:link w:val="a5"/>
    <w:rsid w:val="00A90248"/>
  </w:style>
  <w:style w:type="character" w:styleId="a7">
    <w:name w:val="line number"/>
    <w:basedOn w:val="a0"/>
    <w:uiPriority w:val="99"/>
    <w:semiHidden/>
    <w:unhideWhenUsed/>
    <w:rsid w:val="002819E2"/>
  </w:style>
  <w:style w:type="paragraph" w:customStyle="1" w:styleId="EndNoteBibliographyTitle">
    <w:name w:val="EndNote Bibliography Title"/>
    <w:basedOn w:val="a"/>
    <w:link w:val="EndNoteBibliographyTitle0"/>
    <w:rsid w:val="002819E2"/>
    <w:pPr>
      <w:jc w:val="center"/>
    </w:pPr>
    <w:rPr>
      <w:rFonts w:cs="Times New Roman"/>
      <w:noProof/>
    </w:rPr>
  </w:style>
  <w:style w:type="character" w:customStyle="1" w:styleId="EndNoteBibliographyTitle0">
    <w:name w:val="EndNote Bibliography Title (文字)"/>
    <w:basedOn w:val="a0"/>
    <w:link w:val="EndNoteBibliographyTitle"/>
    <w:rsid w:val="002819E2"/>
    <w:rPr>
      <w:rFonts w:cs="Times New Roman"/>
      <w:noProof/>
    </w:rPr>
  </w:style>
  <w:style w:type="paragraph" w:customStyle="1" w:styleId="EndNoteBibliography">
    <w:name w:val="EndNote Bibliography"/>
    <w:basedOn w:val="a"/>
    <w:link w:val="EndNoteBibliography0"/>
    <w:rsid w:val="002819E2"/>
    <w:pPr>
      <w:spacing w:line="360" w:lineRule="auto"/>
    </w:pPr>
    <w:rPr>
      <w:rFonts w:cs="Times New Roman"/>
      <w:noProof/>
    </w:rPr>
  </w:style>
  <w:style w:type="character" w:customStyle="1" w:styleId="EndNoteBibliography0">
    <w:name w:val="EndNote Bibliography (文字)"/>
    <w:basedOn w:val="a0"/>
    <w:link w:val="EndNoteBibliography"/>
    <w:rsid w:val="002819E2"/>
    <w:rPr>
      <w:rFonts w:cs="Times New Roman"/>
      <w:noProof/>
    </w:rPr>
  </w:style>
  <w:style w:type="character" w:customStyle="1" w:styleId="10">
    <w:name w:val="見出し 1 (文字)"/>
    <w:basedOn w:val="a0"/>
    <w:link w:val="1"/>
    <w:rsid w:val="00E53651"/>
    <w:rPr>
      <w:rFonts w:ascii="Century" w:eastAsia="ＭＳ 明朝" w:hAnsi="Century" w:cs="Times New Roman"/>
      <w:szCs w:val="24"/>
    </w:rPr>
  </w:style>
  <w:style w:type="character" w:customStyle="1" w:styleId="20">
    <w:name w:val="見出し 2 (文字)"/>
    <w:basedOn w:val="a0"/>
    <w:link w:val="2"/>
    <w:rsid w:val="00E53651"/>
    <w:rPr>
      <w:rFonts w:ascii="Arial" w:eastAsia="ＭＳ 明朝" w:hAnsi="Arial" w:cs="Times New Roman"/>
      <w:sz w:val="22"/>
      <w:szCs w:val="24"/>
    </w:rPr>
  </w:style>
  <w:style w:type="character" w:customStyle="1" w:styleId="30">
    <w:name w:val="見出し 3 (文字)"/>
    <w:basedOn w:val="a0"/>
    <w:link w:val="3"/>
    <w:rsid w:val="00E53651"/>
    <w:rPr>
      <w:rFonts w:ascii="Arial" w:eastAsia="ＭＳ ゴシック" w:hAnsi="Arial" w:cs="Times New Roman"/>
      <w:sz w:val="21"/>
      <w:szCs w:val="24"/>
    </w:rPr>
  </w:style>
  <w:style w:type="character" w:customStyle="1" w:styleId="41">
    <w:name w:val="見出し 4 (文字)"/>
    <w:basedOn w:val="a0"/>
    <w:link w:val="40"/>
    <w:rsid w:val="00E53651"/>
    <w:rPr>
      <w:rFonts w:ascii="Century" w:eastAsia="ＭＳ 明朝" w:hAnsi="Century" w:cs="Times New Roman"/>
      <w:sz w:val="21"/>
      <w:szCs w:val="24"/>
    </w:rPr>
  </w:style>
  <w:style w:type="table" w:customStyle="1" w:styleId="11">
    <w:name w:val="表の書式1"/>
    <w:basedOn w:val="a8"/>
    <w:rsid w:val="00E53651"/>
    <w:tblPr/>
  </w:style>
  <w:style w:type="table" w:styleId="a8">
    <w:name w:val="Table Grid"/>
    <w:basedOn w:val="a1"/>
    <w:rsid w:val="00E5365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Plain Text"/>
    <w:basedOn w:val="a"/>
    <w:link w:val="aa"/>
    <w:rsid w:val="00E53651"/>
    <w:pPr>
      <w:widowControl w:val="0"/>
      <w:jc w:val="both"/>
    </w:pPr>
    <w:rPr>
      <w:rFonts w:ascii="ＭＳ 明朝" w:eastAsia="ＭＳ 明朝" w:hAnsi="Times" w:cs="Times New Roman"/>
      <w:szCs w:val="20"/>
    </w:rPr>
  </w:style>
  <w:style w:type="character" w:customStyle="1" w:styleId="aa">
    <w:name w:val="書式なし (文字)"/>
    <w:basedOn w:val="a0"/>
    <w:link w:val="a9"/>
    <w:rsid w:val="00E53651"/>
    <w:rPr>
      <w:rFonts w:ascii="ＭＳ 明朝" w:eastAsia="ＭＳ 明朝" w:hAnsi="Times" w:cs="Times New Roman"/>
      <w:szCs w:val="20"/>
    </w:rPr>
  </w:style>
  <w:style w:type="character" w:styleId="ab">
    <w:name w:val="page number"/>
    <w:basedOn w:val="a0"/>
    <w:rsid w:val="00E53651"/>
  </w:style>
  <w:style w:type="paragraph" w:styleId="ac">
    <w:name w:val="Balloon Text"/>
    <w:basedOn w:val="a"/>
    <w:link w:val="ad"/>
    <w:semiHidden/>
    <w:rsid w:val="00E53651"/>
    <w:pPr>
      <w:widowControl w:val="0"/>
      <w:jc w:val="both"/>
    </w:pPr>
    <w:rPr>
      <w:rFonts w:ascii="Arial" w:eastAsia="ＭＳ ゴシック" w:hAnsi="Arial" w:cs="Times New Roman"/>
      <w:sz w:val="18"/>
      <w:szCs w:val="18"/>
    </w:rPr>
  </w:style>
  <w:style w:type="character" w:customStyle="1" w:styleId="ad">
    <w:name w:val="吹き出し (文字)"/>
    <w:basedOn w:val="a0"/>
    <w:link w:val="ac"/>
    <w:semiHidden/>
    <w:rsid w:val="00E53651"/>
    <w:rPr>
      <w:rFonts w:ascii="Arial" w:eastAsia="ＭＳ ゴシック" w:hAnsi="Arial" w:cs="Times New Roman"/>
      <w:sz w:val="18"/>
      <w:szCs w:val="18"/>
    </w:rPr>
  </w:style>
  <w:style w:type="paragraph" w:customStyle="1" w:styleId="12">
    <w:name w:val="スタイル1"/>
    <w:basedOn w:val="3"/>
    <w:rsid w:val="00E53651"/>
    <w:rPr>
      <w:rFonts w:eastAsia="ＭＳ 明朝"/>
    </w:rPr>
  </w:style>
  <w:style w:type="paragraph" w:customStyle="1" w:styleId="21">
    <w:name w:val="スタイル2"/>
    <w:basedOn w:val="3"/>
    <w:rsid w:val="00E53651"/>
    <w:rPr>
      <w:rFonts w:eastAsia="ＭＳ 明朝"/>
    </w:rPr>
  </w:style>
  <w:style w:type="paragraph" w:customStyle="1" w:styleId="31">
    <w:name w:val="スタイル3"/>
    <w:basedOn w:val="3"/>
    <w:rsid w:val="00E53651"/>
    <w:rPr>
      <w:rFonts w:eastAsia="ＭＳ 明朝"/>
    </w:rPr>
  </w:style>
  <w:style w:type="paragraph" w:customStyle="1" w:styleId="32">
    <w:name w:val="スタイル 見出し 3 + ＭＳ Ｐ明朝"/>
    <w:basedOn w:val="3"/>
    <w:rsid w:val="00E53651"/>
    <w:rPr>
      <w:rFonts w:ascii="ＭＳ Ｐ明朝" w:eastAsia="ＭＳ 明朝" w:hAnsi="ＭＳ Ｐ明朝"/>
    </w:rPr>
  </w:style>
  <w:style w:type="paragraph" w:customStyle="1" w:styleId="30mm0mm">
    <w:name w:val="スタイル 見出し 3 + ＭＳ Ｐ明朝 左 :  0 mm 最初の行 :  0 mm"/>
    <w:basedOn w:val="3"/>
    <w:rsid w:val="00E53651"/>
    <w:rPr>
      <w:rFonts w:ascii="ＭＳ Ｐ明朝" w:eastAsia="ＭＳ 明朝" w:hAnsi="ＭＳ Ｐ明朝" w:cs="ＭＳ 明朝"/>
      <w:szCs w:val="20"/>
    </w:rPr>
  </w:style>
  <w:style w:type="paragraph" w:customStyle="1" w:styleId="13">
    <w:name w:val="スタイル 見出し 1 + ＭＳ Ｐ明朝"/>
    <w:basedOn w:val="1"/>
    <w:rsid w:val="00E53651"/>
    <w:rPr>
      <w:rFonts w:ascii="ＭＳ Ｐ明朝" w:hAnsi="ＭＳ Ｐ明朝"/>
    </w:rPr>
  </w:style>
  <w:style w:type="character" w:styleId="ae">
    <w:name w:val="Hyperlink"/>
    <w:uiPriority w:val="99"/>
    <w:rsid w:val="00E53651"/>
    <w:rPr>
      <w:color w:val="0000FF"/>
      <w:u w:val="single"/>
    </w:rPr>
  </w:style>
  <w:style w:type="paragraph" w:customStyle="1" w:styleId="169mm">
    <w:name w:val="スタイル 最初の行 :  16.9 mm"/>
    <w:basedOn w:val="a"/>
    <w:rsid w:val="00E53651"/>
    <w:pPr>
      <w:widowControl w:val="0"/>
      <w:ind w:firstLine="227"/>
      <w:jc w:val="both"/>
    </w:pPr>
    <w:rPr>
      <w:rFonts w:ascii="Times" w:eastAsia="ＭＳ 明朝" w:hAnsi="Times" w:cs="Times New Roman"/>
      <w:szCs w:val="20"/>
    </w:rPr>
  </w:style>
  <w:style w:type="paragraph" w:customStyle="1" w:styleId="level2">
    <w:name w:val="level2"/>
    <w:basedOn w:val="a"/>
    <w:rsid w:val="00E53651"/>
    <w:pPr>
      <w:widowControl w:val="0"/>
      <w:adjustRightInd w:val="0"/>
      <w:ind w:left="360"/>
      <w:jc w:val="both"/>
      <w:textAlignment w:val="baseline"/>
    </w:pPr>
    <w:rPr>
      <w:rFonts w:ascii="ＭＳ 明朝" w:eastAsia="HG丸ｺﾞｼｯｸM-PRO" w:hAnsi="Courier New" w:cs="Times New Roman"/>
      <w:sz w:val="20"/>
      <w:szCs w:val="24"/>
    </w:rPr>
  </w:style>
  <w:style w:type="paragraph" w:styleId="14">
    <w:name w:val="toc 1"/>
    <w:basedOn w:val="a"/>
    <w:next w:val="a"/>
    <w:autoRedefine/>
    <w:uiPriority w:val="39"/>
    <w:rsid w:val="00E53651"/>
    <w:pPr>
      <w:widowControl w:val="0"/>
      <w:tabs>
        <w:tab w:val="left" w:pos="420"/>
        <w:tab w:val="right" w:leader="dot" w:pos="8494"/>
      </w:tabs>
      <w:spacing w:line="340" w:lineRule="exact"/>
    </w:pPr>
    <w:rPr>
      <w:rFonts w:ascii="Century" w:eastAsia="ＭＳ 明朝" w:hAnsi="Century" w:cs="Times New Roman"/>
      <w:sz w:val="21"/>
      <w:szCs w:val="24"/>
    </w:rPr>
  </w:style>
  <w:style w:type="paragraph" w:styleId="22">
    <w:name w:val="toc 2"/>
    <w:basedOn w:val="a"/>
    <w:next w:val="a"/>
    <w:autoRedefine/>
    <w:uiPriority w:val="39"/>
    <w:rsid w:val="00E53651"/>
    <w:pPr>
      <w:widowControl w:val="0"/>
      <w:tabs>
        <w:tab w:val="left" w:pos="840"/>
        <w:tab w:val="right" w:leader="dot" w:pos="8494"/>
      </w:tabs>
      <w:spacing w:line="340" w:lineRule="exact"/>
      <w:ind w:leftChars="100" w:left="210"/>
    </w:pPr>
    <w:rPr>
      <w:rFonts w:ascii="Century" w:eastAsia="ＭＳ 明朝" w:hAnsi="Century" w:cs="Times New Roman"/>
      <w:sz w:val="21"/>
      <w:szCs w:val="24"/>
    </w:rPr>
  </w:style>
  <w:style w:type="character" w:customStyle="1" w:styleId="a10">
    <w:name w:val="a1"/>
    <w:basedOn w:val="a0"/>
    <w:rsid w:val="00E53651"/>
  </w:style>
  <w:style w:type="paragraph" w:customStyle="1" w:styleId="af">
    <w:name w:val="一太郎８/９"/>
    <w:rsid w:val="00E53651"/>
    <w:pPr>
      <w:widowControl w:val="0"/>
      <w:wordWrap w:val="0"/>
      <w:autoSpaceDE w:val="0"/>
      <w:autoSpaceDN w:val="0"/>
      <w:adjustRightInd w:val="0"/>
      <w:spacing w:line="284" w:lineRule="atLeast"/>
      <w:jc w:val="both"/>
    </w:pPr>
    <w:rPr>
      <w:rFonts w:eastAsia="ＭＳ 明朝" w:cs="Times New Roman"/>
      <w:spacing w:val="-1"/>
      <w:kern w:val="0"/>
      <w:szCs w:val="20"/>
    </w:rPr>
  </w:style>
  <w:style w:type="paragraph" w:styleId="af0">
    <w:name w:val="List Paragraph"/>
    <w:basedOn w:val="a"/>
    <w:uiPriority w:val="34"/>
    <w:qFormat/>
    <w:rsid w:val="00E53651"/>
    <w:pPr>
      <w:widowControl w:val="0"/>
      <w:ind w:leftChars="400" w:left="840"/>
      <w:jc w:val="both"/>
    </w:pPr>
    <w:rPr>
      <w:rFonts w:ascii="Century" w:eastAsia="ＭＳ 明朝" w:hAnsi="Century" w:cs="Times New Roman"/>
      <w:sz w:val="21"/>
    </w:rPr>
  </w:style>
  <w:style w:type="character" w:styleId="af1">
    <w:name w:val="Emphasis"/>
    <w:uiPriority w:val="20"/>
    <w:qFormat/>
    <w:rsid w:val="00E53651"/>
    <w:rPr>
      <w:i/>
      <w:iCs/>
    </w:rPr>
  </w:style>
  <w:style w:type="character" w:customStyle="1" w:styleId="ti2">
    <w:name w:val="ti2"/>
    <w:rsid w:val="00E53651"/>
    <w:rPr>
      <w:sz w:val="22"/>
      <w:szCs w:val="22"/>
    </w:rPr>
  </w:style>
  <w:style w:type="numbering" w:customStyle="1" w:styleId="4">
    <w:name w:val="スタイル4"/>
    <w:rsid w:val="00E53651"/>
    <w:pPr>
      <w:numPr>
        <w:numId w:val="5"/>
      </w:numPr>
    </w:pPr>
  </w:style>
  <w:style w:type="numbering" w:customStyle="1" w:styleId="5">
    <w:name w:val="スタイル5"/>
    <w:rsid w:val="00E53651"/>
    <w:pPr>
      <w:numPr>
        <w:numId w:val="6"/>
      </w:numPr>
    </w:pPr>
  </w:style>
  <w:style w:type="numbering" w:customStyle="1" w:styleId="6">
    <w:name w:val="スタイル6"/>
    <w:rsid w:val="00E53651"/>
    <w:pPr>
      <w:numPr>
        <w:numId w:val="8"/>
      </w:numPr>
    </w:pPr>
  </w:style>
  <w:style w:type="numbering" w:customStyle="1" w:styleId="7">
    <w:name w:val="スタイル7"/>
    <w:rsid w:val="00E53651"/>
    <w:pPr>
      <w:numPr>
        <w:numId w:val="9"/>
      </w:numPr>
    </w:pPr>
  </w:style>
  <w:style w:type="numbering" w:customStyle="1" w:styleId="8">
    <w:name w:val="スタイル8"/>
    <w:rsid w:val="00E53651"/>
    <w:pPr>
      <w:numPr>
        <w:numId w:val="10"/>
      </w:numPr>
    </w:pPr>
  </w:style>
  <w:style w:type="character" w:styleId="af2">
    <w:name w:val="annotation reference"/>
    <w:uiPriority w:val="99"/>
    <w:semiHidden/>
    <w:unhideWhenUsed/>
    <w:rsid w:val="00E53651"/>
    <w:rPr>
      <w:sz w:val="18"/>
      <w:szCs w:val="18"/>
    </w:rPr>
  </w:style>
  <w:style w:type="paragraph" w:styleId="af3">
    <w:name w:val="annotation text"/>
    <w:basedOn w:val="a"/>
    <w:link w:val="af4"/>
    <w:uiPriority w:val="99"/>
    <w:semiHidden/>
    <w:unhideWhenUsed/>
    <w:rsid w:val="00E53651"/>
    <w:pPr>
      <w:widowControl w:val="0"/>
    </w:pPr>
    <w:rPr>
      <w:rFonts w:ascii="Century" w:eastAsia="ＭＳ 明朝" w:hAnsi="Century" w:cs="Times New Roman"/>
      <w:sz w:val="21"/>
      <w:szCs w:val="24"/>
    </w:rPr>
  </w:style>
  <w:style w:type="character" w:customStyle="1" w:styleId="af4">
    <w:name w:val="コメント文字列 (文字)"/>
    <w:basedOn w:val="a0"/>
    <w:link w:val="af3"/>
    <w:uiPriority w:val="99"/>
    <w:semiHidden/>
    <w:rsid w:val="00E53651"/>
    <w:rPr>
      <w:rFonts w:ascii="Century" w:eastAsia="ＭＳ 明朝" w:hAnsi="Century" w:cs="Times New Roman"/>
      <w:sz w:val="21"/>
      <w:szCs w:val="24"/>
    </w:rPr>
  </w:style>
  <w:style w:type="paragraph" w:styleId="af5">
    <w:name w:val="Document Map"/>
    <w:basedOn w:val="a"/>
    <w:link w:val="af6"/>
    <w:semiHidden/>
    <w:rsid w:val="00E53651"/>
    <w:pPr>
      <w:widowControl w:val="0"/>
      <w:shd w:val="clear" w:color="auto" w:fill="000080"/>
      <w:jc w:val="both"/>
    </w:pPr>
    <w:rPr>
      <w:rFonts w:ascii="Arial" w:eastAsia="ＭＳ ゴシック" w:hAnsi="Arial" w:cs="Times New Roman"/>
      <w:sz w:val="21"/>
      <w:szCs w:val="24"/>
    </w:rPr>
  </w:style>
  <w:style w:type="character" w:customStyle="1" w:styleId="af6">
    <w:name w:val="見出しマップ (文字)"/>
    <w:basedOn w:val="a0"/>
    <w:link w:val="af5"/>
    <w:semiHidden/>
    <w:rsid w:val="00E53651"/>
    <w:rPr>
      <w:rFonts w:ascii="Arial" w:eastAsia="ＭＳ ゴシック" w:hAnsi="Arial" w:cs="Times New Roman"/>
      <w:sz w:val="21"/>
      <w:szCs w:val="24"/>
      <w:shd w:val="clear" w:color="auto" w:fill="000080"/>
    </w:rPr>
  </w:style>
  <w:style w:type="paragraph" w:styleId="af7">
    <w:name w:val="Revision"/>
    <w:hidden/>
    <w:uiPriority w:val="99"/>
    <w:semiHidden/>
    <w:rsid w:val="00E53651"/>
    <w:rPr>
      <w:rFonts w:ascii="Century" w:eastAsia="ＭＳ 明朝" w:hAnsi="Century" w:cs="Times New Roman"/>
      <w:sz w:val="21"/>
      <w:szCs w:val="24"/>
    </w:rPr>
  </w:style>
  <w:style w:type="paragraph" w:styleId="Web">
    <w:name w:val="Normal (Web)"/>
    <w:basedOn w:val="a"/>
    <w:uiPriority w:val="99"/>
    <w:unhideWhenUsed/>
    <w:rsid w:val="00E53651"/>
    <w:pPr>
      <w:spacing w:before="100" w:beforeAutospacing="1" w:after="100" w:afterAutospacing="1"/>
    </w:pPr>
    <w:rPr>
      <w:rFonts w:ascii="ＭＳ Ｐゴシック" w:eastAsia="ＭＳ Ｐゴシック" w:hAnsi="ＭＳ Ｐゴシック" w:cs="ＭＳ Ｐゴシック"/>
      <w:kern w:val="0"/>
      <w:szCs w:val="24"/>
    </w:rPr>
  </w:style>
  <w:style w:type="character" w:customStyle="1" w:styleId="apple-converted-space">
    <w:name w:val="apple-converted-space"/>
    <w:basedOn w:val="a0"/>
    <w:rsid w:val="00E53651"/>
  </w:style>
  <w:style w:type="character" w:styleId="af8">
    <w:name w:val="Unresolved Mention"/>
    <w:basedOn w:val="a0"/>
    <w:uiPriority w:val="99"/>
    <w:semiHidden/>
    <w:unhideWhenUsed/>
    <w:rsid w:val="003857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736</TotalTime>
  <Pages>12</Pages>
  <Words>1357</Words>
  <Characters>7740</Characters>
  <Application>Microsoft Office Word</Application>
  <DocSecurity>0</DocSecurity>
  <Lines>64</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dc:creator>
  <cp:keywords/>
  <dc:description/>
  <cp:lastModifiedBy>敏 崎間</cp:lastModifiedBy>
  <cp:revision>390</cp:revision>
  <cp:lastPrinted>2024-08-20T01:42:00Z</cp:lastPrinted>
  <dcterms:created xsi:type="dcterms:W3CDTF">2022-12-07T04:42:00Z</dcterms:created>
  <dcterms:modified xsi:type="dcterms:W3CDTF">2026-07-09T05:35:00Z</dcterms:modified>
</cp:coreProperties>
</file>