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i w:val="0"/>
          <w:sz w:val="28"/>
        </w:rPr>
        <w:t>Supplementary Information</w:t>
      </w:r>
    </w:p>
    <w:p>
      <w:r>
        <w:rPr>
          <w:b/>
          <w:i w:val="0"/>
        </w:rPr>
        <w:t>Nicotine-only, THC-only, and dual vaping are not exchangeable: how exposure composition determines the pooled "vaping"–anxiety association (2024 NSDUH)</w:t>
      </w:r>
    </w:p>
    <w:p>
      <w:r>
        <w:rPr>
          <w:b w:val="0"/>
          <w:i w:val="0"/>
        </w:rPr>
        <w:t>Unless noted, estimates are survey-weighted adjusted odds ratios (aOR) with 95% confidence intervals, design-based (Taylor linearization; strata VESTR_C, primary sampling unit VEREP, weight ANALWT2_C), adjusted for age category, sex, race/ethnicity, education, poverty level, marital status, health insurance, past-month cigarette use, and past-month alcohol use. Reference group = non-vapers. Confidence intervals in Tables S1–S4 use a normal approximation (as in the posted preprint); intervals in Tables S5–S6, added in the present version, use t distributions on the model-specific residual degrees of freedom. The primary four-group model, its pairwise contrasts, and the pooled model were independently reproduced in a second implementation (Python, de novo Taylor-linearization estimator) with agreement to below 1×10⁻⁴; primary and sensitivity point estimates had earlier been reproduced to two decimal places in a separate implementation. Tables S5–S6 report single-implementation results.</w:t>
      </w:r>
    </w:p>
    <w:p>
      <w:pPr>
        <w:pStyle w:val="Heading1"/>
      </w:pPr>
      <w:r>
        <w:rPr>
          <w:rFonts w:ascii="Times New Roman" w:hAnsi="Times New Roman"/>
          <w:b/>
          <w:i w:val="0"/>
          <w:sz w:val="26"/>
        </w:rPr>
        <w:t>Supplementary Table S1. Exposure-recency robustness (three-group measure)</w:t>
      </w:r>
    </w:p>
    <w:tbl>
      <w:tblPr>
        <w:tblStyle w:val="TableGrid"/>
        <w:tblW w:type="auto" w:w="0"/>
        <w:tblLayout w:type="autofit"/>
        <w:tblLook w:firstColumn="1" w:firstRow="1" w:lastColumn="0" w:lastRow="0" w:noHBand="0" w:noVBand="1" w:val="04A0"/>
      </w:tblPr>
      <w:tblGrid>
        <w:gridCol w:w="2880"/>
        <w:gridCol w:w="2880"/>
        <w:gridCol w:w="2880"/>
      </w:tblGrid>
      <w:tr>
        <w:trPr>
          <w:cantSplit/>
          <w:tblHeader/>
        </w:trPr>
        <w:tc>
          <w:tcPr>
            <w:tcW w:type="dxa" w:w="2880"/>
          </w:tcPr>
          <w:p>
            <w:pPr>
              <w:spacing w:line="240" w:lineRule="auto"/>
            </w:pPr>
            <w:r>
              <w:rPr>
                <w:b/>
                <w:i w:val="0"/>
                <w:sz w:val="20"/>
              </w:rPr>
              <w:t>Recency window</w:t>
            </w:r>
          </w:p>
        </w:tc>
        <w:tc>
          <w:tcPr>
            <w:tcW w:type="dxa" w:w="2880"/>
          </w:tcPr>
          <w:p>
            <w:pPr>
              <w:spacing w:line="240" w:lineRule="auto"/>
            </w:pPr>
            <w:r>
              <w:rPr>
                <w:b/>
                <w:i w:val="0"/>
                <w:sz w:val="20"/>
              </w:rPr>
              <w:t>Nicotine-only aOR (95% CI)</w:t>
            </w:r>
          </w:p>
        </w:tc>
        <w:tc>
          <w:tcPr>
            <w:tcW w:type="dxa" w:w="2880"/>
          </w:tcPr>
          <w:p>
            <w:pPr>
              <w:spacing w:line="240" w:lineRule="auto"/>
            </w:pPr>
            <w:r>
              <w:rPr>
                <w:b/>
                <w:i w:val="0"/>
                <w:sz w:val="20"/>
              </w:rPr>
              <w:t>THC vaping aOR (95% CI)</w:t>
            </w:r>
          </w:p>
        </w:tc>
      </w:tr>
      <w:tr>
        <w:trPr>
          <w:cantSplit/>
        </w:trPr>
        <w:tc>
          <w:tcPr>
            <w:tcW w:type="dxa" w:w="2880"/>
          </w:tcPr>
          <w:p>
            <w:pPr>
              <w:spacing w:line="240" w:lineRule="auto"/>
            </w:pPr>
            <w:r>
              <w:rPr>
                <w:b w:val="0"/>
                <w:i w:val="0"/>
                <w:sz w:val="20"/>
              </w:rPr>
              <w:t>Past-month (primary)</w:t>
            </w:r>
          </w:p>
        </w:tc>
        <w:tc>
          <w:tcPr>
            <w:tcW w:type="dxa" w:w="2880"/>
          </w:tcPr>
          <w:p>
            <w:pPr>
              <w:spacing w:line="240" w:lineRule="auto"/>
            </w:pPr>
            <w:r>
              <w:rPr>
                <w:b w:val="0"/>
                <w:i w:val="0"/>
                <w:sz w:val="20"/>
              </w:rPr>
              <w:t>1.65 (1.39–1.96)</w:t>
            </w:r>
          </w:p>
        </w:tc>
        <w:tc>
          <w:tcPr>
            <w:tcW w:type="dxa" w:w="2880"/>
          </w:tcPr>
          <w:p>
            <w:pPr>
              <w:spacing w:line="240" w:lineRule="auto"/>
            </w:pPr>
            <w:r>
              <w:rPr>
                <w:b w:val="0"/>
                <w:i w:val="0"/>
                <w:sz w:val="20"/>
              </w:rPr>
              <w:t>2.34 (1.96–2.78)</w:t>
            </w:r>
          </w:p>
        </w:tc>
      </w:tr>
      <w:tr>
        <w:trPr>
          <w:cantSplit/>
        </w:trPr>
        <w:tc>
          <w:tcPr>
            <w:tcW w:type="dxa" w:w="2880"/>
          </w:tcPr>
          <w:p>
            <w:pPr>
              <w:spacing w:line="240" w:lineRule="auto"/>
            </w:pPr>
            <w:r>
              <w:rPr>
                <w:b w:val="0"/>
                <w:i w:val="0"/>
                <w:sz w:val="20"/>
              </w:rPr>
              <w:t>Past-year</w:t>
            </w:r>
          </w:p>
        </w:tc>
        <w:tc>
          <w:tcPr>
            <w:tcW w:type="dxa" w:w="2880"/>
          </w:tcPr>
          <w:p>
            <w:pPr>
              <w:spacing w:line="240" w:lineRule="auto"/>
            </w:pPr>
            <w:r>
              <w:rPr>
                <w:b w:val="0"/>
                <w:i w:val="0"/>
                <w:sz w:val="20"/>
              </w:rPr>
              <w:t>1.40 (1.22–1.60)</w:t>
            </w:r>
          </w:p>
        </w:tc>
        <w:tc>
          <w:tcPr>
            <w:tcW w:type="dxa" w:w="2880"/>
          </w:tcPr>
          <w:p>
            <w:pPr>
              <w:spacing w:line="240" w:lineRule="auto"/>
            </w:pPr>
            <w:r>
              <w:rPr>
                <w:b w:val="0"/>
                <w:i w:val="0"/>
                <w:sz w:val="20"/>
              </w:rPr>
              <w:t>2.26 (1.96–2.60)</w:t>
            </w:r>
          </w:p>
        </w:tc>
      </w:tr>
      <w:tr>
        <w:trPr>
          <w:cantSplit/>
        </w:trPr>
        <w:tc>
          <w:tcPr>
            <w:tcW w:type="dxa" w:w="2880"/>
          </w:tcPr>
          <w:p>
            <w:pPr>
              <w:spacing w:line="240" w:lineRule="auto"/>
            </w:pPr>
            <w:r>
              <w:rPr>
                <w:b w:val="0"/>
                <w:i w:val="0"/>
                <w:sz w:val="20"/>
              </w:rPr>
              <w:t>Lifetime</w:t>
            </w:r>
          </w:p>
        </w:tc>
        <w:tc>
          <w:tcPr>
            <w:tcW w:type="dxa" w:w="2880"/>
          </w:tcPr>
          <w:p>
            <w:pPr>
              <w:spacing w:line="240" w:lineRule="auto"/>
            </w:pPr>
            <w:r>
              <w:rPr>
                <w:b w:val="0"/>
                <w:i w:val="0"/>
                <w:sz w:val="20"/>
              </w:rPr>
              <w:t>1.38 (1.13–1.68)</w:t>
            </w:r>
          </w:p>
        </w:tc>
        <w:tc>
          <w:tcPr>
            <w:tcW w:type="dxa" w:w="2880"/>
          </w:tcPr>
          <w:p>
            <w:pPr>
              <w:spacing w:line="240" w:lineRule="auto"/>
            </w:pPr>
            <w:r>
              <w:rPr>
                <w:b w:val="0"/>
                <w:i w:val="0"/>
                <w:sz w:val="20"/>
              </w:rPr>
              <w:t>2.16 (1.84–2.54)</w:t>
            </w:r>
          </w:p>
        </w:tc>
      </w:tr>
    </w:tbl>
    <w:p>
      <w:r>
        <w:rPr>
          <w:b w:val="0"/>
          <w:i w:val="0"/>
        </w:rPr>
        <w:t>Associations point the same direction across windows and are strongest for current (past-month) use, consistent with recent use tracking more closely with recent symptom burden.</w:t>
      </w:r>
    </w:p>
    <w:p>
      <w:pPr>
        <w:pStyle w:val="Heading1"/>
      </w:pPr>
      <w:r>
        <w:rPr>
          <w:rFonts w:ascii="Times New Roman" w:hAnsi="Times New Roman"/>
          <w:b/>
          <w:i w:val="0"/>
          <w:sz w:val="26"/>
        </w:rPr>
        <w:t>Supplementary Table S2. Nicotine vaping intensity (past-30-day days)</w:t>
      </w:r>
    </w:p>
    <w:tbl>
      <w:tblPr>
        <w:tblStyle w:val="TableGrid"/>
        <w:tblW w:type="auto" w:w="0"/>
        <w:tblLayout w:type="autofit"/>
        <w:tblLook w:firstColumn="1" w:firstRow="1" w:lastColumn="0" w:lastRow="0" w:noHBand="0" w:noVBand="1" w:val="04A0"/>
      </w:tblPr>
      <w:tblGrid>
        <w:gridCol w:w="4320"/>
        <w:gridCol w:w="4320"/>
      </w:tblGrid>
      <w:tr>
        <w:trPr>
          <w:cantSplit/>
          <w:tblHeader/>
        </w:trPr>
        <w:tc>
          <w:tcPr>
            <w:tcW w:type="dxa" w:w="4320"/>
          </w:tcPr>
          <w:p>
            <w:pPr>
              <w:spacing w:line="240" w:lineRule="auto"/>
            </w:pPr>
            <w:r>
              <w:rPr>
                <w:b/>
                <w:i w:val="0"/>
                <w:sz w:val="20"/>
              </w:rPr>
              <w:t>Days (ref = 1–5)</w:t>
            </w:r>
          </w:p>
        </w:tc>
        <w:tc>
          <w:tcPr>
            <w:tcW w:type="dxa" w:w="4320"/>
          </w:tcPr>
          <w:p>
            <w:pPr>
              <w:spacing w:line="240" w:lineRule="auto"/>
            </w:pPr>
            <w:r>
              <w:rPr>
                <w:b/>
                <w:i w:val="0"/>
                <w:sz w:val="20"/>
              </w:rPr>
              <w:t>aOR (95% CI)</w:t>
            </w:r>
          </w:p>
        </w:tc>
      </w:tr>
      <w:tr>
        <w:trPr>
          <w:cantSplit/>
        </w:trPr>
        <w:tc>
          <w:tcPr>
            <w:tcW w:type="dxa" w:w="4320"/>
          </w:tcPr>
          <w:p>
            <w:pPr>
              <w:spacing w:line="240" w:lineRule="auto"/>
            </w:pPr>
            <w:r>
              <w:rPr>
                <w:b w:val="0"/>
                <w:i w:val="0"/>
                <w:sz w:val="20"/>
              </w:rPr>
              <w:t>6–20</w:t>
            </w:r>
          </w:p>
        </w:tc>
        <w:tc>
          <w:tcPr>
            <w:tcW w:type="dxa" w:w="4320"/>
          </w:tcPr>
          <w:p>
            <w:pPr>
              <w:spacing w:line="240" w:lineRule="auto"/>
            </w:pPr>
            <w:r>
              <w:rPr>
                <w:b w:val="0"/>
                <w:i w:val="0"/>
                <w:sz w:val="20"/>
              </w:rPr>
              <w:t>0.77 (0.58–1.00); p = 0.064</w:t>
            </w:r>
          </w:p>
        </w:tc>
      </w:tr>
      <w:tr>
        <w:trPr>
          <w:cantSplit/>
        </w:trPr>
        <w:tc>
          <w:tcPr>
            <w:tcW w:type="dxa" w:w="4320"/>
          </w:tcPr>
          <w:p>
            <w:pPr>
              <w:spacing w:line="240" w:lineRule="auto"/>
            </w:pPr>
            <w:r>
              <w:rPr>
                <w:b w:val="0"/>
                <w:i w:val="0"/>
                <w:sz w:val="20"/>
              </w:rPr>
              <w:t>21–30</w:t>
            </w:r>
          </w:p>
        </w:tc>
        <w:tc>
          <w:tcPr>
            <w:tcW w:type="dxa" w:w="4320"/>
          </w:tcPr>
          <w:p>
            <w:pPr>
              <w:spacing w:line="240" w:lineRule="auto"/>
            </w:pPr>
            <w:r>
              <w:rPr>
                <w:b w:val="0"/>
                <w:i w:val="0"/>
                <w:sz w:val="20"/>
              </w:rPr>
              <w:t>1.28 (0.99–1.67); p = 0.075</w:t>
            </w:r>
          </w:p>
        </w:tc>
      </w:tr>
      <w:tr>
        <w:trPr>
          <w:cantSplit/>
        </w:trPr>
        <w:tc>
          <w:tcPr>
            <w:tcW w:type="dxa" w:w="4320"/>
          </w:tcPr>
          <w:p>
            <w:pPr>
              <w:spacing w:line="240" w:lineRule="auto"/>
            </w:pPr>
            <w:r>
              <w:rPr>
                <w:b w:val="0"/>
                <w:i w:val="0"/>
                <w:sz w:val="20"/>
              </w:rPr>
              <w:t>Per-category gradient (ordinal)</w:t>
            </w:r>
          </w:p>
        </w:tc>
        <w:tc>
          <w:tcPr>
            <w:tcW w:type="dxa" w:w="4320"/>
          </w:tcPr>
          <w:p>
            <w:pPr>
              <w:spacing w:line="240" w:lineRule="auto"/>
            </w:pPr>
            <w:r>
              <w:rPr>
                <w:b w:val="0"/>
                <w:i w:val="0"/>
                <w:sz w:val="20"/>
              </w:rPr>
              <w:t>1.17 (1.02–1.34); p = 0.028</w:t>
            </w:r>
          </w:p>
        </w:tc>
      </w:tr>
    </w:tbl>
    <w:p>
      <w:r>
        <w:rPr>
          <w:b w:val="0"/>
          <w:i w:val="0"/>
        </w:rPr>
        <w:t>The per-category gradient was statistically significant, but neither individual category estimate reached significance and the categorical gradient was not strictly monotonic; an independently implemented continuous per-day model concurred in direction. This is reported as an association and should not be interpreted as a clear dose–response relationship.</w:t>
      </w:r>
    </w:p>
    <w:p>
      <w:pPr>
        <w:pStyle w:val="Heading1"/>
      </w:pPr>
      <w:r>
        <w:rPr>
          <w:rFonts w:ascii="Times New Roman" w:hAnsi="Times New Roman"/>
          <w:b/>
          <w:i w:val="0"/>
          <w:sz w:val="26"/>
        </w:rPr>
        <w:t>Supplementary Table S3. Exploratory sex-stratified four-group estimates</w:t>
      </w:r>
    </w:p>
    <w:tbl>
      <w:tblPr>
        <w:tblStyle w:val="TableGrid"/>
        <w:tblW w:type="auto" w:w="0"/>
        <w:tblLayout w:type="autofit"/>
        <w:tblLook w:firstColumn="1" w:firstRow="1" w:lastColumn="0" w:lastRow="0" w:noHBand="0" w:noVBand="1" w:val="04A0"/>
      </w:tblPr>
      <w:tblGrid>
        <w:gridCol w:w="2880"/>
        <w:gridCol w:w="2880"/>
        <w:gridCol w:w="2880"/>
      </w:tblGrid>
      <w:tr>
        <w:trPr>
          <w:cantSplit/>
          <w:tblHeader/>
        </w:trPr>
        <w:tc>
          <w:tcPr>
            <w:tcW w:type="dxa" w:w="2880"/>
          </w:tcPr>
          <w:p>
            <w:pPr>
              <w:spacing w:line="240" w:lineRule="auto"/>
            </w:pPr>
            <w:r>
              <w:rPr>
                <w:b/>
                <w:i w:val="0"/>
                <w:sz w:val="20"/>
              </w:rPr>
              <w:t>Exposure</w:t>
            </w:r>
          </w:p>
        </w:tc>
        <w:tc>
          <w:tcPr>
            <w:tcW w:type="dxa" w:w="2880"/>
          </w:tcPr>
          <w:p>
            <w:pPr>
              <w:spacing w:line="240" w:lineRule="auto"/>
            </w:pPr>
            <w:r>
              <w:rPr>
                <w:b/>
                <w:i w:val="0"/>
                <w:sz w:val="20"/>
              </w:rPr>
              <w:t>Men aOR (95% CI)</w:t>
            </w:r>
          </w:p>
        </w:tc>
        <w:tc>
          <w:tcPr>
            <w:tcW w:type="dxa" w:w="2880"/>
          </w:tcPr>
          <w:p>
            <w:pPr>
              <w:spacing w:line="240" w:lineRule="auto"/>
            </w:pPr>
            <w:r>
              <w:rPr>
                <w:b/>
                <w:i w:val="0"/>
                <w:sz w:val="20"/>
              </w:rPr>
              <w:t>Women aOR (95% CI)</w:t>
            </w:r>
          </w:p>
        </w:tc>
      </w:tr>
      <w:tr>
        <w:trPr>
          <w:cantSplit/>
        </w:trPr>
        <w:tc>
          <w:tcPr>
            <w:tcW w:type="dxa" w:w="2880"/>
          </w:tcPr>
          <w:p>
            <w:pPr>
              <w:spacing w:line="240" w:lineRule="auto"/>
            </w:pPr>
            <w:r>
              <w:rPr>
                <w:b w:val="0"/>
                <w:i w:val="0"/>
                <w:sz w:val="20"/>
              </w:rPr>
              <w:t>Nicotine-only</w:t>
            </w:r>
          </w:p>
        </w:tc>
        <w:tc>
          <w:tcPr>
            <w:tcW w:type="dxa" w:w="2880"/>
          </w:tcPr>
          <w:p>
            <w:pPr>
              <w:spacing w:line="240" w:lineRule="auto"/>
            </w:pPr>
            <w:r>
              <w:rPr>
                <w:b w:val="0"/>
                <w:i w:val="0"/>
                <w:sz w:val="20"/>
              </w:rPr>
              <w:t>1.35 (1.01–1.80)</w:t>
            </w:r>
          </w:p>
        </w:tc>
        <w:tc>
          <w:tcPr>
            <w:tcW w:type="dxa" w:w="2880"/>
          </w:tcPr>
          <w:p>
            <w:pPr>
              <w:spacing w:line="240" w:lineRule="auto"/>
            </w:pPr>
            <w:r>
              <w:rPr>
                <w:b w:val="0"/>
                <w:i w:val="0"/>
                <w:sz w:val="20"/>
              </w:rPr>
              <w:t>1.89 (1.55–2.30)</w:t>
            </w:r>
          </w:p>
        </w:tc>
      </w:tr>
      <w:tr>
        <w:trPr>
          <w:cantSplit/>
        </w:trPr>
        <w:tc>
          <w:tcPr>
            <w:tcW w:type="dxa" w:w="2880"/>
          </w:tcPr>
          <w:p>
            <w:pPr>
              <w:spacing w:line="240" w:lineRule="auto"/>
            </w:pPr>
            <w:r>
              <w:rPr>
                <w:b w:val="0"/>
                <w:i w:val="0"/>
                <w:sz w:val="20"/>
              </w:rPr>
              <w:t>THC-only</w:t>
            </w:r>
          </w:p>
        </w:tc>
        <w:tc>
          <w:tcPr>
            <w:tcW w:type="dxa" w:w="2880"/>
          </w:tcPr>
          <w:p>
            <w:pPr>
              <w:spacing w:line="240" w:lineRule="auto"/>
            </w:pPr>
            <w:r>
              <w:rPr>
                <w:b w:val="0"/>
                <w:i w:val="0"/>
                <w:sz w:val="20"/>
              </w:rPr>
              <w:t>1.83 (1.27–2.64)</w:t>
            </w:r>
          </w:p>
        </w:tc>
        <w:tc>
          <w:tcPr>
            <w:tcW w:type="dxa" w:w="2880"/>
          </w:tcPr>
          <w:p>
            <w:pPr>
              <w:spacing w:line="240" w:lineRule="auto"/>
            </w:pPr>
            <w:r>
              <w:rPr>
                <w:b w:val="0"/>
                <w:i w:val="0"/>
                <w:sz w:val="20"/>
              </w:rPr>
              <w:t>3.16 (2.32–4.31)</w:t>
            </w:r>
          </w:p>
        </w:tc>
      </w:tr>
      <w:tr>
        <w:trPr>
          <w:cantSplit/>
        </w:trPr>
        <w:tc>
          <w:tcPr>
            <w:tcW w:type="dxa" w:w="2880"/>
          </w:tcPr>
          <w:p>
            <w:pPr>
              <w:spacing w:line="240" w:lineRule="auto"/>
            </w:pPr>
            <w:r>
              <w:rPr>
                <w:b w:val="0"/>
                <w:i w:val="0"/>
                <w:sz w:val="20"/>
              </w:rPr>
              <w:t>Dual</w:t>
            </w:r>
          </w:p>
        </w:tc>
        <w:tc>
          <w:tcPr>
            <w:tcW w:type="dxa" w:w="2880"/>
          </w:tcPr>
          <w:p>
            <w:pPr>
              <w:spacing w:line="240" w:lineRule="auto"/>
            </w:pPr>
            <w:r>
              <w:rPr>
                <w:b w:val="0"/>
                <w:i w:val="0"/>
                <w:sz w:val="20"/>
              </w:rPr>
              <w:t>2.29 (1.68–3.12)</w:t>
            </w:r>
          </w:p>
        </w:tc>
        <w:tc>
          <w:tcPr>
            <w:tcW w:type="dxa" w:w="2880"/>
          </w:tcPr>
          <w:p>
            <w:pPr>
              <w:spacing w:line="240" w:lineRule="auto"/>
            </w:pPr>
            <w:r>
              <w:rPr>
                <w:b w:val="0"/>
                <w:i w:val="0"/>
                <w:sz w:val="20"/>
              </w:rPr>
              <w:t>2.22 (1.69–2.93)</w:t>
            </w:r>
          </w:p>
        </w:tc>
      </w:tr>
    </w:tbl>
    <w:p>
      <w:r>
        <w:rPr>
          <w:b w:val="0"/>
          <w:i w:val="0"/>
        </w:rPr>
        <w:t>Exposure-by-sex interaction p = 0.012 (covariates without sex). Cell sizes were moderate (~900 per sex in the THC-only and dual groups) and confidence intervals overlapped between sexes; this pattern is exploratory and hypothesis-generating, not an established sex difference.</w:t>
      </w:r>
    </w:p>
    <w:p>
      <w:pPr>
        <w:pStyle w:val="Heading1"/>
      </w:pPr>
      <w:r>
        <w:rPr>
          <w:rFonts w:ascii="Times New Roman" w:hAnsi="Times New Roman"/>
          <w:b/>
          <w:i w:val="0"/>
          <w:sz w:val="26"/>
        </w:rPr>
        <w:t>Supplementary Table S4. E-values for the THC-only association</w:t>
      </w:r>
    </w:p>
    <w:tbl>
      <w:tblPr>
        <w:tblStyle w:val="TableGrid"/>
        <w:tblW w:type="auto" w:w="0"/>
        <w:tblLayout w:type="autofit"/>
        <w:tblLook w:firstColumn="1" w:firstRow="1" w:lastColumn="0" w:lastRow="0" w:noHBand="0" w:noVBand="1" w:val="04A0"/>
      </w:tblPr>
      <w:tblGrid>
        <w:gridCol w:w="2160"/>
        <w:gridCol w:w="2160"/>
        <w:gridCol w:w="2160"/>
        <w:gridCol w:w="2160"/>
      </w:tblGrid>
      <w:tr>
        <w:trPr>
          <w:cantSplit/>
          <w:tblHeader/>
        </w:trPr>
        <w:tc>
          <w:tcPr>
            <w:tcW w:type="dxa" w:w="2160"/>
          </w:tcPr>
          <w:p>
            <w:pPr>
              <w:spacing w:line="240" w:lineRule="auto"/>
            </w:pPr>
            <w:r>
              <w:rPr>
                <w:b/>
                <w:i w:val="0"/>
                <w:sz w:val="20"/>
              </w:rPr>
              <w:t>Estimate</w:t>
            </w:r>
          </w:p>
        </w:tc>
        <w:tc>
          <w:tcPr>
            <w:tcW w:type="dxa" w:w="2160"/>
          </w:tcPr>
          <w:p>
            <w:pPr>
              <w:spacing w:line="240" w:lineRule="auto"/>
            </w:pPr>
            <w:r>
              <w:rPr>
                <w:b/>
                <w:i w:val="0"/>
                <w:sz w:val="20"/>
              </w:rPr>
              <w:t>aOR (95% CI)</w:t>
            </w:r>
          </w:p>
        </w:tc>
        <w:tc>
          <w:tcPr>
            <w:tcW w:type="dxa" w:w="2160"/>
          </w:tcPr>
          <w:p>
            <w:pPr>
              <w:spacing w:line="240" w:lineRule="auto"/>
            </w:pPr>
            <w:r>
              <w:rPr>
                <w:b/>
                <w:i w:val="0"/>
                <w:sz w:val="20"/>
              </w:rPr>
              <w:t>E-value (point)</w:t>
            </w:r>
          </w:p>
        </w:tc>
        <w:tc>
          <w:tcPr>
            <w:tcW w:type="dxa" w:w="2160"/>
          </w:tcPr>
          <w:p>
            <w:pPr>
              <w:spacing w:line="240" w:lineRule="auto"/>
            </w:pPr>
            <w:r>
              <w:rPr>
                <w:b/>
                <w:i w:val="0"/>
                <w:sz w:val="20"/>
              </w:rPr>
              <w:t>E-value (CI limit)</w:t>
            </w:r>
          </w:p>
        </w:tc>
      </w:tr>
      <w:tr>
        <w:trPr>
          <w:cantSplit/>
        </w:trPr>
        <w:tc>
          <w:tcPr>
            <w:tcW w:type="dxa" w:w="2160"/>
          </w:tcPr>
          <w:p>
            <w:pPr>
              <w:spacing w:line="240" w:lineRule="auto"/>
            </w:pPr>
            <w:r>
              <w:rPr>
                <w:b w:val="0"/>
                <w:i w:val="0"/>
                <w:sz w:val="20"/>
              </w:rPr>
              <w:t>Adjusted (no marijuana/depression)</w:t>
            </w:r>
          </w:p>
        </w:tc>
        <w:tc>
          <w:tcPr>
            <w:tcW w:type="dxa" w:w="2160"/>
          </w:tcPr>
          <w:p>
            <w:pPr>
              <w:spacing w:line="240" w:lineRule="auto"/>
            </w:pPr>
            <w:r>
              <w:rPr>
                <w:b w:val="0"/>
                <w:i w:val="0"/>
                <w:sz w:val="20"/>
              </w:rPr>
              <w:t>2.45 (1.90–3.15)</w:t>
            </w:r>
          </w:p>
        </w:tc>
        <w:tc>
          <w:tcPr>
            <w:tcW w:type="dxa" w:w="2160"/>
          </w:tcPr>
          <w:p>
            <w:pPr>
              <w:spacing w:line="240" w:lineRule="auto"/>
            </w:pPr>
            <w:r>
              <w:rPr>
                <w:b w:val="0"/>
                <w:i w:val="0"/>
                <w:sz w:val="20"/>
              </w:rPr>
              <w:t>2.51</w:t>
            </w:r>
          </w:p>
        </w:tc>
        <w:tc>
          <w:tcPr>
            <w:tcW w:type="dxa" w:w="2160"/>
          </w:tcPr>
          <w:p>
            <w:pPr>
              <w:spacing w:line="240" w:lineRule="auto"/>
            </w:pPr>
            <w:r>
              <w:rPr>
                <w:b w:val="0"/>
                <w:i w:val="0"/>
                <w:sz w:val="20"/>
              </w:rPr>
              <w:t>2.10</w:t>
            </w:r>
          </w:p>
        </w:tc>
      </w:tr>
      <w:tr>
        <w:trPr>
          <w:cantSplit/>
        </w:trPr>
        <w:tc>
          <w:tcPr>
            <w:tcW w:type="dxa" w:w="2160"/>
          </w:tcPr>
          <w:p>
            <w:pPr>
              <w:spacing w:line="240" w:lineRule="auto"/>
            </w:pPr>
            <w:r>
              <w:rPr>
                <w:b w:val="0"/>
                <w:i w:val="0"/>
                <w:sz w:val="20"/>
              </w:rPr>
              <w:t>+ Marijuana use</w:t>
            </w:r>
          </w:p>
        </w:tc>
        <w:tc>
          <w:tcPr>
            <w:tcW w:type="dxa" w:w="2160"/>
          </w:tcPr>
          <w:p>
            <w:pPr>
              <w:spacing w:line="240" w:lineRule="auto"/>
            </w:pPr>
            <w:r>
              <w:rPr>
                <w:b w:val="0"/>
                <w:i w:val="0"/>
                <w:sz w:val="20"/>
              </w:rPr>
              <w:t>1.68 (1.27–2.23)</w:t>
            </w:r>
          </w:p>
        </w:tc>
        <w:tc>
          <w:tcPr>
            <w:tcW w:type="dxa" w:w="2160"/>
          </w:tcPr>
          <w:p>
            <w:pPr>
              <w:spacing w:line="240" w:lineRule="auto"/>
            </w:pPr>
            <w:r>
              <w:rPr>
                <w:b w:val="0"/>
                <w:i w:val="0"/>
                <w:sz w:val="20"/>
              </w:rPr>
              <w:t>1.92</w:t>
            </w:r>
          </w:p>
        </w:tc>
        <w:tc>
          <w:tcPr>
            <w:tcW w:type="dxa" w:w="2160"/>
          </w:tcPr>
          <w:p>
            <w:pPr>
              <w:spacing w:line="240" w:lineRule="auto"/>
            </w:pPr>
            <w:r>
              <w:rPr>
                <w:b w:val="0"/>
                <w:i w:val="0"/>
                <w:sz w:val="20"/>
              </w:rPr>
              <w:t>1.51</w:t>
            </w:r>
          </w:p>
        </w:tc>
      </w:tr>
    </w:tbl>
    <w:p>
      <w:r>
        <w:rPr>
          <w:b w:val="0"/>
          <w:i w:val="0"/>
        </w:rPr>
        <w:t>The E-value is the minimum strength of association (on the risk-ratio scale) that an unmeasured confounder would need with both the exposure and the outcome to fully explain the observed association, computed treating the outcome as non-rare. It addresses unmeasured confounding only and does not account for reverse causation, exposure misclassification, or over-adjustment.</w:t>
      </w:r>
    </w:p>
    <w:p>
      <w:pPr>
        <w:pStyle w:val="Heading1"/>
      </w:pPr>
      <w:r>
        <w:rPr>
          <w:rFonts w:ascii="Times New Roman" w:hAnsi="Times New Roman"/>
          <w:b/>
          <w:i w:val="0"/>
          <w:sz w:val="26"/>
        </w:rPr>
        <w:t>Supplementary Table S5. Second distress measure: past-month serious psychological distress (K6-derived) and continuous K6 score, by four-group exposure</w:t>
      </w:r>
    </w:p>
    <w:p>
      <w:r>
        <w:rPr>
          <w:b/>
          <w:i w:val="0"/>
        </w:rPr>
        <w:t>S5a. Serious psychological distress (SPDPSTMON), same covariates as the primary model (residual df = 25)</w:t>
      </w:r>
    </w:p>
    <w:tbl>
      <w:tblPr>
        <w:tblStyle w:val="TableGrid"/>
        <w:tblW w:type="auto" w:w="0"/>
        <w:tblLayout w:type="autofit"/>
        <w:tblLook w:firstColumn="1" w:firstRow="1" w:lastColumn="0" w:lastRow="0" w:noHBand="0" w:noVBand="1" w:val="04A0"/>
      </w:tblPr>
      <w:tblGrid>
        <w:gridCol w:w="2880"/>
        <w:gridCol w:w="2880"/>
        <w:gridCol w:w="2880"/>
      </w:tblGrid>
      <w:tr>
        <w:trPr>
          <w:cantSplit/>
          <w:tblHeader/>
        </w:trPr>
        <w:tc>
          <w:tcPr>
            <w:tcW w:type="dxa" w:w="2880"/>
          </w:tcPr>
          <w:p>
            <w:pPr>
              <w:spacing w:line="240" w:lineRule="auto"/>
            </w:pPr>
            <w:r>
              <w:rPr>
                <w:b/>
                <w:i w:val="0"/>
                <w:sz w:val="20"/>
              </w:rPr>
              <w:t>Exposure</w:t>
            </w:r>
          </w:p>
        </w:tc>
        <w:tc>
          <w:tcPr>
            <w:tcW w:type="dxa" w:w="2880"/>
          </w:tcPr>
          <w:p>
            <w:pPr>
              <w:spacing w:line="240" w:lineRule="auto"/>
            </w:pPr>
            <w:r>
              <w:rPr>
                <w:b/>
                <w:i w:val="0"/>
                <w:sz w:val="20"/>
              </w:rPr>
              <w:t>aOR (95% CI)</w:t>
            </w:r>
          </w:p>
        </w:tc>
        <w:tc>
          <w:tcPr>
            <w:tcW w:type="dxa" w:w="2880"/>
          </w:tcPr>
          <w:p>
            <w:pPr>
              <w:spacing w:line="240" w:lineRule="auto"/>
            </w:pPr>
            <w:r>
              <w:rPr>
                <w:b/>
                <w:i w:val="0"/>
                <w:sz w:val="20"/>
              </w:rPr>
              <w:t>p</w:t>
            </w:r>
          </w:p>
        </w:tc>
      </w:tr>
      <w:tr>
        <w:trPr>
          <w:cantSplit/>
        </w:trPr>
        <w:tc>
          <w:tcPr>
            <w:tcW w:type="dxa" w:w="2880"/>
          </w:tcPr>
          <w:p>
            <w:pPr>
              <w:spacing w:line="240" w:lineRule="auto"/>
            </w:pPr>
            <w:r>
              <w:rPr>
                <w:b w:val="0"/>
                <w:i w:val="0"/>
                <w:sz w:val="20"/>
              </w:rPr>
              <w:t>Nicotine-only</w:t>
            </w:r>
          </w:p>
        </w:tc>
        <w:tc>
          <w:tcPr>
            <w:tcW w:type="dxa" w:w="2880"/>
          </w:tcPr>
          <w:p>
            <w:pPr>
              <w:spacing w:line="240" w:lineRule="auto"/>
            </w:pPr>
            <w:r>
              <w:rPr>
                <w:b w:val="0"/>
                <w:i w:val="0"/>
                <w:sz w:val="20"/>
              </w:rPr>
              <w:t>1.48 (1.24–1.76)</w:t>
            </w:r>
          </w:p>
        </w:tc>
        <w:tc>
          <w:tcPr>
            <w:tcW w:type="dxa" w:w="2880"/>
          </w:tcPr>
          <w:p>
            <w:pPr>
              <w:spacing w:line="240" w:lineRule="auto"/>
            </w:pPr>
            <w:r>
              <w:rPr>
                <w:b w:val="0"/>
                <w:i w:val="0"/>
                <w:sz w:val="20"/>
              </w:rPr>
              <w:t>9.7×10⁻⁵</w:t>
            </w:r>
          </w:p>
        </w:tc>
      </w:tr>
      <w:tr>
        <w:trPr>
          <w:cantSplit/>
        </w:trPr>
        <w:tc>
          <w:tcPr>
            <w:tcW w:type="dxa" w:w="2880"/>
          </w:tcPr>
          <w:p>
            <w:pPr>
              <w:spacing w:line="240" w:lineRule="auto"/>
            </w:pPr>
            <w:r>
              <w:rPr>
                <w:b w:val="0"/>
                <w:i w:val="0"/>
                <w:sz w:val="20"/>
              </w:rPr>
              <w:t>THC-only</w:t>
            </w:r>
          </w:p>
        </w:tc>
        <w:tc>
          <w:tcPr>
            <w:tcW w:type="dxa" w:w="2880"/>
          </w:tcPr>
          <w:p>
            <w:pPr>
              <w:spacing w:line="240" w:lineRule="auto"/>
            </w:pPr>
            <w:r>
              <w:rPr>
                <w:b w:val="0"/>
                <w:i w:val="0"/>
                <w:sz w:val="20"/>
              </w:rPr>
              <w:t>2.13 (1.67–2.70)</w:t>
            </w:r>
          </w:p>
        </w:tc>
        <w:tc>
          <w:tcPr>
            <w:tcW w:type="dxa" w:w="2880"/>
          </w:tcPr>
          <w:p>
            <w:pPr>
              <w:spacing w:line="240" w:lineRule="auto"/>
            </w:pPr>
            <w:r>
              <w:rPr>
                <w:b w:val="0"/>
                <w:i w:val="0"/>
                <w:sz w:val="20"/>
              </w:rPr>
              <w:t>8.8×10⁻⁷</w:t>
            </w:r>
          </w:p>
        </w:tc>
      </w:tr>
      <w:tr>
        <w:trPr>
          <w:cantSplit/>
        </w:trPr>
        <w:tc>
          <w:tcPr>
            <w:tcW w:type="dxa" w:w="2880"/>
          </w:tcPr>
          <w:p>
            <w:pPr>
              <w:spacing w:line="240" w:lineRule="auto"/>
            </w:pPr>
            <w:r>
              <w:rPr>
                <w:b w:val="0"/>
                <w:i w:val="0"/>
                <w:sz w:val="20"/>
              </w:rPr>
              <w:t>Dual</w:t>
            </w:r>
          </w:p>
        </w:tc>
        <w:tc>
          <w:tcPr>
            <w:tcW w:type="dxa" w:w="2880"/>
          </w:tcPr>
          <w:p>
            <w:pPr>
              <w:spacing w:line="240" w:lineRule="auto"/>
            </w:pPr>
            <w:r>
              <w:rPr>
                <w:b w:val="0"/>
                <w:i w:val="0"/>
                <w:sz w:val="20"/>
              </w:rPr>
              <w:t>2.70 (2.09–3.50)</w:t>
            </w:r>
          </w:p>
        </w:tc>
        <w:tc>
          <w:tcPr>
            <w:tcW w:type="dxa" w:w="2880"/>
          </w:tcPr>
          <w:p>
            <w:pPr>
              <w:spacing w:line="240" w:lineRule="auto"/>
            </w:pPr>
            <w:r>
              <w:rPr>
                <w:b w:val="0"/>
                <w:i w:val="0"/>
                <w:sz w:val="20"/>
              </w:rPr>
              <w:t>2.8×10⁻⁸</w:t>
            </w:r>
          </w:p>
        </w:tc>
      </w:tr>
    </w:tbl>
    <w:p>
      <w:r>
        <w:rPr>
          <w:b w:val="0"/>
          <w:i w:val="0"/>
        </w:rPr>
        <w:t>Joint Wald F = 24.5 on 3 and 25 df, p = 1.3×10⁻⁷. Weighted prevalence of serious psychological distress: 6.1% (non-vapers), 16.0% (nicotine-only), 16.4% (THC-only), 27.8% (dual). Unweighted n identical to the primary analysis (38,656 / 4,824 / 1,873 / 1,946).</w:t>
      </w:r>
    </w:p>
    <w:p>
      <w:r>
        <w:rPr>
          <w:b w:val="0"/>
          <w:i w:val="0"/>
        </w:rPr>
        <w:t>Post-hoc pairwise contrasts (log-odds difference, SE, t, p; df = 25): nicotine-only vs THC-only −0.364 (0.121), t = −3.02, p = 0.006; nicotine-only vs dual −0.603 (0.117), t = −5.15, p &lt; 0.001; THC-only vs dual −0.239 (0.125), t = −1.91, p = 0.068. The pre-fixed reproduction criterion (nicotine-only vs THC-only in the same direction as on the GAD-7, p &lt; 0.05) was met.</w:t>
      </w:r>
    </w:p>
    <w:p>
      <w:r>
        <w:rPr>
          <w:b/>
          <w:i w:val="0"/>
        </w:rPr>
        <w:t>S5b. Serious psychological distress, additionally adjusted for past-month marijuana use (residual df = 24)</w:t>
      </w:r>
    </w:p>
    <w:tbl>
      <w:tblPr>
        <w:tblStyle w:val="TableGrid"/>
        <w:tblW w:type="auto" w:w="0"/>
        <w:tblLayout w:type="autofit"/>
        <w:tblLook w:firstColumn="1" w:firstRow="1" w:lastColumn="0" w:lastRow="0" w:noHBand="0" w:noVBand="1" w:val="04A0"/>
      </w:tblPr>
      <w:tblGrid>
        <w:gridCol w:w="2880"/>
        <w:gridCol w:w="2880"/>
        <w:gridCol w:w="2880"/>
      </w:tblGrid>
      <w:tr>
        <w:trPr>
          <w:cantSplit/>
          <w:tblHeader/>
        </w:trPr>
        <w:tc>
          <w:tcPr>
            <w:tcW w:type="dxa" w:w="2880"/>
          </w:tcPr>
          <w:p>
            <w:pPr>
              <w:spacing w:line="240" w:lineRule="auto"/>
            </w:pPr>
            <w:r>
              <w:rPr>
                <w:b/>
                <w:i w:val="0"/>
                <w:sz w:val="20"/>
              </w:rPr>
              <w:t>Exposure</w:t>
            </w:r>
          </w:p>
        </w:tc>
        <w:tc>
          <w:tcPr>
            <w:tcW w:type="dxa" w:w="2880"/>
          </w:tcPr>
          <w:p>
            <w:pPr>
              <w:spacing w:line="240" w:lineRule="auto"/>
            </w:pPr>
            <w:r>
              <w:rPr>
                <w:b/>
                <w:i w:val="0"/>
                <w:sz w:val="20"/>
              </w:rPr>
              <w:t>aOR (95% CI)</w:t>
            </w:r>
          </w:p>
        </w:tc>
        <w:tc>
          <w:tcPr>
            <w:tcW w:type="dxa" w:w="2880"/>
          </w:tcPr>
          <w:p>
            <w:pPr>
              <w:spacing w:line="240" w:lineRule="auto"/>
            </w:pPr>
            <w:r>
              <w:rPr>
                <w:b/>
                <w:i w:val="0"/>
                <w:sz w:val="20"/>
              </w:rPr>
              <w:t>p</w:t>
            </w:r>
          </w:p>
        </w:tc>
      </w:tr>
      <w:tr>
        <w:trPr>
          <w:cantSplit/>
        </w:trPr>
        <w:tc>
          <w:tcPr>
            <w:tcW w:type="dxa" w:w="2880"/>
          </w:tcPr>
          <w:p>
            <w:pPr>
              <w:spacing w:line="240" w:lineRule="auto"/>
            </w:pPr>
            <w:r>
              <w:rPr>
                <w:b w:val="0"/>
                <w:i w:val="0"/>
                <w:sz w:val="20"/>
              </w:rPr>
              <w:t>Nicotine-only</w:t>
            </w:r>
          </w:p>
        </w:tc>
        <w:tc>
          <w:tcPr>
            <w:tcW w:type="dxa" w:w="2880"/>
          </w:tcPr>
          <w:p>
            <w:pPr>
              <w:spacing w:line="240" w:lineRule="auto"/>
            </w:pPr>
            <w:r>
              <w:rPr>
                <w:b w:val="0"/>
                <w:i w:val="0"/>
                <w:sz w:val="20"/>
              </w:rPr>
              <w:t>1.42 (1.20–1.69)</w:t>
            </w:r>
          </w:p>
        </w:tc>
        <w:tc>
          <w:tcPr>
            <w:tcW w:type="dxa" w:w="2880"/>
          </w:tcPr>
          <w:p>
            <w:pPr>
              <w:spacing w:line="240" w:lineRule="auto"/>
            </w:pPr>
            <w:r>
              <w:rPr>
                <w:b w:val="0"/>
                <w:i w:val="0"/>
                <w:sz w:val="20"/>
              </w:rPr>
              <w:t>3.2×10⁻⁴</w:t>
            </w:r>
          </w:p>
        </w:tc>
      </w:tr>
      <w:tr>
        <w:trPr>
          <w:cantSplit/>
        </w:trPr>
        <w:tc>
          <w:tcPr>
            <w:tcW w:type="dxa" w:w="2880"/>
          </w:tcPr>
          <w:p>
            <w:pPr>
              <w:spacing w:line="240" w:lineRule="auto"/>
            </w:pPr>
            <w:r>
              <w:rPr>
                <w:b w:val="0"/>
                <w:i w:val="0"/>
                <w:sz w:val="20"/>
              </w:rPr>
              <w:t>THC-only</w:t>
            </w:r>
          </w:p>
        </w:tc>
        <w:tc>
          <w:tcPr>
            <w:tcW w:type="dxa" w:w="2880"/>
          </w:tcPr>
          <w:p>
            <w:pPr>
              <w:spacing w:line="240" w:lineRule="auto"/>
            </w:pPr>
            <w:r>
              <w:rPr>
                <w:b w:val="0"/>
                <w:i w:val="0"/>
                <w:sz w:val="20"/>
              </w:rPr>
              <w:t>1.29 (0.98–1.70)</w:t>
            </w:r>
          </w:p>
        </w:tc>
        <w:tc>
          <w:tcPr>
            <w:tcW w:type="dxa" w:w="2880"/>
          </w:tcPr>
          <w:p>
            <w:pPr>
              <w:spacing w:line="240" w:lineRule="auto"/>
            </w:pPr>
            <w:r>
              <w:rPr>
                <w:b w:val="0"/>
                <w:i w:val="0"/>
                <w:sz w:val="20"/>
              </w:rPr>
              <w:t>0.069</w:t>
            </w:r>
          </w:p>
        </w:tc>
      </w:tr>
      <w:tr>
        <w:trPr>
          <w:cantSplit/>
        </w:trPr>
        <w:tc>
          <w:tcPr>
            <w:tcW w:type="dxa" w:w="2880"/>
          </w:tcPr>
          <w:p>
            <w:pPr>
              <w:spacing w:line="240" w:lineRule="auto"/>
            </w:pPr>
            <w:r>
              <w:rPr>
                <w:b w:val="0"/>
                <w:i w:val="0"/>
                <w:sz w:val="20"/>
              </w:rPr>
              <w:t>Dual</w:t>
            </w:r>
          </w:p>
        </w:tc>
        <w:tc>
          <w:tcPr>
            <w:tcW w:type="dxa" w:w="2880"/>
          </w:tcPr>
          <w:p>
            <w:pPr>
              <w:spacing w:line="240" w:lineRule="auto"/>
            </w:pPr>
            <w:r>
              <w:rPr>
                <w:b w:val="0"/>
                <w:i w:val="0"/>
                <w:sz w:val="20"/>
              </w:rPr>
              <w:t>1.68 (1.27–2.21)</w:t>
            </w:r>
          </w:p>
        </w:tc>
        <w:tc>
          <w:tcPr>
            <w:tcW w:type="dxa" w:w="2880"/>
          </w:tcPr>
          <w:p>
            <w:pPr>
              <w:spacing w:line="240" w:lineRule="auto"/>
            </w:pPr>
            <w:r>
              <w:rPr>
                <w:b w:val="0"/>
                <w:i w:val="0"/>
                <w:sz w:val="20"/>
              </w:rPr>
              <w:t>7.2×10⁻⁴</w:t>
            </w:r>
          </w:p>
        </w:tc>
      </w:tr>
    </w:tbl>
    <w:p>
      <w:r>
        <w:rPr>
          <w:b w:val="0"/>
          <w:i w:val="0"/>
        </w:rPr>
        <w:t>Pairwise contrasts (df = 24): nicotine-only vs THC-only +0.097 (0.140), p = 0.49; nicotine-only vs dual −0.165 (0.128), p = 0.21; THC-only vs dual −0.262 (0.124), p = 0.045. As for the GAD-7 outcome, adjustment for overall marijuana use conditions on a superset of THC vaping and is reported as an over-adjusted lower bound, not as evidence against an association; the reversal of the nicotine-only/THC-only contrast in this model is reported for completeness and does not enter the reproduction criterion, which was fixed on the primary (non-marijuana-adjusted) specification.</w:t>
      </w:r>
    </w:p>
    <w:p>
      <w:r>
        <w:rPr>
          <w:b/>
          <w:i w:val="0"/>
        </w:rPr>
        <w:t>S5c. Continuous K6 score (0–24), survey-weighted linear regression, same covariates (residual df = 25)</w:t>
      </w:r>
    </w:p>
    <w:tbl>
      <w:tblPr>
        <w:tblStyle w:val="TableGrid"/>
        <w:tblW w:type="auto" w:w="0"/>
        <w:tblLayout w:type="autofit"/>
        <w:tblLook w:firstColumn="1" w:firstRow="1" w:lastColumn="0" w:lastRow="0" w:noHBand="0" w:noVBand="1" w:val="04A0"/>
      </w:tblPr>
      <w:tblGrid>
        <w:gridCol w:w="2880"/>
        <w:gridCol w:w="2880"/>
        <w:gridCol w:w="2880"/>
      </w:tblGrid>
      <w:tr>
        <w:trPr>
          <w:cantSplit/>
          <w:tblHeader/>
        </w:trPr>
        <w:tc>
          <w:tcPr>
            <w:tcW w:type="dxa" w:w="2880"/>
          </w:tcPr>
          <w:p>
            <w:pPr>
              <w:spacing w:line="240" w:lineRule="auto"/>
            </w:pPr>
            <w:r>
              <w:rPr>
                <w:b/>
                <w:i w:val="0"/>
                <w:sz w:val="20"/>
              </w:rPr>
              <w:t>Exposure</w:t>
            </w:r>
          </w:p>
        </w:tc>
        <w:tc>
          <w:tcPr>
            <w:tcW w:type="dxa" w:w="2880"/>
          </w:tcPr>
          <w:p>
            <w:pPr>
              <w:spacing w:line="240" w:lineRule="auto"/>
            </w:pPr>
            <w:r>
              <w:rPr>
                <w:b/>
                <w:i w:val="0"/>
                <w:sz w:val="20"/>
              </w:rPr>
              <w:t>Coefficient (SE)</w:t>
            </w:r>
          </w:p>
        </w:tc>
        <w:tc>
          <w:tcPr>
            <w:tcW w:type="dxa" w:w="2880"/>
          </w:tcPr>
          <w:p>
            <w:pPr>
              <w:spacing w:line="240" w:lineRule="auto"/>
            </w:pPr>
            <w:r>
              <w:rPr>
                <w:b/>
                <w:i w:val="0"/>
                <w:sz w:val="20"/>
              </w:rPr>
              <w:t>t</w:t>
            </w:r>
          </w:p>
        </w:tc>
      </w:tr>
      <w:tr>
        <w:trPr>
          <w:cantSplit/>
        </w:trPr>
        <w:tc>
          <w:tcPr>
            <w:tcW w:type="dxa" w:w="2880"/>
          </w:tcPr>
          <w:p>
            <w:pPr>
              <w:spacing w:line="240" w:lineRule="auto"/>
            </w:pPr>
            <w:r>
              <w:rPr>
                <w:b w:val="0"/>
                <w:i w:val="0"/>
                <w:sz w:val="20"/>
              </w:rPr>
              <w:t>Nicotine-only</w:t>
            </w:r>
          </w:p>
        </w:tc>
        <w:tc>
          <w:tcPr>
            <w:tcW w:type="dxa" w:w="2880"/>
          </w:tcPr>
          <w:p>
            <w:pPr>
              <w:spacing w:line="240" w:lineRule="auto"/>
            </w:pPr>
            <w:r>
              <w:rPr>
                <w:b w:val="0"/>
                <w:i w:val="0"/>
                <w:sz w:val="20"/>
              </w:rPr>
              <w:t>1.16 (0.16)</w:t>
            </w:r>
          </w:p>
        </w:tc>
        <w:tc>
          <w:tcPr>
            <w:tcW w:type="dxa" w:w="2880"/>
          </w:tcPr>
          <w:p>
            <w:pPr>
              <w:spacing w:line="240" w:lineRule="auto"/>
            </w:pPr>
            <w:r>
              <w:rPr>
                <w:b w:val="0"/>
                <w:i w:val="0"/>
                <w:sz w:val="20"/>
              </w:rPr>
              <w:t>7.17</w:t>
            </w:r>
          </w:p>
        </w:tc>
      </w:tr>
      <w:tr>
        <w:trPr>
          <w:cantSplit/>
        </w:trPr>
        <w:tc>
          <w:tcPr>
            <w:tcW w:type="dxa" w:w="2880"/>
          </w:tcPr>
          <w:p>
            <w:pPr>
              <w:spacing w:line="240" w:lineRule="auto"/>
            </w:pPr>
            <w:r>
              <w:rPr>
                <w:b w:val="0"/>
                <w:i w:val="0"/>
                <w:sz w:val="20"/>
              </w:rPr>
              <w:t>THC-only</w:t>
            </w:r>
          </w:p>
        </w:tc>
        <w:tc>
          <w:tcPr>
            <w:tcW w:type="dxa" w:w="2880"/>
          </w:tcPr>
          <w:p>
            <w:pPr>
              <w:spacing w:line="240" w:lineRule="auto"/>
            </w:pPr>
            <w:r>
              <w:rPr>
                <w:b w:val="0"/>
                <w:i w:val="0"/>
                <w:sz w:val="20"/>
              </w:rPr>
              <w:t>2.06 (0.18)</w:t>
            </w:r>
          </w:p>
        </w:tc>
        <w:tc>
          <w:tcPr>
            <w:tcW w:type="dxa" w:w="2880"/>
          </w:tcPr>
          <w:p>
            <w:pPr>
              <w:spacing w:line="240" w:lineRule="auto"/>
            </w:pPr>
            <w:r>
              <w:rPr>
                <w:b w:val="0"/>
                <w:i w:val="0"/>
                <w:sz w:val="20"/>
              </w:rPr>
              <w:t>11.47</w:t>
            </w:r>
          </w:p>
        </w:tc>
      </w:tr>
      <w:tr>
        <w:trPr>
          <w:cantSplit/>
        </w:trPr>
        <w:tc>
          <w:tcPr>
            <w:tcW w:type="dxa" w:w="2880"/>
          </w:tcPr>
          <w:p>
            <w:pPr>
              <w:spacing w:line="240" w:lineRule="auto"/>
            </w:pPr>
            <w:r>
              <w:rPr>
                <w:b w:val="0"/>
                <w:i w:val="0"/>
                <w:sz w:val="20"/>
              </w:rPr>
              <w:t>Dual</w:t>
            </w:r>
          </w:p>
        </w:tc>
        <w:tc>
          <w:tcPr>
            <w:tcW w:type="dxa" w:w="2880"/>
          </w:tcPr>
          <w:p>
            <w:pPr>
              <w:spacing w:line="240" w:lineRule="auto"/>
            </w:pPr>
            <w:r>
              <w:rPr>
                <w:b w:val="0"/>
                <w:i w:val="0"/>
                <w:sz w:val="20"/>
              </w:rPr>
              <w:t>3.21 (0.28)</w:t>
            </w:r>
          </w:p>
        </w:tc>
        <w:tc>
          <w:tcPr>
            <w:tcW w:type="dxa" w:w="2880"/>
          </w:tcPr>
          <w:p>
            <w:pPr>
              <w:spacing w:line="240" w:lineRule="auto"/>
            </w:pPr>
            <w:r>
              <w:rPr>
                <w:b w:val="0"/>
                <w:i w:val="0"/>
                <w:sz w:val="20"/>
              </w:rPr>
              <w:t>11.26</w:t>
            </w:r>
          </w:p>
        </w:tc>
      </w:tr>
    </w:tbl>
    <w:p>
      <w:r>
        <w:rPr>
          <w:b w:val="0"/>
          <w:i w:val="0"/>
        </w:rPr>
        <w:t>Pairwise contrasts: nicotine-only vs THC-only −0.90 (0.24), p = 0.001; nicotine-only vs dual −2.04 (0.28), p &lt; 0.001; THC-only vs dual −1.14 (0.29), p &lt; 0.001. The continuous score and the binary distress indicator are two cuts of the same instrument and are not counted as two independent reproductions.</w:t>
      </w:r>
    </w:p>
    <w:p>
      <w:r>
        <w:rPr>
          <w:b w:val="0"/>
          <w:i/>
        </w:rPr>
        <w:t>Interpretive note.</w:t>
      </w:r>
      <w:r>
        <w:rPr>
          <w:b w:val="0"/>
          <w:i w:val="0"/>
        </w:rPr>
        <w:t xml:space="preserve"> The GAD-7 (two-week window) and K6 (one-month window) were administered in the same interview and share item content; agreement between them was expected a priori and this analysis is an internal cross-instrument check, not external replication. The highest point estimate differed between instruments (THC-only on the GAD-7; dual on serious psychological distress), but neither THC-only vs dual contrast was significant on either instrument, so the ordering difference is not statistically established.</w:t>
      </w:r>
    </w:p>
    <w:p>
      <w:pPr>
        <w:pStyle w:val="Heading1"/>
      </w:pPr>
      <w:r>
        <w:rPr>
          <w:rFonts w:ascii="Times New Roman" w:hAnsi="Times New Roman"/>
          <w:b/>
          <w:i w:val="0"/>
          <w:sz w:val="26"/>
        </w:rPr>
        <w:t>Supplementary Table S6. Sensitivity of the composition re-weighting to the reference risk and averaging scale</w:t>
      </w:r>
    </w:p>
    <w:p>
      <w:r>
        <w:rPr>
          <w:b/>
          <w:i w:val="0"/>
        </w:rPr>
        <w:t>S6a. Reference risk p₀ (this sample's weighted composition; group aORs 1.65 / 2.45 / 2.23 held fixed)</w:t>
      </w:r>
    </w:p>
    <w:tbl>
      <w:tblPr>
        <w:tblStyle w:val="TableGrid"/>
        <w:tblW w:type="auto" w:w="0"/>
        <w:tblLayout w:type="autofit"/>
        <w:tblLook w:firstColumn="1" w:firstRow="1" w:lastColumn="0" w:lastRow="0" w:noHBand="0" w:noVBand="1" w:val="04A0"/>
      </w:tblPr>
      <w:tblGrid>
        <w:gridCol w:w="4320"/>
        <w:gridCol w:w="4320"/>
      </w:tblGrid>
      <w:tr>
        <w:trPr>
          <w:cantSplit/>
          <w:tblHeader/>
        </w:trPr>
        <w:tc>
          <w:tcPr>
            <w:tcW w:type="dxa" w:w="4320"/>
          </w:tcPr>
          <w:p>
            <w:pPr>
              <w:spacing w:line="240" w:lineRule="auto"/>
            </w:pPr>
            <w:r>
              <w:rPr>
                <w:b/>
                <w:i w:val="0"/>
                <w:sz w:val="20"/>
              </w:rPr>
              <w:t>p₀</w:t>
            </w:r>
          </w:p>
        </w:tc>
        <w:tc>
          <w:tcPr>
            <w:tcW w:type="dxa" w:w="4320"/>
          </w:tcPr>
          <w:p>
            <w:pPr>
              <w:spacing w:line="240" w:lineRule="auto"/>
            </w:pPr>
            <w:r>
              <w:rPr>
                <w:b/>
                <w:i w:val="0"/>
                <w:sz w:val="20"/>
              </w:rPr>
              <w:t>Implied pooled aOR</w:t>
            </w:r>
          </w:p>
        </w:tc>
      </w:tr>
      <w:tr>
        <w:trPr>
          <w:cantSplit/>
        </w:trPr>
        <w:tc>
          <w:tcPr>
            <w:tcW w:type="dxa" w:w="4320"/>
          </w:tcPr>
          <w:p>
            <w:pPr>
              <w:spacing w:line="240" w:lineRule="auto"/>
            </w:pPr>
            <w:r>
              <w:rPr>
                <w:b w:val="0"/>
                <w:i w:val="0"/>
                <w:sz w:val="20"/>
              </w:rPr>
              <w:t>0.02</w:t>
            </w:r>
          </w:p>
        </w:tc>
        <w:tc>
          <w:tcPr>
            <w:tcW w:type="dxa" w:w="4320"/>
          </w:tcPr>
          <w:p>
            <w:pPr>
              <w:spacing w:line="240" w:lineRule="auto"/>
            </w:pPr>
            <w:r>
              <w:rPr>
                <w:b w:val="0"/>
                <w:i w:val="0"/>
                <w:sz w:val="20"/>
              </w:rPr>
              <w:t>1.968</w:t>
            </w:r>
          </w:p>
        </w:tc>
      </w:tr>
      <w:tr>
        <w:trPr>
          <w:cantSplit/>
        </w:trPr>
        <w:tc>
          <w:tcPr>
            <w:tcW w:type="dxa" w:w="4320"/>
          </w:tcPr>
          <w:p>
            <w:pPr>
              <w:spacing w:line="240" w:lineRule="auto"/>
            </w:pPr>
            <w:r>
              <w:rPr>
                <w:b w:val="0"/>
                <w:i w:val="0"/>
                <w:sz w:val="20"/>
              </w:rPr>
              <w:t>0.059 (observed non-vaper prevalence; used in main text)</w:t>
            </w:r>
          </w:p>
        </w:tc>
        <w:tc>
          <w:tcPr>
            <w:tcW w:type="dxa" w:w="4320"/>
          </w:tcPr>
          <w:p>
            <w:pPr>
              <w:spacing w:line="240" w:lineRule="auto"/>
            </w:pPr>
            <w:r>
              <w:rPr>
                <w:b w:val="0"/>
                <w:i w:val="0"/>
                <w:sz w:val="20"/>
              </w:rPr>
              <w:t>1.963</w:t>
            </w:r>
          </w:p>
        </w:tc>
      </w:tr>
      <w:tr>
        <w:trPr>
          <w:cantSplit/>
        </w:trPr>
        <w:tc>
          <w:tcPr>
            <w:tcW w:type="dxa" w:w="4320"/>
          </w:tcPr>
          <w:p>
            <w:pPr>
              <w:spacing w:line="240" w:lineRule="auto"/>
            </w:pPr>
            <w:r>
              <w:rPr>
                <w:b w:val="0"/>
                <w:i w:val="0"/>
                <w:sz w:val="20"/>
              </w:rPr>
              <w:t>0.10</w:t>
            </w:r>
          </w:p>
        </w:tc>
        <w:tc>
          <w:tcPr>
            <w:tcW w:type="dxa" w:w="4320"/>
          </w:tcPr>
          <w:p>
            <w:pPr>
              <w:spacing w:line="240" w:lineRule="auto"/>
            </w:pPr>
            <w:r>
              <w:rPr>
                <w:b w:val="0"/>
                <w:i w:val="0"/>
                <w:sz w:val="20"/>
              </w:rPr>
              <w:t>1.959</w:t>
            </w:r>
          </w:p>
        </w:tc>
      </w:tr>
      <w:tr>
        <w:trPr>
          <w:cantSplit/>
        </w:trPr>
        <w:tc>
          <w:tcPr>
            <w:tcW w:type="dxa" w:w="4320"/>
          </w:tcPr>
          <w:p>
            <w:pPr>
              <w:spacing w:line="240" w:lineRule="auto"/>
            </w:pPr>
            <w:r>
              <w:rPr>
                <w:b w:val="0"/>
                <w:i w:val="0"/>
                <w:sz w:val="20"/>
              </w:rPr>
              <w:t>0.20</w:t>
            </w:r>
          </w:p>
        </w:tc>
        <w:tc>
          <w:tcPr>
            <w:tcW w:type="dxa" w:w="4320"/>
          </w:tcPr>
          <w:p>
            <w:pPr>
              <w:spacing w:line="240" w:lineRule="auto"/>
            </w:pPr>
            <w:r>
              <w:rPr>
                <w:b w:val="0"/>
                <w:i w:val="0"/>
                <w:sz w:val="20"/>
              </w:rPr>
              <w:t>1.950</w:t>
            </w:r>
          </w:p>
        </w:tc>
      </w:tr>
      <w:tr>
        <w:trPr>
          <w:cantSplit/>
        </w:trPr>
        <w:tc>
          <w:tcPr>
            <w:tcW w:type="dxa" w:w="4320"/>
          </w:tcPr>
          <w:p>
            <w:pPr>
              <w:spacing w:line="240" w:lineRule="auto"/>
            </w:pPr>
            <w:r>
              <w:rPr>
                <w:b w:val="0"/>
                <w:i w:val="0"/>
                <w:sz w:val="20"/>
              </w:rPr>
              <w:t>0.40</w:t>
            </w:r>
          </w:p>
        </w:tc>
        <w:tc>
          <w:tcPr>
            <w:tcW w:type="dxa" w:w="4320"/>
          </w:tcPr>
          <w:p>
            <w:pPr>
              <w:spacing w:line="240" w:lineRule="auto"/>
            </w:pPr>
            <w:r>
              <w:rPr>
                <w:b w:val="0"/>
                <w:i w:val="0"/>
                <w:sz w:val="20"/>
              </w:rPr>
              <w:t>1.935</w:t>
            </w:r>
          </w:p>
        </w:tc>
      </w:tr>
    </w:tbl>
    <w:p>
      <w:r>
        <w:rPr>
          <w:b w:val="0"/>
          <w:i w:val="0"/>
        </w:rPr>
        <w:t>Range across p₀ = 0.02–0.40: 1.7%.</w:t>
      </w:r>
    </w:p>
    <w:p>
      <w:r>
        <w:rPr>
          <w:b/>
          <w:i w:val="0"/>
        </w:rPr>
        <w:t>S6b. Averaging scale (this sample's weighted composition; p₀ = 0.059)</w:t>
      </w:r>
    </w:p>
    <w:tbl>
      <w:tblPr>
        <w:tblStyle w:val="TableGrid"/>
        <w:tblW w:type="auto" w:w="0"/>
        <w:tblLayout w:type="autofit"/>
        <w:tblLook w:firstColumn="1" w:firstRow="1" w:lastColumn="0" w:lastRow="0" w:noHBand="0" w:noVBand="1" w:val="04A0"/>
      </w:tblPr>
      <w:tblGrid>
        <w:gridCol w:w="4320"/>
        <w:gridCol w:w="4320"/>
      </w:tblGrid>
      <w:tr>
        <w:trPr>
          <w:cantSplit/>
          <w:tblHeader/>
        </w:trPr>
        <w:tc>
          <w:tcPr>
            <w:tcW w:type="dxa" w:w="4320"/>
          </w:tcPr>
          <w:p>
            <w:pPr>
              <w:spacing w:line="240" w:lineRule="auto"/>
            </w:pPr>
            <w:r>
              <w:rPr>
                <w:b/>
                <w:i w:val="0"/>
                <w:sz w:val="20"/>
              </w:rPr>
              <w:t>Scale</w:t>
            </w:r>
          </w:p>
        </w:tc>
        <w:tc>
          <w:tcPr>
            <w:tcW w:type="dxa" w:w="4320"/>
          </w:tcPr>
          <w:p>
            <w:pPr>
              <w:spacing w:line="240" w:lineRule="auto"/>
            </w:pPr>
            <w:r>
              <w:rPr>
                <w:b/>
                <w:i w:val="0"/>
                <w:sz w:val="20"/>
              </w:rPr>
              <w:t>Implied pooled aOR</w:t>
            </w:r>
          </w:p>
        </w:tc>
      </w:tr>
      <w:tr>
        <w:trPr>
          <w:cantSplit/>
        </w:trPr>
        <w:tc>
          <w:tcPr>
            <w:tcW w:type="dxa" w:w="4320"/>
          </w:tcPr>
          <w:p>
            <w:pPr>
              <w:spacing w:line="240" w:lineRule="auto"/>
            </w:pPr>
            <w:r>
              <w:rPr>
                <w:b w:val="0"/>
                <w:i w:val="0"/>
                <w:sz w:val="20"/>
              </w:rPr>
              <w:t>Risk scale (odds ratio → risk → weighted mean → odds ratio; used in main text)</w:t>
            </w:r>
          </w:p>
        </w:tc>
        <w:tc>
          <w:tcPr>
            <w:tcW w:type="dxa" w:w="4320"/>
          </w:tcPr>
          <w:p>
            <w:pPr>
              <w:spacing w:line="240" w:lineRule="auto"/>
            </w:pPr>
            <w:r>
              <w:rPr>
                <w:b w:val="0"/>
                <w:i w:val="0"/>
                <w:sz w:val="20"/>
              </w:rPr>
              <w:t>1.963</w:t>
            </w:r>
          </w:p>
        </w:tc>
      </w:tr>
      <w:tr>
        <w:trPr>
          <w:cantSplit/>
        </w:trPr>
        <w:tc>
          <w:tcPr>
            <w:tcW w:type="dxa" w:w="4320"/>
          </w:tcPr>
          <w:p>
            <w:pPr>
              <w:spacing w:line="240" w:lineRule="auto"/>
            </w:pPr>
            <w:r>
              <w:rPr>
                <w:b w:val="0"/>
                <w:i w:val="0"/>
                <w:sz w:val="20"/>
              </w:rPr>
              <w:t>Arithmetic mean of odds ratios</w:t>
            </w:r>
          </w:p>
        </w:tc>
        <w:tc>
          <w:tcPr>
            <w:tcW w:type="dxa" w:w="4320"/>
          </w:tcPr>
          <w:p>
            <w:pPr>
              <w:spacing w:line="240" w:lineRule="auto"/>
            </w:pPr>
            <w:r>
              <w:rPr>
                <w:b w:val="0"/>
                <w:i w:val="0"/>
                <w:sz w:val="20"/>
              </w:rPr>
              <w:t>1.970</w:t>
            </w:r>
          </w:p>
        </w:tc>
      </w:tr>
      <w:tr>
        <w:trPr>
          <w:cantSplit/>
        </w:trPr>
        <w:tc>
          <w:tcPr>
            <w:tcW w:type="dxa" w:w="4320"/>
          </w:tcPr>
          <w:p>
            <w:pPr>
              <w:spacing w:line="240" w:lineRule="auto"/>
            </w:pPr>
            <w:r>
              <w:rPr>
                <w:b w:val="0"/>
                <w:i w:val="0"/>
                <w:sz w:val="20"/>
              </w:rPr>
              <w:t>Weighted mean of log odds ratios (geometric mean)</w:t>
            </w:r>
          </w:p>
        </w:tc>
        <w:tc>
          <w:tcPr>
            <w:tcW w:type="dxa" w:w="4320"/>
          </w:tcPr>
          <w:p>
            <w:pPr>
              <w:spacing w:line="240" w:lineRule="auto"/>
            </w:pPr>
            <w:r>
              <w:rPr>
                <w:b w:val="0"/>
                <w:i w:val="0"/>
                <w:sz w:val="20"/>
              </w:rPr>
              <w:t>1.939</w:t>
            </w:r>
          </w:p>
        </w:tc>
      </w:tr>
    </w:tbl>
    <w:p>
      <w:r>
        <w:rPr>
          <w:b w:val="0"/>
          <w:i w:val="0"/>
        </w:rPr>
        <w:t>Maximum difference across scales: 1.6%. Both perturbations are an order of magnitude smaller than the compositional range reported in Table 3 (9.9%) and do not affect any conclusion.</w:t>
      </w:r>
    </w:p>
    <w:p>
      <w:r>
        <w:rPr>
          <w:b/>
          <w:i w:val="0"/>
        </w:rPr>
        <w:t>S6c. Internal calibration.</w:t>
      </w:r>
      <w:r>
        <w:rPr>
          <w:b w:val="0"/>
          <w:i w:val="0"/>
        </w:rPr>
        <w:t xml:space="preserve"> Applied to the THC-only (2.45) and dual (2.23) estimates with their unweighted proportions (1,873 : 1,946), the risk-scale procedure gives 2.337, against the directly fitted three-group "THC vaping" estimate of 2.34 (difference 0.003). Applied to all three groups with this sample's weighted composition, it gives 1.963, against the directly fitted "any vaping" estimate of 1.94 (difference 1.0%). Adjusted odds ratios are non-collapsible, so the re-weighting is an interpretable approximation rather than an algebraic reconstruction of a marginal logistic coefficient; these two checks bound the discrepancy in this dataset.</w:t>
      </w:r>
    </w:p>
    <w:p>
      <w:pPr>
        <w:pStyle w:val="Heading1"/>
      </w:pPr>
      <w:r>
        <w:rPr>
          <w:rFonts w:ascii="Times New Roman" w:hAnsi="Times New Roman"/>
          <w:b/>
          <w:i w:val="0"/>
          <w:sz w:val="26"/>
        </w:rPr>
        <w:t>Missing data</w:t>
      </w:r>
    </w:p>
    <w:p>
      <w:r>
        <w:rPr>
          <w:b w:val="0"/>
          <w:i w:val="0"/>
        </w:rPr>
        <w:t>Missing data were minimal (0.29% of the adult sample, confined to household income); the outcome and exposure variables had no missing values. Missingness did not differ across exposure groups under either the three-group (χ² = 1.28, df = 2, p = 0.53) or the four-group (χ² = 1.28, df = 3, p = 0.73) classification. Primary and marijuana-adjusted models included 47,163 adults; models additionally adjusting for major depressive episode included 45,526 (a further 1,637 excluded for missing depression data).</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Kaofei Sayion</dc:creator>
  <cp:keywords/>
  <dc:description/>
  <cp:lastModifiedBy>Kaofei Sayion</cp:lastModifiedBy>
  <cp:revision>1</cp:revision>
  <dcterms:created xsi:type="dcterms:W3CDTF">2026-08-16T23:30:27Z</dcterms:created>
  <dcterms:modified xsi:type="dcterms:W3CDTF">2026-08-16T23:30:27Z</dcterms:modified>
  <cp:category/>
</cp:coreProperties>
</file>