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1610B1">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Supplementary Information</w:t>
      </w:r>
    </w:p>
    <w:p w14:paraId="409EF4F9">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Theoretical Supplement: Conceptual Foundations of the Sᵢ Framework</w:t>
      </w:r>
    </w:p>
    <w:p w14:paraId="44920F29">
      <w:pPr>
        <w:spacing w:line="360" w:lineRule="auto"/>
        <w:rPr>
          <w:rFonts w:hint="default" w:ascii="Times New Roman" w:hAnsi="Times New Roman" w:cs="Times New Roman"/>
          <w:sz w:val="24"/>
          <w:szCs w:val="24"/>
        </w:rPr>
      </w:pPr>
    </w:p>
    <w:p w14:paraId="1D509CF3">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S1. System Dynamics: Conceptual Clarifications</w:t>
      </w:r>
    </w:p>
    <w:p w14:paraId="05057376">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The Sᵢ framework is built on three conceptual nuances that are elaborated here beyond the main text.</w:t>
      </w:r>
    </w:p>
    <w:p w14:paraId="4166448E">
      <w:pPr>
        <w:spacing w:line="360" w:lineRule="auto"/>
        <w:rPr>
          <w:rFonts w:hint="default" w:ascii="Times New Roman" w:hAnsi="Times New Roman" w:cs="Times New Roman"/>
          <w:sz w:val="24"/>
          <w:szCs w:val="24"/>
        </w:rPr>
      </w:pPr>
    </w:p>
    <w:p w14:paraId="5B3962D1">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Path classification: For a concise summary of the core distinctions among Route A, B1, B2, and the boundary case Route C with representative scenarios, see the "Path Classification Summary" table in the main text (Framework Admission Criteria—Entry Routes). The following discussion applies this classification directly.</w:t>
      </w:r>
    </w:p>
    <w:p w14:paraId="230F8D54">
      <w:pPr>
        <w:spacing w:line="360" w:lineRule="auto"/>
        <w:rPr>
          <w:rFonts w:hint="default" w:ascii="Times New Roman" w:hAnsi="Times New Roman" w:cs="Times New Roman"/>
          <w:sz w:val="24"/>
          <w:szCs w:val="24"/>
        </w:rPr>
      </w:pPr>
    </w:p>
    <w:p w14:paraId="272E2A6E">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Probabilistic gating, not deterministic programming. The immune tide biases the entry route rather than absolutely determining it. A pro-inflammatory tide strongly favors Route A; a suppressive tide strongly favors Route B. This probabilistic framing accounts for stochastic variation in individual immune responses and explains why identical antigens occasionally yield divergent outcomes even under similar macroscopic conditions.</w:t>
      </w:r>
    </w:p>
    <w:p w14:paraId="45577761">
      <w:pPr>
        <w:spacing w:line="360" w:lineRule="auto"/>
        <w:rPr>
          <w:rFonts w:hint="default" w:ascii="Times New Roman" w:hAnsi="Times New Roman" w:cs="Times New Roman"/>
          <w:sz w:val="24"/>
          <w:szCs w:val="24"/>
        </w:rPr>
      </w:pPr>
    </w:p>
    <w:p w14:paraId="53FD4A2D">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S</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is system-local, not globally fixed. S* represents a critical bifurcation threshold within a given local dynamical system (e.g., a specific lymph node basin, a tumor microenvironment, or the decidua). Its absolute value can shift across tissues due to variations in local IL-2 availability, TGF-β concentration, and metabolic constraints. The framework does not require cross-tissue numerical equivalence of S*; it requires only that a clear threshold exists within each defined system.</w:t>
      </w:r>
    </w:p>
    <w:p w14:paraId="310806F5">
      <w:pPr>
        <w:spacing w:line="360" w:lineRule="auto"/>
        <w:rPr>
          <w:rFonts w:hint="default" w:ascii="Times New Roman" w:hAnsi="Times New Roman" w:cs="Times New Roman"/>
          <w:sz w:val="24"/>
          <w:szCs w:val="24"/>
        </w:rPr>
      </w:pPr>
    </w:p>
    <w:p w14:paraId="1F76720D">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Two distinct uses of Sᵢ. Two levels of Sᵢ must be clearly distinguished:</w:t>
      </w:r>
    </w:p>
    <w:p w14:paraId="3097A63C">
      <w:pPr>
        <w:spacing w:line="360" w:lineRule="auto"/>
        <w:rPr>
          <w:rFonts w:hint="default" w:ascii="Times New Roman" w:hAnsi="Times New Roman" w:cs="Times New Roman"/>
          <w:sz w:val="24"/>
          <w:szCs w:val="24"/>
        </w:rPr>
      </w:pPr>
    </w:p>
    <w:p w14:paraId="0C78EB13">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Dynamic Sᵢ(t) : The actual time-varying state variable within an individual patient, evolving as Treg/Tpex balance changes over time. This is the entity referred to in all predictions regarding phase transitions and critical slowing down.</w:t>
      </w:r>
    </w:p>
    <w:p w14:paraId="05D87599">
      <w:pPr>
        <w:spacing w:line="360" w:lineRule="auto"/>
        <w:rPr>
          <w:rFonts w:hint="default" w:ascii="Times New Roman" w:hAnsi="Times New Roman" w:cs="Times New Roman"/>
          <w:sz w:val="24"/>
          <w:szCs w:val="24"/>
        </w:rPr>
      </w:pPr>
    </w:p>
    <w:p w14:paraId="76E04909">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Cross-sectional proxy Sᵢ : An inferred approximation based on static biomarker measurements (e.g., HBsAg titer, tumor burden), used for population stratification and clinical trial enrichment. This serves only as a heuristic guide and is not a substitute for longitudinal monitoring.</w:t>
      </w:r>
    </w:p>
    <w:p w14:paraId="248CCCF6">
      <w:pPr>
        <w:spacing w:line="360" w:lineRule="auto"/>
        <w:rPr>
          <w:rFonts w:hint="default" w:ascii="Times New Roman" w:hAnsi="Times New Roman" w:cs="Times New Roman"/>
          <w:sz w:val="24"/>
          <w:szCs w:val="24"/>
        </w:rPr>
      </w:pPr>
    </w:p>
    <w:p w14:paraId="37997285">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S2. Critical Slowing Down: Methodological Considerations</w:t>
      </w:r>
    </w:p>
    <w:p w14:paraId="00A44296">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Critical slowing down is characterized by three statistical signatures—slowed recovery, increased variance, and elevated autocorrelation—that emerge as a system approaches S* [1,2]. These signatures precede the actual immune state transition, providing a theoretical early-warning window.</w:t>
      </w:r>
    </w:p>
    <w:p w14:paraId="7DDFEA2E">
      <w:pPr>
        <w:spacing w:line="360" w:lineRule="auto"/>
        <w:rPr>
          <w:rFonts w:hint="default" w:ascii="Times New Roman" w:hAnsi="Times New Roman" w:cs="Times New Roman"/>
          <w:sz w:val="24"/>
          <w:szCs w:val="24"/>
        </w:rPr>
      </w:pPr>
    </w:p>
    <w:p w14:paraId="3B3EEEDA">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Critical methodological requirement: Detection of these signals requires sufficiently high-frequency longitudinal sampling relative to the system's intrinsic fluctuation timescale (i.e., satisfying the Nyquist criterion). Sparse sampling (e.g., quarterly measurements for rapidly fluctuating markers such as Treg frequencies or cytokine levels) is inadequate to test this prediction. A minimum of weekly or bi-weekly sampling during critical windows is recommended for early-warning signal detection in clinical translation.</w:t>
      </w:r>
    </w:p>
    <w:p w14:paraId="5F9BFAD5">
      <w:pPr>
        <w:spacing w:line="360" w:lineRule="auto"/>
        <w:rPr>
          <w:rFonts w:hint="default" w:ascii="Times New Roman" w:hAnsi="Times New Roman" w:cs="Times New Roman"/>
          <w:sz w:val="24"/>
          <w:szCs w:val="24"/>
        </w:rPr>
      </w:pPr>
    </w:p>
    <w:p w14:paraId="63C98FDC">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S3. Cross-Disease Interpretive Summary</w:t>
      </w:r>
    </w:p>
    <w:p w14:paraId="28357407">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The table below provides a consolidated interpretation of each scenario's Sᵢ trajectory, with emphasis on the immune tide context and entry route distinctions not fully captured in the main Table 1.</w:t>
      </w:r>
    </w:p>
    <w:p w14:paraId="6959B409">
      <w:pPr>
        <w:spacing w:line="360" w:lineRule="auto"/>
        <w:rPr>
          <w:rFonts w:hint="default" w:ascii="Times New Roman" w:hAnsi="Times New Roman" w:cs="Times New Roman"/>
          <w:sz w:val="24"/>
          <w:szCs w:val="24"/>
        </w:rPr>
      </w:pP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left w:w="108" w:type="dxa"/>
          <w:right w:w="108" w:type="dxa"/>
        </w:tblCellMar>
      </w:tblPr>
      <w:tblGrid>
        <w:gridCol w:w="2429"/>
        <w:gridCol w:w="1553"/>
        <w:gridCol w:w="1515"/>
        <w:gridCol w:w="630"/>
        <w:gridCol w:w="1091"/>
        <w:gridCol w:w="1304"/>
      </w:tblGrid>
      <w:tr w14:paraId="3A111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1420" w:type="dxa"/>
          </w:tcPr>
          <w:p w14:paraId="26487A73">
            <w:pPr>
              <w:spacing w:line="360" w:lineRule="auto"/>
            </w:pPr>
            <w:r>
              <w:rPr>
                <w:rFonts w:hint="default" w:ascii="Times New Roman" w:hAnsi="Times New Roman" w:cs="Times New Roman"/>
                <w:sz w:val="24"/>
                <w:szCs w:val="24"/>
              </w:rPr>
              <w:t>Scenario</w:t>
            </w:r>
          </w:p>
        </w:tc>
        <w:tc>
          <w:tcPr>
            <w:tcW w:w="1420" w:type="dxa"/>
          </w:tcPr>
          <w:p w14:paraId="48608A58">
            <w:pPr>
              <w:spacing w:line="360" w:lineRule="auto"/>
            </w:pPr>
            <w:r>
              <w:rPr>
                <w:rFonts w:hint="default" w:ascii="Times New Roman" w:hAnsi="Times New Roman" w:cs="Times New Roman"/>
                <w:sz w:val="24"/>
                <w:szCs w:val="24"/>
              </w:rPr>
              <w:t>Immune Tide at Exposure</w:t>
            </w:r>
          </w:p>
        </w:tc>
        <w:tc>
          <w:tcPr>
            <w:tcW w:w="1420" w:type="dxa"/>
          </w:tcPr>
          <w:p w14:paraId="2FC81C0E">
            <w:pPr>
              <w:spacing w:line="360" w:lineRule="auto"/>
            </w:pPr>
            <w:r>
              <w:rPr>
                <w:rFonts w:hint="default" w:ascii="Times New Roman" w:hAnsi="Times New Roman" w:cs="Times New Roman"/>
                <w:sz w:val="24"/>
                <w:szCs w:val="24"/>
              </w:rPr>
              <w:t>Local Microenvironment</w:t>
            </w:r>
          </w:p>
        </w:tc>
        <w:tc>
          <w:tcPr>
            <w:tcW w:w="1420" w:type="dxa"/>
          </w:tcPr>
          <w:p w14:paraId="4D7E0E29">
            <w:pPr>
              <w:spacing w:line="360" w:lineRule="auto"/>
            </w:pPr>
            <w:r>
              <w:rPr>
                <w:rFonts w:hint="default" w:ascii="Times New Roman" w:hAnsi="Times New Roman" w:cs="Times New Roman"/>
                <w:sz w:val="24"/>
                <w:szCs w:val="24"/>
              </w:rPr>
              <w:t>Entry Route</w:t>
            </w:r>
          </w:p>
        </w:tc>
        <w:tc>
          <w:tcPr>
            <w:tcW w:w="1421" w:type="dxa"/>
          </w:tcPr>
          <w:p w14:paraId="0C2F8FBD">
            <w:pPr>
              <w:spacing w:line="360" w:lineRule="auto"/>
            </w:pPr>
            <w:r>
              <w:rPr>
                <w:rFonts w:hint="default" w:ascii="Times New Roman" w:hAnsi="Times New Roman" w:cs="Times New Roman"/>
                <w:sz w:val="24"/>
                <w:szCs w:val="24"/>
              </w:rPr>
              <w:t>Sᵢ trajectory relative to S*</w:t>
            </w:r>
          </w:p>
        </w:tc>
        <w:tc>
          <w:tcPr>
            <w:tcW w:w="1421" w:type="dxa"/>
          </w:tcPr>
          <w:p w14:paraId="7FF9EFAF">
            <w:pPr>
              <w:spacing w:line="360" w:lineRule="auto"/>
            </w:pPr>
            <w:r>
              <w:rPr>
                <w:rFonts w:hint="default" w:ascii="Times New Roman" w:hAnsi="Times New Roman" w:cs="Times New Roman"/>
                <w:sz w:val="24"/>
                <w:szCs w:val="24"/>
              </w:rPr>
              <w:t>Dynamical interpretation</w:t>
            </w:r>
          </w:p>
        </w:tc>
      </w:tr>
      <w:tr w14:paraId="0B7FC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1420" w:type="dxa"/>
          </w:tcPr>
          <w:p w14:paraId="4D99922A">
            <w:pPr>
              <w:spacing w:line="360" w:lineRule="auto"/>
            </w:pPr>
            <w:r>
              <w:rPr>
                <w:rFonts w:hint="default" w:ascii="Times New Roman" w:hAnsi="Times New Roman" w:cs="Times New Roman"/>
                <w:sz w:val="24"/>
                <w:szCs w:val="24"/>
              </w:rPr>
              <w:t>Adult acute infection → chronic</w:t>
            </w:r>
          </w:p>
        </w:tc>
        <w:tc>
          <w:tcPr>
            <w:tcW w:w="1420" w:type="dxa"/>
          </w:tcPr>
          <w:p w14:paraId="12015240">
            <w:pPr>
              <w:spacing w:line="360" w:lineRule="auto"/>
            </w:pPr>
            <w:r>
              <w:rPr>
                <w:rFonts w:hint="default" w:ascii="Times New Roman" w:hAnsi="Times New Roman" w:cs="Times New Roman"/>
                <w:sz w:val="24"/>
                <w:szCs w:val="24"/>
              </w:rPr>
              <w:t>Pro-inflammatory (baseline)</w:t>
            </w:r>
          </w:p>
        </w:tc>
        <w:tc>
          <w:tcPr>
            <w:tcW w:w="1420" w:type="dxa"/>
          </w:tcPr>
          <w:p w14:paraId="1B98D0CF">
            <w:pPr>
              <w:spacing w:line="360" w:lineRule="auto"/>
            </w:pPr>
            <w:r>
              <w:rPr>
                <w:rFonts w:hint="default" w:ascii="Times New Roman" w:hAnsi="Times New Roman" w:cs="Times New Roman"/>
                <w:sz w:val="24"/>
                <w:szCs w:val="24"/>
              </w:rPr>
              <w:t>Normal</w:t>
            </w:r>
          </w:p>
        </w:tc>
        <w:tc>
          <w:tcPr>
            <w:tcW w:w="1420" w:type="dxa"/>
          </w:tcPr>
          <w:p w14:paraId="301314EF">
            <w:pPr>
              <w:spacing w:line="360" w:lineRule="auto"/>
            </w:pPr>
            <w:r>
              <w:rPr>
                <w:rFonts w:hint="default" w:ascii="Times New Roman" w:hAnsi="Times New Roman" w:cs="Times New Roman"/>
                <w:sz w:val="24"/>
                <w:szCs w:val="24"/>
              </w:rPr>
              <w:t>Route A</w:t>
            </w:r>
          </w:p>
        </w:tc>
        <w:tc>
          <w:tcPr>
            <w:tcW w:w="1421" w:type="dxa"/>
          </w:tcPr>
          <w:p w14:paraId="74CB92BA">
            <w:pPr>
              <w:spacing w:line="360" w:lineRule="auto"/>
            </w:pPr>
            <w:r>
              <w:rPr>
                <w:rFonts w:hint="default" w:ascii="Times New Roman" w:hAnsi="Times New Roman" w:cs="Times New Roman"/>
                <w:sz w:val="24"/>
                <w:szCs w:val="24"/>
              </w:rPr>
              <w:t>Fluctuating attempt → stabilizes above S*</w:t>
            </w:r>
          </w:p>
        </w:tc>
        <w:tc>
          <w:tcPr>
            <w:tcW w:w="1421" w:type="dxa"/>
          </w:tcPr>
          <w:p w14:paraId="1A8A6E09">
            <w:pPr>
              <w:spacing w:line="360" w:lineRule="auto"/>
            </w:pPr>
            <w:r>
              <w:rPr>
                <w:rFonts w:hint="default" w:ascii="Times New Roman" w:hAnsi="Times New Roman" w:cs="Times New Roman"/>
                <w:sz w:val="24"/>
                <w:szCs w:val="24"/>
              </w:rPr>
              <w:t>Failed burst clearance; enters chronic high-Sᵢ state</w:t>
            </w:r>
          </w:p>
        </w:tc>
      </w:tr>
      <w:tr w14:paraId="15EFC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1420" w:type="dxa"/>
          </w:tcPr>
          <w:p w14:paraId="4BF6FE63">
            <w:pPr>
              <w:spacing w:line="360" w:lineRule="auto"/>
            </w:pPr>
            <w:r>
              <w:rPr>
                <w:rFonts w:hint="default" w:ascii="Times New Roman" w:hAnsi="Times New Roman" w:cs="Times New Roman"/>
                <w:sz w:val="24"/>
                <w:szCs w:val="24"/>
              </w:rPr>
              <w:t>Early-childhood infection (age &lt; 5–7)</w:t>
            </w:r>
          </w:p>
        </w:tc>
        <w:tc>
          <w:tcPr>
            <w:tcW w:w="1420" w:type="dxa"/>
          </w:tcPr>
          <w:p w14:paraId="07D47C84">
            <w:pPr>
              <w:spacing w:line="360" w:lineRule="auto"/>
            </w:pPr>
            <w:r>
              <w:rPr>
                <w:rFonts w:hint="default" w:ascii="Times New Roman" w:hAnsi="Times New Roman" w:cs="Times New Roman"/>
                <w:sz w:val="24"/>
                <w:szCs w:val="24"/>
              </w:rPr>
              <w:t>Developmental (iTreg-skewed)</w:t>
            </w:r>
          </w:p>
        </w:tc>
        <w:tc>
          <w:tcPr>
            <w:tcW w:w="1420" w:type="dxa"/>
          </w:tcPr>
          <w:p w14:paraId="70476F4A">
            <w:pPr>
              <w:spacing w:line="360" w:lineRule="auto"/>
            </w:pPr>
            <w:r>
              <w:rPr>
                <w:rFonts w:hint="default" w:ascii="Times New Roman" w:hAnsi="Times New Roman" w:cs="Times New Roman"/>
                <w:sz w:val="24"/>
                <w:szCs w:val="24"/>
              </w:rPr>
              <w:t>Normal</w:t>
            </w:r>
          </w:p>
        </w:tc>
        <w:tc>
          <w:tcPr>
            <w:tcW w:w="1420" w:type="dxa"/>
          </w:tcPr>
          <w:p w14:paraId="6E04C513">
            <w:pPr>
              <w:spacing w:line="360" w:lineRule="auto"/>
            </w:pPr>
            <w:r>
              <w:rPr>
                <w:rFonts w:hint="default" w:ascii="Times New Roman" w:hAnsi="Times New Roman" w:cs="Times New Roman"/>
                <w:sz w:val="24"/>
                <w:szCs w:val="24"/>
              </w:rPr>
              <w:t>Route B1</w:t>
            </w:r>
          </w:p>
        </w:tc>
        <w:tc>
          <w:tcPr>
            <w:tcW w:w="1421" w:type="dxa"/>
          </w:tcPr>
          <w:p w14:paraId="4D0C395B">
            <w:pPr>
              <w:spacing w:line="360" w:lineRule="auto"/>
            </w:pPr>
            <w:r>
              <w:rPr>
                <w:rFonts w:hint="default" w:ascii="Times New Roman" w:hAnsi="Times New Roman" w:cs="Times New Roman"/>
                <w:sz w:val="24"/>
                <w:szCs w:val="24"/>
              </w:rPr>
              <w:t>High-level maintenance above S*</w:t>
            </w:r>
          </w:p>
        </w:tc>
        <w:tc>
          <w:tcPr>
            <w:tcW w:w="1421" w:type="dxa"/>
          </w:tcPr>
          <w:p w14:paraId="74FA4503">
            <w:pPr>
              <w:spacing w:line="360" w:lineRule="auto"/>
            </w:pPr>
            <w:r>
              <w:rPr>
                <w:rFonts w:hint="default" w:ascii="Times New Roman" w:hAnsi="Times New Roman" w:cs="Times New Roman"/>
                <w:sz w:val="24"/>
                <w:szCs w:val="24"/>
              </w:rPr>
              <w:t>iTreg skewing prevents clearance initiation</w:t>
            </w:r>
          </w:p>
        </w:tc>
      </w:tr>
      <w:tr w14:paraId="05581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1420" w:type="dxa"/>
          </w:tcPr>
          <w:p w14:paraId="0A8B7C5F">
            <w:pPr>
              <w:spacing w:line="360" w:lineRule="auto"/>
            </w:pPr>
            <w:r>
              <w:rPr>
                <w:rFonts w:hint="default" w:ascii="Times New Roman" w:hAnsi="Times New Roman" w:cs="Times New Roman"/>
                <w:sz w:val="24"/>
                <w:szCs w:val="24"/>
              </w:rPr>
              <w:t>Tumor—founding clone</w:t>
            </w:r>
          </w:p>
        </w:tc>
        <w:tc>
          <w:tcPr>
            <w:tcW w:w="1420" w:type="dxa"/>
          </w:tcPr>
          <w:p w14:paraId="6BBCADBD">
            <w:pPr>
              <w:spacing w:line="360" w:lineRule="auto"/>
            </w:pPr>
            <w:r>
              <w:rPr>
                <w:rFonts w:hint="default" w:ascii="Times New Roman" w:hAnsi="Times New Roman" w:cs="Times New Roman"/>
                <w:sz w:val="24"/>
                <w:szCs w:val="24"/>
              </w:rPr>
              <w:t>Pro-inflammatory (baseline)</w:t>
            </w:r>
          </w:p>
        </w:tc>
        <w:tc>
          <w:tcPr>
            <w:tcW w:w="1420" w:type="dxa"/>
          </w:tcPr>
          <w:p w14:paraId="01C38B91">
            <w:pPr>
              <w:spacing w:line="360" w:lineRule="auto"/>
            </w:pPr>
            <w:r>
              <w:rPr>
                <w:rFonts w:hint="default" w:ascii="Times New Roman" w:hAnsi="Times New Roman" w:cs="Times New Roman"/>
                <w:sz w:val="24"/>
                <w:szCs w:val="24"/>
              </w:rPr>
              <w:t>Normal (non-inflamed)</w:t>
            </w:r>
          </w:p>
        </w:tc>
        <w:tc>
          <w:tcPr>
            <w:tcW w:w="1420" w:type="dxa"/>
          </w:tcPr>
          <w:p w14:paraId="297E2311">
            <w:pPr>
              <w:spacing w:line="360" w:lineRule="auto"/>
            </w:pPr>
            <w:r>
              <w:rPr>
                <w:rFonts w:hint="default" w:ascii="Times New Roman" w:hAnsi="Times New Roman" w:cs="Times New Roman"/>
                <w:sz w:val="24"/>
                <w:szCs w:val="24"/>
              </w:rPr>
              <w:t>Route A</w:t>
            </w:r>
          </w:p>
        </w:tc>
        <w:tc>
          <w:tcPr>
            <w:tcW w:w="1421" w:type="dxa"/>
          </w:tcPr>
          <w:p w14:paraId="5E448579">
            <w:pPr>
              <w:spacing w:line="360" w:lineRule="auto"/>
            </w:pPr>
            <w:r>
              <w:rPr>
                <w:rFonts w:hint="default" w:ascii="Times New Roman" w:hAnsi="Times New Roman" w:cs="Times New Roman"/>
                <w:sz w:val="24"/>
                <w:szCs w:val="24"/>
              </w:rPr>
              <w:t>Fluctuating decline → crosses S*</w:t>
            </w:r>
          </w:p>
        </w:tc>
        <w:tc>
          <w:tcPr>
            <w:tcW w:w="1421" w:type="dxa"/>
          </w:tcPr>
          <w:p w14:paraId="326C8CEC">
            <w:pPr>
              <w:spacing w:line="360" w:lineRule="auto"/>
            </w:pPr>
            <w:r>
              <w:rPr>
                <w:rFonts w:hint="default" w:ascii="Times New Roman" w:hAnsi="Times New Roman" w:cs="Times New Roman"/>
                <w:sz w:val="24"/>
                <w:szCs w:val="24"/>
              </w:rPr>
              <w:t>Progressive immune control; limited antigens</w:t>
            </w:r>
          </w:p>
        </w:tc>
      </w:tr>
      <w:tr w14:paraId="35EA2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1420" w:type="dxa"/>
          </w:tcPr>
          <w:p w14:paraId="25D87264">
            <w:pPr>
              <w:spacing w:line="360" w:lineRule="auto"/>
            </w:pPr>
            <w:r>
              <w:rPr>
                <w:rFonts w:hint="default" w:ascii="Times New Roman" w:hAnsi="Times New Roman" w:cs="Times New Roman"/>
                <w:sz w:val="24"/>
                <w:szCs w:val="24"/>
              </w:rPr>
              <w:t>Tumor—subclonal variants</w:t>
            </w:r>
          </w:p>
        </w:tc>
        <w:tc>
          <w:tcPr>
            <w:tcW w:w="1420" w:type="dxa"/>
          </w:tcPr>
          <w:p w14:paraId="01937031">
            <w:pPr>
              <w:spacing w:line="360" w:lineRule="auto"/>
            </w:pPr>
            <w:r>
              <w:rPr>
                <w:rFonts w:hint="default" w:ascii="Times New Roman" w:hAnsi="Times New Roman" w:cs="Times New Roman"/>
                <w:sz w:val="24"/>
                <w:szCs w:val="24"/>
              </w:rPr>
              <w:t>Post-inflammatory suppressive</w:t>
            </w:r>
          </w:p>
        </w:tc>
        <w:tc>
          <w:tcPr>
            <w:tcW w:w="1420" w:type="dxa"/>
          </w:tcPr>
          <w:p w14:paraId="38D798C7">
            <w:pPr>
              <w:spacing w:line="360" w:lineRule="auto"/>
            </w:pPr>
            <w:r>
              <w:rPr>
                <w:rFonts w:hint="default" w:ascii="Times New Roman" w:hAnsi="Times New Roman" w:cs="Times New Roman"/>
                <w:sz w:val="24"/>
                <w:szCs w:val="24"/>
              </w:rPr>
              <w:t>Inflamed, TGF-β-rich</w:t>
            </w:r>
          </w:p>
        </w:tc>
        <w:tc>
          <w:tcPr>
            <w:tcW w:w="1420" w:type="dxa"/>
          </w:tcPr>
          <w:p w14:paraId="1DC3DC4E">
            <w:pPr>
              <w:spacing w:line="360" w:lineRule="auto"/>
            </w:pPr>
            <w:r>
              <w:rPr>
                <w:rFonts w:hint="default" w:ascii="Times New Roman" w:hAnsi="Times New Roman" w:cs="Times New Roman"/>
                <w:sz w:val="24"/>
                <w:szCs w:val="24"/>
              </w:rPr>
              <w:t>Route B2</w:t>
            </w:r>
          </w:p>
        </w:tc>
        <w:tc>
          <w:tcPr>
            <w:tcW w:w="1421" w:type="dxa"/>
          </w:tcPr>
          <w:p w14:paraId="64E77BD5">
            <w:pPr>
              <w:spacing w:line="360" w:lineRule="auto"/>
            </w:pPr>
            <w:r>
              <w:rPr>
                <w:rFonts w:hint="default" w:ascii="Times New Roman" w:hAnsi="Times New Roman" w:cs="Times New Roman"/>
                <w:sz w:val="24"/>
                <w:szCs w:val="24"/>
              </w:rPr>
              <w:t>Cannot decline → stalls above S*</w:t>
            </w:r>
          </w:p>
        </w:tc>
        <w:tc>
          <w:tcPr>
            <w:tcW w:w="1421" w:type="dxa"/>
          </w:tcPr>
          <w:p w14:paraId="6E9DB3B0">
            <w:pPr>
              <w:spacing w:line="360" w:lineRule="auto"/>
            </w:pPr>
            <w:r>
              <w:rPr>
                <w:rFonts w:hint="default" w:ascii="Times New Roman" w:hAnsi="Times New Roman" w:cs="Times New Roman"/>
                <w:sz w:val="24"/>
                <w:szCs w:val="24"/>
              </w:rPr>
              <w:t>Immune escape via resource dilution</w:t>
            </w:r>
          </w:p>
        </w:tc>
      </w:tr>
      <w:tr w14:paraId="53CE0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1420" w:type="dxa"/>
          </w:tcPr>
          <w:p w14:paraId="2F5E287D">
            <w:pPr>
              <w:spacing w:line="360" w:lineRule="auto"/>
            </w:pPr>
            <w:r>
              <w:rPr>
                <w:rFonts w:hint="default" w:ascii="Times New Roman" w:hAnsi="Times New Roman" w:cs="Times New Roman"/>
                <w:sz w:val="24"/>
                <w:szCs w:val="24"/>
              </w:rPr>
              <w:t>Pregnancy</w:t>
            </w:r>
          </w:p>
        </w:tc>
        <w:tc>
          <w:tcPr>
            <w:tcW w:w="1420" w:type="dxa"/>
          </w:tcPr>
          <w:p w14:paraId="27BE2EB0">
            <w:pPr>
              <w:spacing w:line="360" w:lineRule="auto"/>
            </w:pPr>
            <w:r>
              <w:rPr>
                <w:rFonts w:hint="default" w:ascii="Times New Roman" w:hAnsi="Times New Roman" w:cs="Times New Roman"/>
                <w:sz w:val="24"/>
                <w:szCs w:val="24"/>
              </w:rPr>
              <w:t>Suppressed (post-implantation)</w:t>
            </w:r>
          </w:p>
        </w:tc>
        <w:tc>
          <w:tcPr>
            <w:tcW w:w="1420" w:type="dxa"/>
          </w:tcPr>
          <w:p w14:paraId="72454123">
            <w:pPr>
              <w:spacing w:line="360" w:lineRule="auto"/>
            </w:pPr>
            <w:r>
              <w:rPr>
                <w:rFonts w:hint="default" w:ascii="Times New Roman" w:hAnsi="Times New Roman" w:cs="Times New Roman"/>
                <w:sz w:val="24"/>
                <w:szCs w:val="24"/>
              </w:rPr>
              <w:t>Decidual (IDO/IL-10)</w:t>
            </w:r>
          </w:p>
        </w:tc>
        <w:tc>
          <w:tcPr>
            <w:tcW w:w="1420" w:type="dxa"/>
          </w:tcPr>
          <w:p w14:paraId="63198766">
            <w:pPr>
              <w:spacing w:line="360" w:lineRule="auto"/>
            </w:pPr>
            <w:r>
              <w:rPr>
                <w:rFonts w:hint="default" w:ascii="Times New Roman" w:hAnsi="Times New Roman" w:cs="Times New Roman"/>
                <w:sz w:val="24"/>
                <w:szCs w:val="24"/>
              </w:rPr>
              <w:t>Route B2</w:t>
            </w:r>
          </w:p>
        </w:tc>
        <w:tc>
          <w:tcPr>
            <w:tcW w:w="1421" w:type="dxa"/>
          </w:tcPr>
          <w:p w14:paraId="7FB1D886">
            <w:pPr>
              <w:spacing w:line="360" w:lineRule="auto"/>
            </w:pPr>
            <w:r>
              <w:rPr>
                <w:rFonts w:hint="default" w:ascii="Times New Roman" w:hAnsi="Times New Roman" w:cs="Times New Roman"/>
                <w:sz w:val="24"/>
                <w:szCs w:val="24"/>
              </w:rPr>
              <w:t>Rise → crosses S* → rebounds</w:t>
            </w:r>
          </w:p>
        </w:tc>
        <w:tc>
          <w:tcPr>
            <w:tcW w:w="1421" w:type="dxa"/>
          </w:tcPr>
          <w:p w14:paraId="2217F429">
            <w:pPr>
              <w:spacing w:line="360" w:lineRule="auto"/>
            </w:pPr>
            <w:r>
              <w:rPr>
                <w:rFonts w:hint="default" w:ascii="Times New Roman" w:hAnsi="Times New Roman" w:cs="Times New Roman"/>
                <w:sz w:val="24"/>
                <w:szCs w:val="24"/>
              </w:rPr>
              <w:t>Programmed withdrawal at parturition</w:t>
            </w:r>
          </w:p>
        </w:tc>
      </w:tr>
      <w:tr w14:paraId="0C443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1420" w:type="dxa"/>
          </w:tcPr>
          <w:p w14:paraId="2594156C">
            <w:pPr>
              <w:spacing w:line="360" w:lineRule="auto"/>
            </w:pPr>
            <w:r>
              <w:rPr>
                <w:rFonts w:hint="default" w:ascii="Times New Roman" w:hAnsi="Times New Roman" w:cs="Times New Roman"/>
                <w:sz w:val="24"/>
                <w:szCs w:val="24"/>
              </w:rPr>
              <w:t>Transplantation—standard</w:t>
            </w:r>
          </w:p>
        </w:tc>
        <w:tc>
          <w:tcPr>
            <w:tcW w:w="1420" w:type="dxa"/>
          </w:tcPr>
          <w:p w14:paraId="59AA4A66">
            <w:pPr>
              <w:spacing w:line="360" w:lineRule="auto"/>
            </w:pPr>
            <w:r>
              <w:rPr>
                <w:rFonts w:hint="default" w:ascii="Times New Roman" w:hAnsi="Times New Roman" w:cs="Times New Roman"/>
                <w:sz w:val="24"/>
                <w:szCs w:val="24"/>
              </w:rPr>
              <w:t>Pro-inflammatory</w:t>
            </w:r>
          </w:p>
        </w:tc>
        <w:tc>
          <w:tcPr>
            <w:tcW w:w="1420" w:type="dxa"/>
          </w:tcPr>
          <w:p w14:paraId="4B3EA255">
            <w:pPr>
              <w:spacing w:line="360" w:lineRule="auto"/>
            </w:pPr>
            <w:r>
              <w:rPr>
                <w:rFonts w:hint="default" w:ascii="Times New Roman" w:hAnsi="Times New Roman" w:cs="Times New Roman"/>
                <w:sz w:val="24"/>
                <w:szCs w:val="24"/>
              </w:rPr>
              <w:t>Graft (inflamed)</w:t>
            </w:r>
          </w:p>
        </w:tc>
        <w:tc>
          <w:tcPr>
            <w:tcW w:w="1420" w:type="dxa"/>
          </w:tcPr>
          <w:p w14:paraId="0B787668">
            <w:pPr>
              <w:spacing w:line="360" w:lineRule="auto"/>
            </w:pPr>
            <w:r>
              <w:rPr>
                <w:rFonts w:hint="default" w:ascii="Times New Roman" w:hAnsi="Times New Roman" w:cs="Times New Roman"/>
                <w:sz w:val="24"/>
                <w:szCs w:val="24"/>
              </w:rPr>
              <w:t>Route A</w:t>
            </w:r>
          </w:p>
        </w:tc>
        <w:tc>
          <w:tcPr>
            <w:tcW w:w="1421" w:type="dxa"/>
          </w:tcPr>
          <w:p w14:paraId="385B66C1">
            <w:pPr>
              <w:spacing w:line="360" w:lineRule="auto"/>
            </w:pPr>
            <w:r>
              <w:rPr>
                <w:rFonts w:hint="default" w:ascii="Times New Roman" w:hAnsi="Times New Roman" w:cs="Times New Roman"/>
                <w:sz w:val="24"/>
                <w:szCs w:val="24"/>
              </w:rPr>
              <w:t>Monotonic decline → crosses S*</w:t>
            </w:r>
          </w:p>
        </w:tc>
        <w:tc>
          <w:tcPr>
            <w:tcW w:w="1421" w:type="dxa"/>
          </w:tcPr>
          <w:p w14:paraId="28862ED5">
            <w:pPr>
              <w:spacing w:line="360" w:lineRule="auto"/>
            </w:pPr>
            <w:r>
              <w:rPr>
                <w:rFonts w:hint="default" w:ascii="Times New Roman" w:hAnsi="Times New Roman" w:cs="Times New Roman"/>
                <w:sz w:val="24"/>
                <w:szCs w:val="24"/>
              </w:rPr>
              <w:t>Progressive rejection</w:t>
            </w:r>
          </w:p>
        </w:tc>
      </w:tr>
      <w:tr w14:paraId="712AF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1420" w:type="dxa"/>
          </w:tcPr>
          <w:p w14:paraId="73640B80">
            <w:pPr>
              <w:spacing w:line="360" w:lineRule="auto"/>
            </w:pPr>
            <w:r>
              <w:rPr>
                <w:rFonts w:hint="default" w:ascii="Times New Roman" w:hAnsi="Times New Roman" w:cs="Times New Roman"/>
                <w:sz w:val="24"/>
                <w:szCs w:val="24"/>
              </w:rPr>
              <w:t>Transplantation—tolerance induction</w:t>
            </w:r>
          </w:p>
        </w:tc>
        <w:tc>
          <w:tcPr>
            <w:tcW w:w="1420" w:type="dxa"/>
          </w:tcPr>
          <w:p w14:paraId="2C2DF1BA">
            <w:pPr>
              <w:spacing w:line="360" w:lineRule="auto"/>
            </w:pPr>
            <w:r>
              <w:rPr>
                <w:rFonts w:hint="default" w:ascii="Times New Roman" w:hAnsi="Times New Roman" w:cs="Times New Roman"/>
                <w:sz w:val="24"/>
                <w:szCs w:val="24"/>
              </w:rPr>
              <w:t>Modulated (Treg-enhanced)</w:t>
            </w:r>
          </w:p>
        </w:tc>
        <w:tc>
          <w:tcPr>
            <w:tcW w:w="1420" w:type="dxa"/>
          </w:tcPr>
          <w:p w14:paraId="707CA7E6">
            <w:pPr>
              <w:spacing w:line="360" w:lineRule="auto"/>
            </w:pPr>
            <w:r>
              <w:rPr>
                <w:rFonts w:hint="default" w:ascii="Times New Roman" w:hAnsi="Times New Roman" w:cs="Times New Roman"/>
                <w:sz w:val="24"/>
                <w:szCs w:val="24"/>
              </w:rPr>
              <w:t>Mixed chimerism</w:t>
            </w:r>
          </w:p>
        </w:tc>
        <w:tc>
          <w:tcPr>
            <w:tcW w:w="1420" w:type="dxa"/>
          </w:tcPr>
          <w:p w14:paraId="0E4924ED">
            <w:pPr>
              <w:spacing w:line="360" w:lineRule="auto"/>
            </w:pPr>
            <w:r>
              <w:rPr>
                <w:rFonts w:hint="default" w:ascii="Times New Roman" w:hAnsi="Times New Roman" w:cs="Times New Roman"/>
                <w:sz w:val="24"/>
                <w:szCs w:val="24"/>
              </w:rPr>
              <w:t>Route B2</w:t>
            </w:r>
          </w:p>
        </w:tc>
        <w:tc>
          <w:tcPr>
            <w:tcW w:w="1421" w:type="dxa"/>
          </w:tcPr>
          <w:p w14:paraId="0BF67C20">
            <w:pPr>
              <w:spacing w:line="360" w:lineRule="auto"/>
            </w:pPr>
            <w:r>
              <w:rPr>
                <w:rFonts w:hint="default" w:ascii="Times New Roman" w:hAnsi="Times New Roman" w:cs="Times New Roman"/>
                <w:sz w:val="24"/>
                <w:szCs w:val="24"/>
              </w:rPr>
              <w:t>U-shaped recovery → stable above S*</w:t>
            </w:r>
          </w:p>
        </w:tc>
        <w:tc>
          <w:tcPr>
            <w:tcW w:w="1421" w:type="dxa"/>
          </w:tcPr>
          <w:p w14:paraId="0DDBDF70">
            <w:pPr>
              <w:spacing w:line="360" w:lineRule="auto"/>
            </w:pPr>
            <w:r>
              <w:rPr>
                <w:rFonts w:hint="default" w:ascii="Times New Roman" w:hAnsi="Times New Roman" w:cs="Times New Roman"/>
                <w:sz w:val="24"/>
                <w:szCs w:val="24"/>
              </w:rPr>
              <w:t>Operational tolerance via regulatory rescue</w:t>
            </w:r>
          </w:p>
        </w:tc>
      </w:tr>
      <w:tr w14:paraId="59525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1420" w:type="dxa"/>
          </w:tcPr>
          <w:p w14:paraId="38AAE6DC">
            <w:pPr>
              <w:spacing w:line="360" w:lineRule="auto"/>
            </w:pPr>
            <w:r>
              <w:rPr>
                <w:rFonts w:hint="default" w:ascii="Times New Roman" w:hAnsi="Times New Roman" w:cs="Times New Roman"/>
                <w:sz w:val="24"/>
                <w:szCs w:val="24"/>
              </w:rPr>
              <w:t>Autoimmunity—developmental self</w:t>
            </w:r>
          </w:p>
        </w:tc>
        <w:tc>
          <w:tcPr>
            <w:tcW w:w="1420" w:type="dxa"/>
          </w:tcPr>
          <w:p w14:paraId="30E57A88">
            <w:pPr>
              <w:spacing w:line="360" w:lineRule="auto"/>
            </w:pPr>
            <w:r>
              <w:rPr>
                <w:rFonts w:hint="default" w:ascii="Times New Roman" w:hAnsi="Times New Roman" w:cs="Times New Roman"/>
                <w:sz w:val="24"/>
                <w:szCs w:val="24"/>
              </w:rPr>
              <w:t>Developmental</w:t>
            </w:r>
          </w:p>
        </w:tc>
        <w:tc>
          <w:tcPr>
            <w:tcW w:w="1420" w:type="dxa"/>
          </w:tcPr>
          <w:p w14:paraId="074C4506">
            <w:pPr>
              <w:spacing w:line="360" w:lineRule="auto"/>
            </w:pPr>
            <w:r>
              <w:rPr>
                <w:rFonts w:hint="default" w:ascii="Times New Roman" w:hAnsi="Times New Roman" w:cs="Times New Roman"/>
                <w:sz w:val="24"/>
                <w:szCs w:val="24"/>
              </w:rPr>
              <w:t>Normal</w:t>
            </w:r>
          </w:p>
        </w:tc>
        <w:tc>
          <w:tcPr>
            <w:tcW w:w="1420" w:type="dxa"/>
          </w:tcPr>
          <w:p w14:paraId="13360DA1">
            <w:pPr>
              <w:spacing w:line="360" w:lineRule="auto"/>
            </w:pPr>
            <w:r>
              <w:rPr>
                <w:rFonts w:hint="default" w:ascii="Times New Roman" w:hAnsi="Times New Roman" w:cs="Times New Roman"/>
                <w:sz w:val="24"/>
                <w:szCs w:val="24"/>
              </w:rPr>
              <w:t>Route B1</w:t>
            </w:r>
          </w:p>
        </w:tc>
        <w:tc>
          <w:tcPr>
            <w:tcW w:w="1421" w:type="dxa"/>
          </w:tcPr>
          <w:p w14:paraId="189B95AF">
            <w:pPr>
              <w:spacing w:line="360" w:lineRule="auto"/>
            </w:pPr>
            <w:r>
              <w:rPr>
                <w:rFonts w:hint="default" w:ascii="Times New Roman" w:hAnsi="Times New Roman" w:cs="Times New Roman"/>
                <w:sz w:val="24"/>
                <w:szCs w:val="24"/>
              </w:rPr>
              <w:t>Oscillation around S*</w:t>
            </w:r>
          </w:p>
        </w:tc>
        <w:tc>
          <w:tcPr>
            <w:tcW w:w="1421" w:type="dxa"/>
          </w:tcPr>
          <w:p w14:paraId="5718000F">
            <w:pPr>
              <w:spacing w:line="360" w:lineRule="auto"/>
            </w:pPr>
            <w:r>
              <w:rPr>
                <w:rFonts w:hint="default" w:ascii="Times New Roman" w:hAnsi="Times New Roman" w:cs="Times New Roman"/>
                <w:sz w:val="24"/>
                <w:szCs w:val="24"/>
              </w:rPr>
              <w:t>Flare-remission cycling</w:t>
            </w:r>
          </w:p>
        </w:tc>
      </w:tr>
      <w:tr w14:paraId="06728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1420" w:type="dxa"/>
          </w:tcPr>
          <w:p w14:paraId="0BF56374">
            <w:pPr>
              <w:spacing w:line="360" w:lineRule="auto"/>
            </w:pPr>
            <w:r>
              <w:rPr>
                <w:rFonts w:hint="default" w:ascii="Times New Roman" w:hAnsi="Times New Roman" w:cs="Times New Roman"/>
                <w:sz w:val="24"/>
                <w:szCs w:val="24"/>
              </w:rPr>
              <w:t>Autoimmunity—adult neo-self (limited)</w:t>
            </w:r>
          </w:p>
        </w:tc>
        <w:tc>
          <w:tcPr>
            <w:tcW w:w="1420" w:type="dxa"/>
          </w:tcPr>
          <w:p w14:paraId="5C72D52E">
            <w:pPr>
              <w:spacing w:line="360" w:lineRule="auto"/>
            </w:pPr>
            <w:r>
              <w:rPr>
                <w:rFonts w:hint="default" w:ascii="Times New Roman" w:hAnsi="Times New Roman" w:cs="Times New Roman"/>
                <w:sz w:val="24"/>
                <w:szCs w:val="24"/>
              </w:rPr>
              <w:t>Pro-inflammatory</w:t>
            </w:r>
          </w:p>
        </w:tc>
        <w:tc>
          <w:tcPr>
            <w:tcW w:w="1420" w:type="dxa"/>
          </w:tcPr>
          <w:p w14:paraId="19F7C3AB">
            <w:pPr>
              <w:spacing w:line="360" w:lineRule="auto"/>
            </w:pPr>
            <w:r>
              <w:rPr>
                <w:rFonts w:hint="default" w:ascii="Times New Roman" w:hAnsi="Times New Roman" w:cs="Times New Roman"/>
                <w:sz w:val="24"/>
                <w:szCs w:val="24"/>
              </w:rPr>
              <w:t>Normal/inflamed</w:t>
            </w:r>
          </w:p>
        </w:tc>
        <w:tc>
          <w:tcPr>
            <w:tcW w:w="1420" w:type="dxa"/>
          </w:tcPr>
          <w:p w14:paraId="1075ED8C">
            <w:pPr>
              <w:spacing w:line="360" w:lineRule="auto"/>
            </w:pPr>
            <w:r>
              <w:rPr>
                <w:rFonts w:hint="default" w:ascii="Times New Roman" w:hAnsi="Times New Roman" w:cs="Times New Roman"/>
                <w:sz w:val="24"/>
                <w:szCs w:val="24"/>
              </w:rPr>
              <w:t>Route A</w:t>
            </w:r>
          </w:p>
        </w:tc>
        <w:tc>
          <w:tcPr>
            <w:tcW w:w="1421" w:type="dxa"/>
          </w:tcPr>
          <w:p w14:paraId="221BD77A">
            <w:pPr>
              <w:spacing w:line="360" w:lineRule="auto"/>
            </w:pPr>
            <w:r>
              <w:rPr>
                <w:rFonts w:hint="default" w:ascii="Times New Roman" w:hAnsi="Times New Roman" w:cs="Times New Roman"/>
                <w:sz w:val="24"/>
                <w:szCs w:val="24"/>
              </w:rPr>
              <w:t>Rapid decline → crosses S*</w:t>
            </w:r>
          </w:p>
        </w:tc>
        <w:tc>
          <w:tcPr>
            <w:tcW w:w="1421" w:type="dxa"/>
          </w:tcPr>
          <w:p w14:paraId="7069DC7A">
            <w:pPr>
              <w:spacing w:line="360" w:lineRule="auto"/>
            </w:pPr>
            <w:r>
              <w:rPr>
                <w:rFonts w:hint="default" w:ascii="Times New Roman" w:hAnsi="Times New Roman" w:cs="Times New Roman"/>
                <w:sz w:val="24"/>
                <w:szCs w:val="24"/>
              </w:rPr>
              <w:t>Autoimmune flare</w:t>
            </w:r>
          </w:p>
        </w:tc>
      </w:tr>
      <w:tr w14:paraId="3CD31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1420" w:type="dxa"/>
          </w:tcPr>
          <w:p w14:paraId="328F599D">
            <w:pPr>
              <w:spacing w:line="360" w:lineRule="auto"/>
            </w:pPr>
            <w:r>
              <w:rPr>
                <w:rFonts w:hint="default" w:ascii="Times New Roman" w:hAnsi="Times New Roman" w:cs="Times New Roman"/>
                <w:sz w:val="24"/>
                <w:szCs w:val="24"/>
              </w:rPr>
              <w:t>Autoimmunity—adult neo-self (high-frequency)</w:t>
            </w:r>
          </w:p>
        </w:tc>
        <w:tc>
          <w:tcPr>
            <w:tcW w:w="1420" w:type="dxa"/>
          </w:tcPr>
          <w:p w14:paraId="5CE8126B">
            <w:pPr>
              <w:spacing w:line="360" w:lineRule="auto"/>
            </w:pPr>
            <w:r>
              <w:rPr>
                <w:rFonts w:hint="default" w:ascii="Times New Roman" w:hAnsi="Times New Roman" w:cs="Times New Roman"/>
                <w:sz w:val="24"/>
                <w:szCs w:val="24"/>
              </w:rPr>
              <w:t>Post-inflammatory suppressive</w:t>
            </w:r>
          </w:p>
        </w:tc>
        <w:tc>
          <w:tcPr>
            <w:tcW w:w="1420" w:type="dxa"/>
          </w:tcPr>
          <w:p w14:paraId="584AD612">
            <w:pPr>
              <w:spacing w:line="360" w:lineRule="auto"/>
            </w:pPr>
            <w:r>
              <w:rPr>
                <w:rFonts w:hint="default" w:ascii="Times New Roman" w:hAnsi="Times New Roman" w:cs="Times New Roman"/>
                <w:sz w:val="24"/>
                <w:szCs w:val="24"/>
              </w:rPr>
              <w:t>Inflamed</w:t>
            </w:r>
          </w:p>
        </w:tc>
        <w:tc>
          <w:tcPr>
            <w:tcW w:w="1420" w:type="dxa"/>
          </w:tcPr>
          <w:p w14:paraId="12C5E76E">
            <w:pPr>
              <w:spacing w:line="360" w:lineRule="auto"/>
            </w:pPr>
            <w:r>
              <w:rPr>
                <w:rFonts w:hint="default" w:ascii="Times New Roman" w:hAnsi="Times New Roman" w:cs="Times New Roman"/>
                <w:sz w:val="24"/>
                <w:szCs w:val="24"/>
              </w:rPr>
              <w:t>Route B2</w:t>
            </w:r>
          </w:p>
        </w:tc>
        <w:tc>
          <w:tcPr>
            <w:tcW w:w="1421" w:type="dxa"/>
          </w:tcPr>
          <w:p w14:paraId="2F527265">
            <w:pPr>
              <w:spacing w:line="360" w:lineRule="auto"/>
            </w:pPr>
            <w:r>
              <w:rPr>
                <w:rFonts w:hint="default" w:ascii="Times New Roman" w:hAnsi="Times New Roman" w:cs="Times New Roman"/>
                <w:sz w:val="24"/>
                <w:szCs w:val="24"/>
              </w:rPr>
              <w:t>Cannot decline → stalls above S*</w:t>
            </w:r>
          </w:p>
        </w:tc>
        <w:tc>
          <w:tcPr>
            <w:tcW w:w="1421" w:type="dxa"/>
          </w:tcPr>
          <w:p w14:paraId="70DDC339">
            <w:pPr>
              <w:spacing w:line="360" w:lineRule="auto"/>
            </w:pPr>
            <w:r>
              <w:rPr>
                <w:rFonts w:hint="default" w:ascii="Times New Roman" w:hAnsi="Times New Roman" w:cs="Times New Roman"/>
                <w:sz w:val="24"/>
                <w:szCs w:val="24"/>
              </w:rPr>
              <w:t>Chronic smoldering autoimmunity</w:t>
            </w:r>
          </w:p>
        </w:tc>
      </w:tr>
    </w:tbl>
    <w:p w14:paraId="4CB61BCB">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Note on tumor heterogeneity: For tumors, the founding clone and subclonal variants may follow different routes (Route A vs. Route B2, respectively). At the whole-tumor level, Sᵢ evolution is a weighted composite of these coexisting trajectories. The dominant trajectory determines the overall phenotype.</w:t>
      </w:r>
    </w:p>
    <w:p w14:paraId="0E47ED1A">
      <w:pPr>
        <w:spacing w:line="360" w:lineRule="auto"/>
        <w:rPr>
          <w:rFonts w:hint="default" w:ascii="Times New Roman" w:hAnsi="Times New Roman" w:cs="Times New Roman"/>
          <w:sz w:val="24"/>
          <w:szCs w:val="24"/>
        </w:rPr>
      </w:pPr>
    </w:p>
    <w:p w14:paraId="0CFF5872">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Note on Route C (immune destruction): Pathogens such as HIV that cause chronicity through direct destruction of immune executive structures do not fall into the typical Route A or Route B categories listed in this table. If destruction is irreversible, the framework does not apply (N_Tpex^i is undefined); if immune reconstitution is achieved through treatment, the framework can become applicable again, with the reconstituted state functionally aligning with Route B2. This boundary case does not affect the classification of the typical scenarios presented above.</w:t>
      </w:r>
    </w:p>
    <w:p w14:paraId="4A9F6C6C">
      <w:pPr>
        <w:spacing w:line="360" w:lineRule="auto"/>
        <w:rPr>
          <w:rFonts w:hint="default" w:ascii="Times New Roman" w:hAnsi="Times New Roman" w:cs="Times New Roman"/>
          <w:sz w:val="24"/>
          <w:szCs w:val="24"/>
        </w:rPr>
      </w:pPr>
    </w:p>
    <w:p w14:paraId="22065BAA">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S4. Observability and Clinical Translation</w:t>
      </w:r>
    </w:p>
    <w:p w14:paraId="7ADA03F1">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Sᵢ is a latent variable, but its directional trend can be approximated through composite monitoring of Treg- and Tpex-related indicators. The clinical operability of the framework relies on tracking longitudinal trends of these proxies rather than single cross-sectional measurements.</w:t>
      </w:r>
    </w:p>
    <w:p w14:paraId="7C4C3528">
      <w:pPr>
        <w:spacing w:line="360" w:lineRule="auto"/>
        <w:rPr>
          <w:rFonts w:hint="default" w:ascii="Times New Roman" w:hAnsi="Times New Roman" w:cs="Times New Roman"/>
          <w:sz w:val="24"/>
          <w:szCs w:val="24"/>
        </w:rPr>
      </w:pPr>
    </w:p>
    <w:p w14:paraId="23C8196C">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Regulatory Arm (F_Treg^i) Proxy Indicators [4]</w:t>
      </w:r>
    </w:p>
    <w:p w14:paraId="56625B5A">
      <w:pPr>
        <w:spacing w:line="360" w:lineRule="auto"/>
        <w:rPr>
          <w:rFonts w:hint="default" w:ascii="Times New Roman" w:hAnsi="Times New Roman" w:cs="Times New Roman"/>
          <w:sz w:val="24"/>
          <w:szCs w:val="24"/>
        </w:rPr>
      </w:pP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left w:w="108" w:type="dxa"/>
          <w:right w:w="108" w:type="dxa"/>
        </w:tblCellMar>
      </w:tblPr>
      <w:tblGrid>
        <w:gridCol w:w="2840"/>
        <w:gridCol w:w="2841"/>
        <w:gridCol w:w="2841"/>
      </w:tblGrid>
      <w:tr w14:paraId="6F3CC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2840" w:type="dxa"/>
          </w:tcPr>
          <w:p w14:paraId="03B04D7C">
            <w:pPr>
              <w:spacing w:line="360" w:lineRule="auto"/>
            </w:pPr>
            <w:r>
              <w:rPr>
                <w:rFonts w:hint="default" w:ascii="Times New Roman" w:hAnsi="Times New Roman" w:cs="Times New Roman"/>
                <w:sz w:val="24"/>
                <w:szCs w:val="24"/>
              </w:rPr>
              <w:t>Component</w:t>
            </w:r>
          </w:p>
        </w:tc>
        <w:tc>
          <w:tcPr>
            <w:tcW w:w="2841" w:type="dxa"/>
          </w:tcPr>
          <w:p w14:paraId="7E71F081">
            <w:pPr>
              <w:spacing w:line="360" w:lineRule="auto"/>
            </w:pPr>
            <w:r>
              <w:rPr>
                <w:rFonts w:hint="default" w:ascii="Times New Roman" w:hAnsi="Times New Roman" w:cs="Times New Roman"/>
                <w:sz w:val="24"/>
                <w:szCs w:val="24"/>
              </w:rPr>
              <w:t>Approximated by</w:t>
            </w:r>
          </w:p>
        </w:tc>
        <w:tc>
          <w:tcPr>
            <w:tcW w:w="2841" w:type="dxa"/>
          </w:tcPr>
          <w:p w14:paraId="6E0303A8">
            <w:pPr>
              <w:spacing w:line="360" w:lineRule="auto"/>
            </w:pPr>
            <w:r>
              <w:rPr>
                <w:rFonts w:hint="default" w:ascii="Times New Roman" w:hAnsi="Times New Roman" w:cs="Times New Roman"/>
                <w:sz w:val="24"/>
                <w:szCs w:val="24"/>
              </w:rPr>
              <w:t>Measurable methods</w:t>
            </w:r>
          </w:p>
        </w:tc>
      </w:tr>
      <w:tr w14:paraId="1EC32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2840" w:type="dxa"/>
          </w:tcPr>
          <w:p w14:paraId="7C090E3A">
            <w:pPr>
              <w:spacing w:line="360" w:lineRule="auto"/>
            </w:pPr>
            <w:r>
              <w:rPr>
                <w:rFonts w:hint="default" w:ascii="Times New Roman" w:hAnsi="Times New Roman" w:cs="Times New Roman"/>
                <w:sz w:val="24"/>
                <w:szCs w:val="24"/>
              </w:rPr>
              <w:t>Treg abundance</w:t>
            </w:r>
          </w:p>
        </w:tc>
        <w:tc>
          <w:tcPr>
            <w:tcW w:w="2841" w:type="dxa"/>
          </w:tcPr>
          <w:p w14:paraId="75B72297">
            <w:pPr>
              <w:spacing w:line="360" w:lineRule="auto"/>
            </w:pPr>
            <w:r>
              <w:rPr>
                <w:rFonts w:hint="default" w:ascii="Times New Roman" w:hAnsi="Times New Roman" w:cs="Times New Roman"/>
                <w:sz w:val="24"/>
                <w:szCs w:val="24"/>
              </w:rPr>
              <w:t>Antigen-specific Treg frequency</w:t>
            </w:r>
          </w:p>
        </w:tc>
        <w:tc>
          <w:tcPr>
            <w:tcW w:w="2841" w:type="dxa"/>
          </w:tcPr>
          <w:p w14:paraId="54F3662F">
            <w:pPr>
              <w:spacing w:line="360" w:lineRule="auto"/>
            </w:pPr>
            <w:r>
              <w:rPr>
                <w:rFonts w:hint="default" w:ascii="Times New Roman" w:hAnsi="Times New Roman" w:cs="Times New Roman"/>
                <w:sz w:val="24"/>
                <w:szCs w:val="24"/>
              </w:rPr>
              <w:t>Flow cytometry: CD4⁺CD25⁺FOXP3⁺</w:t>
            </w:r>
          </w:p>
        </w:tc>
      </w:tr>
      <w:tr w14:paraId="4B466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2840" w:type="dxa"/>
          </w:tcPr>
          <w:p w14:paraId="55CF2BDD">
            <w:pPr>
              <w:spacing w:line="360" w:lineRule="auto"/>
            </w:pPr>
            <w:r>
              <w:rPr>
                <w:rFonts w:hint="default" w:ascii="Times New Roman" w:hAnsi="Times New Roman" w:cs="Times New Roman"/>
                <w:sz w:val="24"/>
                <w:szCs w:val="24"/>
              </w:rPr>
              <w:t>Suppressive capacity</w:t>
            </w:r>
          </w:p>
        </w:tc>
        <w:tc>
          <w:tcPr>
            <w:tcW w:w="2841" w:type="dxa"/>
          </w:tcPr>
          <w:p w14:paraId="6C1B5CA7">
            <w:pPr>
              <w:spacing w:line="360" w:lineRule="auto"/>
            </w:pPr>
            <w:r>
              <w:rPr>
                <w:rFonts w:hint="default" w:ascii="Times New Roman" w:hAnsi="Times New Roman" w:cs="Times New Roman"/>
                <w:sz w:val="24"/>
                <w:szCs w:val="24"/>
              </w:rPr>
              <w:t>IL-10/TGF-β production</w:t>
            </w:r>
          </w:p>
        </w:tc>
        <w:tc>
          <w:tcPr>
            <w:tcW w:w="2841" w:type="dxa"/>
          </w:tcPr>
          <w:p w14:paraId="529B83A7">
            <w:pPr>
              <w:spacing w:line="360" w:lineRule="auto"/>
            </w:pPr>
            <w:r>
              <w:rPr>
                <w:rFonts w:hint="default" w:ascii="Times New Roman" w:hAnsi="Times New Roman" w:cs="Times New Roman"/>
                <w:sz w:val="24"/>
                <w:szCs w:val="24"/>
              </w:rPr>
              <w:t>ELISA, intracellular staining</w:t>
            </w:r>
          </w:p>
        </w:tc>
      </w:tr>
      <w:tr w14:paraId="647E9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2840" w:type="dxa"/>
          </w:tcPr>
          <w:p w14:paraId="0BB17CC9">
            <w:pPr>
              <w:spacing w:line="360" w:lineRule="auto"/>
            </w:pPr>
            <w:r>
              <w:rPr>
                <w:rFonts w:hint="default" w:ascii="Times New Roman" w:hAnsi="Times New Roman" w:cs="Times New Roman"/>
                <w:sz w:val="24"/>
                <w:szCs w:val="24"/>
              </w:rPr>
              <w:t>Activation state</w:t>
            </w:r>
          </w:p>
        </w:tc>
        <w:tc>
          <w:tcPr>
            <w:tcW w:w="2841" w:type="dxa"/>
          </w:tcPr>
          <w:p w14:paraId="03B28E19">
            <w:pPr>
              <w:spacing w:line="360" w:lineRule="auto"/>
            </w:pPr>
            <w:r>
              <w:rPr>
                <w:rFonts w:hint="default" w:ascii="Times New Roman" w:hAnsi="Times New Roman" w:cs="Times New Roman"/>
                <w:sz w:val="24"/>
                <w:szCs w:val="24"/>
              </w:rPr>
              <w:t>CTLA-4 expression</w:t>
            </w:r>
          </w:p>
        </w:tc>
        <w:tc>
          <w:tcPr>
            <w:tcW w:w="2841" w:type="dxa"/>
          </w:tcPr>
          <w:p w14:paraId="480B0812">
            <w:pPr>
              <w:spacing w:line="360" w:lineRule="auto"/>
            </w:pPr>
            <w:r>
              <w:rPr>
                <w:rFonts w:hint="default" w:ascii="Times New Roman" w:hAnsi="Times New Roman" w:cs="Times New Roman"/>
                <w:sz w:val="24"/>
                <w:szCs w:val="24"/>
              </w:rPr>
              <w:t>Flow cytometry</w:t>
            </w:r>
          </w:p>
        </w:tc>
      </w:tr>
      <w:tr w14:paraId="75E18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2840" w:type="dxa"/>
          </w:tcPr>
          <w:p w14:paraId="6C17E523">
            <w:pPr>
              <w:spacing w:line="360" w:lineRule="auto"/>
            </w:pPr>
            <w:r>
              <w:rPr>
                <w:rFonts w:hint="default" w:ascii="Times New Roman" w:hAnsi="Times New Roman" w:cs="Times New Roman"/>
                <w:sz w:val="24"/>
                <w:szCs w:val="24"/>
              </w:rPr>
              <w:t>Functional output</w:t>
            </w:r>
          </w:p>
        </w:tc>
        <w:tc>
          <w:tcPr>
            <w:tcW w:w="2841" w:type="dxa"/>
          </w:tcPr>
          <w:p w14:paraId="369D0443">
            <w:pPr>
              <w:spacing w:line="360" w:lineRule="auto"/>
            </w:pPr>
            <w:r>
              <w:rPr>
                <w:rFonts w:hint="default" w:ascii="Times New Roman" w:hAnsi="Times New Roman" w:cs="Times New Roman"/>
                <w:sz w:val="24"/>
                <w:szCs w:val="24"/>
              </w:rPr>
              <w:t>In vitro suppression index</w:t>
            </w:r>
          </w:p>
        </w:tc>
        <w:tc>
          <w:tcPr>
            <w:tcW w:w="2841" w:type="dxa"/>
          </w:tcPr>
          <w:p w14:paraId="2E0E5386">
            <w:pPr>
              <w:spacing w:line="360" w:lineRule="auto"/>
            </w:pPr>
            <w:r>
              <w:rPr>
                <w:rFonts w:hint="default" w:ascii="Times New Roman" w:hAnsi="Times New Roman" w:cs="Times New Roman"/>
                <w:sz w:val="24"/>
                <w:szCs w:val="24"/>
              </w:rPr>
              <w:t>Co-culture suppression assay</w:t>
            </w:r>
          </w:p>
        </w:tc>
      </w:tr>
    </w:tbl>
    <w:p w14:paraId="28171615">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Effector Reservoir Arm (N_Tpex^i) Proxy Indicators [3]</w:t>
      </w:r>
    </w:p>
    <w:p w14:paraId="2F80CABA">
      <w:pPr>
        <w:spacing w:line="360" w:lineRule="auto"/>
        <w:rPr>
          <w:rFonts w:hint="default" w:ascii="Times New Roman" w:hAnsi="Times New Roman" w:cs="Times New Roman"/>
          <w:sz w:val="24"/>
          <w:szCs w:val="24"/>
        </w:rPr>
      </w:pP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left w:w="108" w:type="dxa"/>
          <w:right w:w="108" w:type="dxa"/>
        </w:tblCellMar>
      </w:tblPr>
      <w:tblGrid>
        <w:gridCol w:w="2840"/>
        <w:gridCol w:w="2841"/>
        <w:gridCol w:w="2841"/>
      </w:tblGrid>
      <w:tr w14:paraId="33CB2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2840" w:type="dxa"/>
          </w:tcPr>
          <w:p w14:paraId="52736697">
            <w:pPr>
              <w:spacing w:line="360" w:lineRule="auto"/>
            </w:pPr>
            <w:r>
              <w:rPr>
                <w:rFonts w:hint="default" w:ascii="Times New Roman" w:hAnsi="Times New Roman" w:cs="Times New Roman"/>
                <w:sz w:val="24"/>
                <w:szCs w:val="24"/>
              </w:rPr>
              <w:t>Component</w:t>
            </w:r>
          </w:p>
        </w:tc>
        <w:tc>
          <w:tcPr>
            <w:tcW w:w="2841" w:type="dxa"/>
          </w:tcPr>
          <w:p w14:paraId="2CF1C434">
            <w:pPr>
              <w:spacing w:line="360" w:lineRule="auto"/>
            </w:pPr>
            <w:r>
              <w:rPr>
                <w:rFonts w:hint="default" w:ascii="Times New Roman" w:hAnsi="Times New Roman" w:cs="Times New Roman"/>
                <w:sz w:val="24"/>
                <w:szCs w:val="24"/>
              </w:rPr>
              <w:t>Approximated by</w:t>
            </w:r>
          </w:p>
        </w:tc>
        <w:tc>
          <w:tcPr>
            <w:tcW w:w="2841" w:type="dxa"/>
          </w:tcPr>
          <w:p w14:paraId="31C2F76B">
            <w:pPr>
              <w:spacing w:line="360" w:lineRule="auto"/>
            </w:pPr>
            <w:r>
              <w:rPr>
                <w:rFonts w:hint="default" w:ascii="Times New Roman" w:hAnsi="Times New Roman" w:cs="Times New Roman"/>
                <w:sz w:val="24"/>
                <w:szCs w:val="24"/>
              </w:rPr>
              <w:t>Measurable methods</w:t>
            </w:r>
          </w:p>
        </w:tc>
      </w:tr>
      <w:tr w14:paraId="0E7A9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2840" w:type="dxa"/>
          </w:tcPr>
          <w:p w14:paraId="43E369F7">
            <w:pPr>
              <w:spacing w:line="360" w:lineRule="auto"/>
            </w:pPr>
            <w:r>
              <w:rPr>
                <w:rFonts w:hint="default" w:ascii="Times New Roman" w:hAnsi="Times New Roman" w:cs="Times New Roman"/>
                <w:sz w:val="24"/>
                <w:szCs w:val="24"/>
              </w:rPr>
              <w:t>Tpex abundance</w:t>
            </w:r>
          </w:p>
        </w:tc>
        <w:tc>
          <w:tcPr>
            <w:tcW w:w="2841" w:type="dxa"/>
          </w:tcPr>
          <w:p w14:paraId="01997ACD">
            <w:pPr>
              <w:spacing w:line="360" w:lineRule="auto"/>
            </w:pPr>
            <w:r>
              <w:rPr>
                <w:rFonts w:hint="default" w:ascii="Times New Roman" w:hAnsi="Times New Roman" w:cs="Times New Roman"/>
                <w:sz w:val="24"/>
                <w:szCs w:val="24"/>
              </w:rPr>
              <w:t>PD-1⁺TCF-1⁺TOX⁺ CD8⁺ frequency</w:t>
            </w:r>
          </w:p>
        </w:tc>
        <w:tc>
          <w:tcPr>
            <w:tcW w:w="2841" w:type="dxa"/>
          </w:tcPr>
          <w:p w14:paraId="641C5512">
            <w:pPr>
              <w:spacing w:line="360" w:lineRule="auto"/>
            </w:pPr>
            <w:r>
              <w:rPr>
                <w:rFonts w:hint="default" w:ascii="Times New Roman" w:hAnsi="Times New Roman" w:cs="Times New Roman"/>
                <w:sz w:val="24"/>
                <w:szCs w:val="24"/>
              </w:rPr>
              <w:t>Flow cytometry</w:t>
            </w:r>
          </w:p>
        </w:tc>
      </w:tr>
      <w:tr w14:paraId="0AAC8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2840" w:type="dxa"/>
          </w:tcPr>
          <w:p w14:paraId="5012F1D0">
            <w:pPr>
              <w:spacing w:line="360" w:lineRule="auto"/>
            </w:pPr>
            <w:r>
              <w:rPr>
                <w:rFonts w:hint="default" w:ascii="Times New Roman" w:hAnsi="Times New Roman" w:cs="Times New Roman"/>
                <w:sz w:val="24"/>
                <w:szCs w:val="24"/>
              </w:rPr>
              <w:t>Renewal capacity</w:t>
            </w:r>
          </w:p>
        </w:tc>
        <w:tc>
          <w:tcPr>
            <w:tcW w:w="2841" w:type="dxa"/>
          </w:tcPr>
          <w:p w14:paraId="6D70D73C">
            <w:pPr>
              <w:spacing w:line="360" w:lineRule="auto"/>
            </w:pPr>
            <w:r>
              <w:rPr>
                <w:rFonts w:hint="default" w:ascii="Times New Roman" w:hAnsi="Times New Roman" w:cs="Times New Roman"/>
                <w:sz w:val="24"/>
                <w:szCs w:val="24"/>
              </w:rPr>
              <w:t>Ki67 proliferation index</w:t>
            </w:r>
          </w:p>
        </w:tc>
        <w:tc>
          <w:tcPr>
            <w:tcW w:w="2841" w:type="dxa"/>
          </w:tcPr>
          <w:p w14:paraId="33D7810D">
            <w:pPr>
              <w:spacing w:line="360" w:lineRule="auto"/>
            </w:pPr>
            <w:r>
              <w:rPr>
                <w:rFonts w:hint="default" w:ascii="Times New Roman" w:hAnsi="Times New Roman" w:cs="Times New Roman"/>
                <w:sz w:val="24"/>
                <w:szCs w:val="24"/>
              </w:rPr>
              <w:t>Flow cytometry</w:t>
            </w:r>
          </w:p>
        </w:tc>
      </w:tr>
      <w:tr w14:paraId="15264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2840" w:type="dxa"/>
          </w:tcPr>
          <w:p w14:paraId="1735C267">
            <w:pPr>
              <w:spacing w:line="360" w:lineRule="auto"/>
            </w:pPr>
            <w:r>
              <w:rPr>
                <w:rFonts w:hint="default" w:ascii="Times New Roman" w:hAnsi="Times New Roman" w:cs="Times New Roman"/>
                <w:sz w:val="24"/>
                <w:szCs w:val="24"/>
              </w:rPr>
              <w:t>Clonal structure</w:t>
            </w:r>
          </w:p>
        </w:tc>
        <w:tc>
          <w:tcPr>
            <w:tcW w:w="2841" w:type="dxa"/>
          </w:tcPr>
          <w:p w14:paraId="175440A7">
            <w:pPr>
              <w:spacing w:line="360" w:lineRule="auto"/>
            </w:pPr>
            <w:r>
              <w:rPr>
                <w:rFonts w:hint="default" w:ascii="Times New Roman" w:hAnsi="Times New Roman" w:cs="Times New Roman"/>
                <w:sz w:val="24"/>
                <w:szCs w:val="24"/>
              </w:rPr>
              <w:t>TCR clonal diversity</w:t>
            </w:r>
          </w:p>
        </w:tc>
        <w:tc>
          <w:tcPr>
            <w:tcW w:w="2841" w:type="dxa"/>
          </w:tcPr>
          <w:p w14:paraId="19E8262A">
            <w:pPr>
              <w:spacing w:line="360" w:lineRule="auto"/>
            </w:pPr>
            <w:r>
              <w:rPr>
                <w:rFonts w:hint="default" w:ascii="Times New Roman" w:hAnsi="Times New Roman" w:cs="Times New Roman"/>
                <w:sz w:val="24"/>
                <w:szCs w:val="24"/>
              </w:rPr>
              <w:t>TCR sequencing</w:t>
            </w:r>
          </w:p>
        </w:tc>
      </w:tr>
    </w:tbl>
    <w:p w14:paraId="6AC73908">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Clinical indicator–Sᵢ mapping across scenarios</w:t>
      </w:r>
    </w:p>
    <w:p w14:paraId="1A12EEC2">
      <w:pPr>
        <w:spacing w:line="360" w:lineRule="auto"/>
        <w:rPr>
          <w:rFonts w:hint="default" w:ascii="Times New Roman" w:hAnsi="Times New Roman" w:cs="Times New Roman"/>
          <w:sz w:val="24"/>
          <w:szCs w:val="24"/>
        </w:rPr>
      </w:pP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left w:w="108" w:type="dxa"/>
          <w:right w:w="108" w:type="dxa"/>
        </w:tblCellMar>
      </w:tblPr>
      <w:tblGrid>
        <w:gridCol w:w="2130"/>
        <w:gridCol w:w="2130"/>
        <w:gridCol w:w="2131"/>
        <w:gridCol w:w="2131"/>
      </w:tblGrid>
      <w:tr w14:paraId="779E3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2130" w:type="dxa"/>
          </w:tcPr>
          <w:p w14:paraId="3E295138">
            <w:pPr>
              <w:spacing w:line="360" w:lineRule="auto"/>
            </w:pPr>
            <w:r>
              <w:rPr>
                <w:rFonts w:hint="default" w:ascii="Times New Roman" w:hAnsi="Times New Roman" w:cs="Times New Roman"/>
                <w:sz w:val="24"/>
                <w:szCs w:val="24"/>
              </w:rPr>
              <w:t>Scenario</w:t>
            </w:r>
          </w:p>
        </w:tc>
        <w:tc>
          <w:tcPr>
            <w:tcW w:w="2130" w:type="dxa"/>
          </w:tcPr>
          <w:p w14:paraId="7B4BDE95">
            <w:pPr>
              <w:spacing w:line="360" w:lineRule="auto"/>
            </w:pPr>
            <w:r>
              <w:rPr>
                <w:rFonts w:hint="default" w:ascii="Times New Roman" w:hAnsi="Times New Roman" w:cs="Times New Roman"/>
                <w:sz w:val="24"/>
                <w:szCs w:val="24"/>
              </w:rPr>
              <w:t>Clinical observable</w:t>
            </w:r>
          </w:p>
        </w:tc>
        <w:tc>
          <w:tcPr>
            <w:tcW w:w="2131" w:type="dxa"/>
          </w:tcPr>
          <w:p w14:paraId="0CC03AAA">
            <w:pPr>
              <w:spacing w:line="360" w:lineRule="auto"/>
            </w:pPr>
            <w:r>
              <w:rPr>
                <w:rFonts w:hint="default" w:ascii="Times New Roman" w:hAnsi="Times New Roman" w:cs="Times New Roman"/>
                <w:sz w:val="24"/>
                <w:szCs w:val="24"/>
              </w:rPr>
              <w:t>Cross-sectional relationship</w:t>
            </w:r>
          </w:p>
        </w:tc>
        <w:tc>
          <w:tcPr>
            <w:tcW w:w="2131" w:type="dxa"/>
          </w:tcPr>
          <w:p w14:paraId="4E37ED32">
            <w:pPr>
              <w:spacing w:line="360" w:lineRule="auto"/>
            </w:pPr>
            <w:r>
              <w:rPr>
                <w:rFonts w:hint="default" w:ascii="Times New Roman" w:hAnsi="Times New Roman" w:cs="Times New Roman"/>
                <w:sz w:val="24"/>
                <w:szCs w:val="24"/>
              </w:rPr>
              <w:t>Longitudinal relationship</w:t>
            </w:r>
          </w:p>
        </w:tc>
      </w:tr>
      <w:tr w14:paraId="4FD99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2130" w:type="dxa"/>
          </w:tcPr>
          <w:p w14:paraId="2B4672E9">
            <w:pPr>
              <w:spacing w:line="360" w:lineRule="auto"/>
            </w:pPr>
            <w:r>
              <w:rPr>
                <w:rFonts w:hint="default" w:ascii="Times New Roman" w:hAnsi="Times New Roman" w:cs="Times New Roman"/>
                <w:sz w:val="24"/>
                <w:szCs w:val="24"/>
              </w:rPr>
              <w:t>HBV</w:t>
            </w:r>
          </w:p>
        </w:tc>
        <w:tc>
          <w:tcPr>
            <w:tcW w:w="2130" w:type="dxa"/>
          </w:tcPr>
          <w:p w14:paraId="1ADB9149">
            <w:pPr>
              <w:spacing w:line="360" w:lineRule="auto"/>
            </w:pPr>
            <w:r>
              <w:rPr>
                <w:rFonts w:hint="default" w:ascii="Times New Roman" w:hAnsi="Times New Roman" w:cs="Times New Roman"/>
                <w:sz w:val="24"/>
                <w:szCs w:val="24"/>
              </w:rPr>
              <w:t>HBsAg</w:t>
            </w:r>
          </w:p>
        </w:tc>
        <w:tc>
          <w:tcPr>
            <w:tcW w:w="2131" w:type="dxa"/>
          </w:tcPr>
          <w:p w14:paraId="6DD015A4">
            <w:pPr>
              <w:spacing w:line="360" w:lineRule="auto"/>
            </w:pPr>
            <w:r>
              <w:rPr>
                <w:rFonts w:hint="default" w:ascii="Times New Roman" w:hAnsi="Times New Roman" w:cs="Times New Roman"/>
                <w:sz w:val="24"/>
                <w:szCs w:val="24"/>
              </w:rPr>
              <w:t>Positive (high load → high Sᵢ)</w:t>
            </w:r>
          </w:p>
        </w:tc>
        <w:tc>
          <w:tcPr>
            <w:tcW w:w="2131" w:type="dxa"/>
          </w:tcPr>
          <w:p w14:paraId="2828B835">
            <w:pPr>
              <w:spacing w:line="360" w:lineRule="auto"/>
            </w:pPr>
            <w:r>
              <w:rPr>
                <w:rFonts w:hint="default" w:ascii="Times New Roman" w:hAnsi="Times New Roman" w:cs="Times New Roman"/>
                <w:sz w:val="24"/>
                <w:szCs w:val="24"/>
              </w:rPr>
              <w:t>Negative trend (decline → Sᵢ ↓)</w:t>
            </w:r>
          </w:p>
        </w:tc>
      </w:tr>
      <w:tr w14:paraId="252C9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2130" w:type="dxa"/>
          </w:tcPr>
          <w:p w14:paraId="30CE6447">
            <w:pPr>
              <w:spacing w:line="360" w:lineRule="auto"/>
            </w:pPr>
            <w:r>
              <w:rPr>
                <w:rFonts w:hint="default" w:ascii="Times New Roman" w:hAnsi="Times New Roman" w:cs="Times New Roman"/>
                <w:sz w:val="24"/>
                <w:szCs w:val="24"/>
              </w:rPr>
              <w:t>HBV</w:t>
            </w:r>
          </w:p>
        </w:tc>
        <w:tc>
          <w:tcPr>
            <w:tcW w:w="2130" w:type="dxa"/>
          </w:tcPr>
          <w:p w14:paraId="10FC8D61">
            <w:pPr>
              <w:spacing w:line="360" w:lineRule="auto"/>
            </w:pPr>
            <w:r>
              <w:rPr>
                <w:rFonts w:hint="default" w:ascii="Times New Roman" w:hAnsi="Times New Roman" w:cs="Times New Roman"/>
                <w:sz w:val="24"/>
                <w:szCs w:val="24"/>
              </w:rPr>
              <w:t>ALT</w:t>
            </w:r>
          </w:p>
        </w:tc>
        <w:tc>
          <w:tcPr>
            <w:tcW w:w="2131" w:type="dxa"/>
          </w:tcPr>
          <w:p w14:paraId="011FE197">
            <w:pPr>
              <w:spacing w:line="360" w:lineRule="auto"/>
            </w:pPr>
            <w:r>
              <w:rPr>
                <w:rFonts w:hint="default" w:ascii="Times New Roman" w:hAnsi="Times New Roman" w:cs="Times New Roman"/>
                <w:sz w:val="24"/>
                <w:szCs w:val="24"/>
              </w:rPr>
              <w:t>N/A</w:t>
            </w:r>
          </w:p>
        </w:tc>
        <w:tc>
          <w:tcPr>
            <w:tcW w:w="2131" w:type="dxa"/>
          </w:tcPr>
          <w:p w14:paraId="74D91D36">
            <w:pPr>
              <w:spacing w:line="360" w:lineRule="auto"/>
            </w:pPr>
            <w:r>
              <w:rPr>
                <w:rFonts w:hint="default" w:ascii="Times New Roman" w:hAnsi="Times New Roman" w:cs="Times New Roman"/>
                <w:sz w:val="24"/>
                <w:szCs w:val="24"/>
              </w:rPr>
              <w:t>Negative (elevation → Sᵢ ↓)</w:t>
            </w:r>
          </w:p>
        </w:tc>
      </w:tr>
      <w:tr w14:paraId="5B11B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2130" w:type="dxa"/>
          </w:tcPr>
          <w:p w14:paraId="76EA0A1A">
            <w:pPr>
              <w:spacing w:line="360" w:lineRule="auto"/>
            </w:pPr>
            <w:r>
              <w:rPr>
                <w:rFonts w:hint="default" w:ascii="Times New Roman" w:hAnsi="Times New Roman" w:cs="Times New Roman"/>
                <w:sz w:val="24"/>
                <w:szCs w:val="24"/>
              </w:rPr>
              <w:t>Tumor (low diversity)</w:t>
            </w:r>
          </w:p>
        </w:tc>
        <w:tc>
          <w:tcPr>
            <w:tcW w:w="2130" w:type="dxa"/>
          </w:tcPr>
          <w:p w14:paraId="7A8EA088">
            <w:pPr>
              <w:spacing w:line="360" w:lineRule="auto"/>
            </w:pPr>
            <w:r>
              <w:rPr>
                <w:rFonts w:hint="default" w:ascii="Times New Roman" w:hAnsi="Times New Roman" w:cs="Times New Roman"/>
                <w:sz w:val="24"/>
                <w:szCs w:val="24"/>
              </w:rPr>
              <w:t>Tumor volume</w:t>
            </w:r>
          </w:p>
        </w:tc>
        <w:tc>
          <w:tcPr>
            <w:tcW w:w="2131" w:type="dxa"/>
          </w:tcPr>
          <w:p w14:paraId="62F5E4FE">
            <w:pPr>
              <w:spacing w:line="360" w:lineRule="auto"/>
            </w:pPr>
            <w:r>
              <w:rPr>
                <w:rFonts w:hint="default" w:ascii="Times New Roman" w:hAnsi="Times New Roman" w:cs="Times New Roman"/>
                <w:sz w:val="24"/>
                <w:szCs w:val="24"/>
              </w:rPr>
              <w:t>Positive</w:t>
            </w:r>
          </w:p>
        </w:tc>
        <w:tc>
          <w:tcPr>
            <w:tcW w:w="2131" w:type="dxa"/>
          </w:tcPr>
          <w:p w14:paraId="446D48E5">
            <w:pPr>
              <w:spacing w:line="360" w:lineRule="auto"/>
            </w:pPr>
            <w:r>
              <w:rPr>
                <w:rFonts w:hint="default" w:ascii="Times New Roman" w:hAnsi="Times New Roman" w:cs="Times New Roman"/>
                <w:sz w:val="24"/>
                <w:szCs w:val="24"/>
              </w:rPr>
              <w:t>N/A (staging not dynamic)</w:t>
            </w:r>
          </w:p>
        </w:tc>
      </w:tr>
      <w:tr w14:paraId="71B61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2130" w:type="dxa"/>
          </w:tcPr>
          <w:p w14:paraId="6C3DD906">
            <w:pPr>
              <w:spacing w:line="360" w:lineRule="auto"/>
            </w:pPr>
            <w:r>
              <w:rPr>
                <w:rFonts w:hint="default" w:ascii="Times New Roman" w:hAnsi="Times New Roman" w:cs="Times New Roman"/>
                <w:sz w:val="24"/>
                <w:szCs w:val="24"/>
              </w:rPr>
              <w:t>Tumor (high diversity)</w:t>
            </w:r>
          </w:p>
        </w:tc>
        <w:tc>
          <w:tcPr>
            <w:tcW w:w="2130" w:type="dxa"/>
          </w:tcPr>
          <w:p w14:paraId="2DEFCD5B">
            <w:pPr>
              <w:spacing w:line="360" w:lineRule="auto"/>
            </w:pPr>
            <w:r>
              <w:rPr>
                <w:rFonts w:hint="default" w:ascii="Times New Roman" w:hAnsi="Times New Roman" w:cs="Times New Roman"/>
                <w:sz w:val="24"/>
                <w:szCs w:val="24"/>
              </w:rPr>
              <w:t>Tumor volume</w:t>
            </w:r>
          </w:p>
        </w:tc>
        <w:tc>
          <w:tcPr>
            <w:tcW w:w="2131" w:type="dxa"/>
          </w:tcPr>
          <w:p w14:paraId="7645EB09">
            <w:pPr>
              <w:spacing w:line="360" w:lineRule="auto"/>
            </w:pPr>
            <w:r>
              <w:rPr>
                <w:rFonts w:hint="default" w:ascii="Times New Roman" w:hAnsi="Times New Roman" w:cs="Times New Roman"/>
                <w:sz w:val="24"/>
                <w:szCs w:val="24"/>
              </w:rPr>
              <w:t>Non-monotonic (dilution)</w:t>
            </w:r>
          </w:p>
        </w:tc>
        <w:tc>
          <w:tcPr>
            <w:tcW w:w="2131" w:type="dxa"/>
          </w:tcPr>
          <w:p w14:paraId="6F3F9547">
            <w:pPr>
              <w:spacing w:line="360" w:lineRule="auto"/>
            </w:pPr>
            <w:r>
              <w:rPr>
                <w:rFonts w:hint="default" w:ascii="Times New Roman" w:hAnsi="Times New Roman" w:cs="Times New Roman"/>
                <w:sz w:val="24"/>
                <w:szCs w:val="24"/>
              </w:rPr>
              <w:t>N/A</w:t>
            </w:r>
          </w:p>
        </w:tc>
      </w:tr>
      <w:tr w14:paraId="5A73A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130" w:type="dxa"/>
          </w:tcPr>
          <w:p w14:paraId="6C0171FA">
            <w:pPr>
              <w:spacing w:line="360" w:lineRule="auto"/>
            </w:pPr>
            <w:r>
              <w:rPr>
                <w:rFonts w:hint="default" w:ascii="Times New Roman" w:hAnsi="Times New Roman" w:cs="Times New Roman"/>
                <w:sz w:val="24"/>
                <w:szCs w:val="24"/>
              </w:rPr>
              <w:t>Transplantation</w:t>
            </w:r>
          </w:p>
        </w:tc>
        <w:tc>
          <w:tcPr>
            <w:tcW w:w="2130" w:type="dxa"/>
          </w:tcPr>
          <w:p w14:paraId="72922A7D">
            <w:pPr>
              <w:spacing w:line="360" w:lineRule="auto"/>
            </w:pPr>
            <w:r>
              <w:rPr>
                <w:rFonts w:hint="default" w:ascii="Times New Roman" w:hAnsi="Times New Roman" w:cs="Times New Roman"/>
                <w:sz w:val="24"/>
                <w:szCs w:val="24"/>
              </w:rPr>
              <w:t>eGFR</w:t>
            </w:r>
          </w:p>
        </w:tc>
        <w:tc>
          <w:tcPr>
            <w:tcW w:w="2131" w:type="dxa"/>
          </w:tcPr>
          <w:p w14:paraId="7A20D577">
            <w:pPr>
              <w:spacing w:line="360" w:lineRule="auto"/>
            </w:pPr>
            <w:r>
              <w:rPr>
                <w:rFonts w:hint="default" w:ascii="Times New Roman" w:hAnsi="Times New Roman" w:cs="Times New Roman"/>
                <w:sz w:val="24"/>
                <w:szCs w:val="24"/>
              </w:rPr>
              <w:t>Positive</w:t>
            </w:r>
          </w:p>
        </w:tc>
        <w:tc>
          <w:tcPr>
            <w:tcW w:w="2131" w:type="dxa"/>
          </w:tcPr>
          <w:p w14:paraId="73F60102">
            <w:pPr>
              <w:spacing w:line="360" w:lineRule="auto"/>
            </w:pPr>
            <w:r>
              <w:rPr>
                <w:rFonts w:hint="default" w:ascii="Times New Roman" w:hAnsi="Times New Roman" w:cs="Times New Roman"/>
                <w:sz w:val="24"/>
                <w:szCs w:val="24"/>
              </w:rPr>
              <w:t>Positive (decline → Sᵢ ↓)</w:t>
            </w:r>
          </w:p>
        </w:tc>
      </w:tr>
      <w:tr w14:paraId="7D7B9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2130" w:type="dxa"/>
          </w:tcPr>
          <w:p w14:paraId="5DE241DD">
            <w:pPr>
              <w:spacing w:line="360" w:lineRule="auto"/>
            </w:pPr>
            <w:r>
              <w:rPr>
                <w:rFonts w:hint="default" w:ascii="Times New Roman" w:hAnsi="Times New Roman" w:cs="Times New Roman"/>
                <w:sz w:val="24"/>
                <w:szCs w:val="24"/>
              </w:rPr>
              <w:t>Transplantation</w:t>
            </w:r>
          </w:p>
        </w:tc>
        <w:tc>
          <w:tcPr>
            <w:tcW w:w="2130" w:type="dxa"/>
          </w:tcPr>
          <w:p w14:paraId="42CC26B4">
            <w:pPr>
              <w:spacing w:line="360" w:lineRule="auto"/>
            </w:pPr>
            <w:r>
              <w:rPr>
                <w:rFonts w:hint="default" w:ascii="Times New Roman" w:hAnsi="Times New Roman" w:cs="Times New Roman"/>
                <w:sz w:val="24"/>
                <w:szCs w:val="24"/>
              </w:rPr>
              <w:t>iBOX score [15,16]</w:t>
            </w:r>
          </w:p>
        </w:tc>
        <w:tc>
          <w:tcPr>
            <w:tcW w:w="2131" w:type="dxa"/>
          </w:tcPr>
          <w:p w14:paraId="53450A05">
            <w:pPr>
              <w:spacing w:line="360" w:lineRule="auto"/>
            </w:pPr>
            <w:r>
              <w:rPr>
                <w:rFonts w:hint="default" w:ascii="Times New Roman" w:hAnsi="Times New Roman" w:cs="Times New Roman"/>
                <w:sz w:val="24"/>
                <w:szCs w:val="24"/>
              </w:rPr>
              <w:t>N/A</w:t>
            </w:r>
          </w:p>
        </w:tc>
        <w:tc>
          <w:tcPr>
            <w:tcW w:w="2131" w:type="dxa"/>
          </w:tcPr>
          <w:p w14:paraId="5F0C9A52">
            <w:pPr>
              <w:spacing w:line="360" w:lineRule="auto"/>
            </w:pPr>
            <w:r>
              <w:rPr>
                <w:rFonts w:hint="default" w:ascii="Times New Roman" w:hAnsi="Times New Roman" w:cs="Times New Roman"/>
                <w:sz w:val="24"/>
                <w:szCs w:val="24"/>
              </w:rPr>
              <w:t>Negative (rise → Sᵢ ↓)</w:t>
            </w:r>
          </w:p>
        </w:tc>
      </w:tr>
      <w:tr w14:paraId="6F5B5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2130" w:type="dxa"/>
          </w:tcPr>
          <w:p w14:paraId="1FF65AC7">
            <w:pPr>
              <w:spacing w:line="360" w:lineRule="auto"/>
            </w:pPr>
            <w:r>
              <w:rPr>
                <w:rFonts w:hint="default" w:ascii="Times New Roman" w:hAnsi="Times New Roman" w:cs="Times New Roman"/>
                <w:sz w:val="24"/>
                <w:szCs w:val="24"/>
              </w:rPr>
              <w:t>Pregnancy</w:t>
            </w:r>
          </w:p>
        </w:tc>
        <w:tc>
          <w:tcPr>
            <w:tcW w:w="2130" w:type="dxa"/>
          </w:tcPr>
          <w:p w14:paraId="6162C4F5">
            <w:pPr>
              <w:spacing w:line="360" w:lineRule="auto"/>
            </w:pPr>
            <w:r>
              <w:rPr>
                <w:rFonts w:hint="default" w:ascii="Times New Roman" w:hAnsi="Times New Roman" w:cs="Times New Roman"/>
                <w:sz w:val="24"/>
                <w:szCs w:val="24"/>
              </w:rPr>
              <w:t>Treg frequency</w:t>
            </w:r>
          </w:p>
        </w:tc>
        <w:tc>
          <w:tcPr>
            <w:tcW w:w="2131" w:type="dxa"/>
          </w:tcPr>
          <w:p w14:paraId="6C4305F4">
            <w:pPr>
              <w:spacing w:line="360" w:lineRule="auto"/>
            </w:pPr>
            <w:r>
              <w:rPr>
                <w:rFonts w:hint="default" w:ascii="Times New Roman" w:hAnsi="Times New Roman" w:cs="Times New Roman"/>
                <w:sz w:val="24"/>
                <w:szCs w:val="24"/>
              </w:rPr>
              <w:t>Positive</w:t>
            </w:r>
          </w:p>
        </w:tc>
        <w:tc>
          <w:tcPr>
            <w:tcW w:w="2131" w:type="dxa"/>
          </w:tcPr>
          <w:p w14:paraId="2499FE05">
            <w:pPr>
              <w:spacing w:line="360" w:lineRule="auto"/>
            </w:pPr>
            <w:r>
              <w:rPr>
                <w:rFonts w:hint="default" w:ascii="Times New Roman" w:hAnsi="Times New Roman" w:cs="Times New Roman"/>
                <w:sz w:val="24"/>
                <w:szCs w:val="24"/>
              </w:rPr>
              <w:t>N/A</w:t>
            </w:r>
          </w:p>
        </w:tc>
      </w:tr>
      <w:tr w14:paraId="4F28C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130" w:type="dxa"/>
          </w:tcPr>
          <w:p w14:paraId="1F3D1B5F">
            <w:pPr>
              <w:spacing w:line="360" w:lineRule="auto"/>
            </w:pPr>
            <w:r>
              <w:rPr>
                <w:rFonts w:hint="default" w:ascii="Times New Roman" w:hAnsi="Times New Roman" w:cs="Times New Roman"/>
                <w:sz w:val="24"/>
                <w:szCs w:val="24"/>
              </w:rPr>
              <w:t>Autoimmunity</w:t>
            </w:r>
          </w:p>
        </w:tc>
        <w:tc>
          <w:tcPr>
            <w:tcW w:w="2130" w:type="dxa"/>
          </w:tcPr>
          <w:p w14:paraId="44C57E6F">
            <w:pPr>
              <w:spacing w:line="360" w:lineRule="auto"/>
            </w:pPr>
            <w:r>
              <w:rPr>
                <w:rFonts w:hint="default" w:ascii="Times New Roman" w:hAnsi="Times New Roman" w:cs="Times New Roman"/>
                <w:sz w:val="24"/>
                <w:szCs w:val="24"/>
              </w:rPr>
              <w:t>Autoantibody titer</w:t>
            </w:r>
          </w:p>
        </w:tc>
        <w:tc>
          <w:tcPr>
            <w:tcW w:w="2131" w:type="dxa"/>
          </w:tcPr>
          <w:p w14:paraId="3DD4DCF6">
            <w:pPr>
              <w:spacing w:line="360" w:lineRule="auto"/>
            </w:pPr>
            <w:r>
              <w:rPr>
                <w:rFonts w:hint="default" w:ascii="Times New Roman" w:hAnsi="Times New Roman" w:cs="Times New Roman"/>
                <w:sz w:val="24"/>
                <w:szCs w:val="24"/>
              </w:rPr>
              <w:t>N/A</w:t>
            </w:r>
          </w:p>
        </w:tc>
        <w:tc>
          <w:tcPr>
            <w:tcW w:w="2131" w:type="dxa"/>
          </w:tcPr>
          <w:p w14:paraId="0FEA5C67">
            <w:pPr>
              <w:spacing w:line="360" w:lineRule="auto"/>
            </w:pPr>
            <w:r>
              <w:rPr>
                <w:rFonts w:hint="default" w:ascii="Times New Roman" w:hAnsi="Times New Roman" w:cs="Times New Roman"/>
                <w:sz w:val="24"/>
                <w:szCs w:val="24"/>
              </w:rPr>
              <w:t>Negative (rise → Sᵢ ↓)</w:t>
            </w:r>
          </w:p>
        </w:tc>
      </w:tr>
    </w:tbl>
    <w:p w14:paraId="10026548">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S5. Falsifiability and Testable Predictions</w:t>
      </w:r>
    </w:p>
    <w:p w14:paraId="2D7560B2">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The framework generates specific, testable predictions that distinguish it from descriptive narrative models:</w:t>
      </w:r>
    </w:p>
    <w:p w14:paraId="25462987">
      <w:pPr>
        <w:spacing w:line="360" w:lineRule="auto"/>
        <w:rPr>
          <w:rFonts w:hint="default" w:ascii="Times New Roman" w:hAnsi="Times New Roman" w:cs="Times New Roman"/>
          <w:sz w:val="24"/>
          <w:szCs w:val="24"/>
        </w:rPr>
      </w:pPr>
    </w:p>
    <w:p w14:paraId="3EEFE82A">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Critical slowing down precedes transitions. In any chronic antigen scenario, approaching S* produces statistical signatures (variance ↑, recovery time ↑, autocorrelation ↑) detectable under high-frequency longitudinal sampling (minimum weekly during critical windows) [1,2]. These signals must precede clinical phase transitions by weeks to months.</w:t>
      </w:r>
    </w:p>
    <w:p w14:paraId="31698168">
      <w:pPr>
        <w:spacing w:line="360" w:lineRule="auto"/>
        <w:rPr>
          <w:rFonts w:hint="default" w:ascii="Times New Roman" w:hAnsi="Times New Roman" w:cs="Times New Roman"/>
          <w:sz w:val="24"/>
          <w:szCs w:val="24"/>
        </w:rPr>
      </w:pPr>
    </w:p>
    <w:p w14:paraId="39643761">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Antigen diversity–Sᵢ non-monotonicity. The relationship between antigen diversity and the probability of crossing S* is non-monotonic: intermediate diversity maximizes crossing probability (therapeutic window); very low diversity fails to generate sufficient Tpex; very high diversity causes resource dilution and stalling.</w:t>
      </w:r>
    </w:p>
    <w:p w14:paraId="1AA028CA">
      <w:pPr>
        <w:spacing w:line="360" w:lineRule="auto"/>
        <w:rPr>
          <w:rFonts w:hint="default" w:ascii="Times New Roman" w:hAnsi="Times New Roman" w:cs="Times New Roman"/>
          <w:sz w:val="24"/>
          <w:szCs w:val="24"/>
        </w:rPr>
      </w:pPr>
    </w:p>
    <w:p w14:paraId="4F711124">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HBV immunotherapy stratification. Low HBsAg patients (Sᵢ closer to S*) show higher response rates to ASO/siRNA/interferon than high HBsAg patients, as they require only moderate antigen reduction to trigger threshold crossing.</w:t>
      </w:r>
    </w:p>
    <w:p w14:paraId="19BC815C">
      <w:pPr>
        <w:spacing w:line="360" w:lineRule="auto"/>
        <w:rPr>
          <w:rFonts w:hint="default" w:ascii="Times New Roman" w:hAnsi="Times New Roman" w:cs="Times New Roman"/>
          <w:sz w:val="24"/>
          <w:szCs w:val="24"/>
        </w:rPr>
      </w:pPr>
    </w:p>
    <w:p w14:paraId="0F6A1017">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Transplantation trajectory divergence. Patients with early critical slowing down signals (increased variance in donor-reactive Tpex or iBOX scores) have higher 5-year rejection risk. Patients exhibiting U-shaped Sᵢ recovery achieve operational tolerance.</w:t>
      </w:r>
    </w:p>
    <w:p w14:paraId="529728EF">
      <w:pPr>
        <w:spacing w:line="360" w:lineRule="auto"/>
        <w:rPr>
          <w:rFonts w:hint="default" w:ascii="Times New Roman" w:hAnsi="Times New Roman" w:cs="Times New Roman"/>
          <w:sz w:val="24"/>
          <w:szCs w:val="24"/>
        </w:rPr>
      </w:pPr>
    </w:p>
    <w:p w14:paraId="4435EDC9">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Chrono-immunotherapy dependence. Vaccine and immunotherapy responses vary with the circadian phase of administration. Pro-inflammatory peaks (individualized, not fixed clock time) yield stronger effector responses than suppressive troughs.</w:t>
      </w:r>
    </w:p>
    <w:p w14:paraId="66CEA7BF">
      <w:pPr>
        <w:spacing w:line="360" w:lineRule="auto"/>
        <w:rPr>
          <w:rFonts w:hint="default" w:ascii="Times New Roman" w:hAnsi="Times New Roman" w:cs="Times New Roman"/>
          <w:sz w:val="24"/>
          <w:szCs w:val="24"/>
        </w:rPr>
      </w:pPr>
    </w:p>
    <w:p w14:paraId="56EF3A51">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Falsification criterion: If high-resolution longitudinal monitoring (meeting the frequency criteria above) fails to detect these predicted signals in any qualifying chronic antigen scenario, the framework would be falsified. This criterion defines the framework as a testable scientific model.</w:t>
      </w:r>
    </w:p>
    <w:p w14:paraId="500D6EC0">
      <w:pPr>
        <w:spacing w:line="360" w:lineRule="auto"/>
        <w:rPr>
          <w:rFonts w:hint="default" w:ascii="Times New Roman" w:hAnsi="Times New Roman" w:cs="Times New Roman"/>
          <w:sz w:val="24"/>
          <w:szCs w:val="24"/>
        </w:rPr>
      </w:pPr>
    </w:p>
    <w:p w14:paraId="4139026E">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Supplementary References</w:t>
      </w:r>
    </w:p>
    <w:p w14:paraId="4A15E1D4">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[1] Scheffer M, Bascompte J, Brock WA, et al. Early-warning signals for critical transitions. Nature. 2009;461(7260):53-59. doi: 10.1038/nature08227.</w:t>
      </w:r>
    </w:p>
    <w:p w14:paraId="789FEBD0">
      <w:pPr>
        <w:spacing w:line="360" w:lineRule="auto"/>
        <w:rPr>
          <w:rFonts w:hint="default" w:ascii="Times New Roman" w:hAnsi="Times New Roman" w:cs="Times New Roman"/>
          <w:sz w:val="24"/>
          <w:szCs w:val="24"/>
        </w:rPr>
      </w:pPr>
    </w:p>
    <w:p w14:paraId="1DE02568">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[2] Dakos V, Scheffer M, van Nes EH, et al. Slowing down as an early warning signal for abrupt climate change. Proc Natl Acad Sci USA. 2008;105(38):14308-14312. doi: 10.1073/pnas.0802430105.</w:t>
      </w:r>
    </w:p>
    <w:p w14:paraId="27CB06AA">
      <w:pPr>
        <w:spacing w:line="360" w:lineRule="auto"/>
        <w:rPr>
          <w:rFonts w:hint="default" w:ascii="Times New Roman" w:hAnsi="Times New Roman" w:cs="Times New Roman"/>
          <w:sz w:val="24"/>
          <w:szCs w:val="24"/>
        </w:rPr>
      </w:pPr>
    </w:p>
    <w:p w14:paraId="35A147D6">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[3] Im SJ, Hashimoto M, Gerner MY, et al. Defining CD8+ T cells that provide the proliferative burst after PD-1 therapy. Nature. 2016;537(7620):417-421. doi: 10.1038/nature19330.</w:t>
      </w:r>
    </w:p>
    <w:p w14:paraId="2E0BF7F0">
      <w:pPr>
        <w:spacing w:line="360" w:lineRule="auto"/>
        <w:rPr>
          <w:rFonts w:hint="default" w:ascii="Times New Roman" w:hAnsi="Times New Roman" w:cs="Times New Roman"/>
          <w:sz w:val="24"/>
          <w:szCs w:val="24"/>
        </w:rPr>
      </w:pPr>
    </w:p>
    <w:p w14:paraId="7BD12B36">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[4] Sakaguchi S, Yamaguchi T, Nomura T, Ono M. Regulatory T cells and immune tolerance. Cell. 2008;133(5):775-787. doi: 10.1016/j.cell.2008.05.009.</w:t>
      </w:r>
    </w:p>
    <w:p w14:paraId="6B199D6F">
      <w:pPr>
        <w:spacing w:line="360" w:lineRule="auto"/>
        <w:rPr>
          <w:rFonts w:hint="default" w:ascii="Times New Roman" w:hAnsi="Times New Roman" w:cs="Times New Roman"/>
          <w:sz w:val="24"/>
          <w:szCs w:val="24"/>
        </w:rPr>
      </w:pPr>
    </w:p>
    <w:p w14:paraId="7ABDD17C">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[5] Bertoletti A, Ferrari C. Adaptive immunity in HBV infection. J Hepatol. 2016;64(1 Suppl):S71-S83. doi: 10.1016/j.jhep.2016.01.026.</w:t>
      </w:r>
    </w:p>
    <w:p w14:paraId="6A3AC751">
      <w:pPr>
        <w:spacing w:line="360" w:lineRule="auto"/>
        <w:rPr>
          <w:rFonts w:hint="default" w:ascii="Times New Roman" w:hAnsi="Times New Roman" w:cs="Times New Roman"/>
          <w:sz w:val="24"/>
          <w:szCs w:val="24"/>
        </w:rPr>
      </w:pPr>
    </w:p>
    <w:p w14:paraId="6C60A298">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End of Supplementary Information</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F5505F9"/>
    <w:rsid w:val="09047D11"/>
    <w:rsid w:val="1F5505F9"/>
    <w:rsid w:val="24183C32"/>
    <w:rsid w:val="59875A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 w:type="table" w:styleId="3">
    <w:name w:val="Table Grid"/>
    <w:basedOn w:val="2"/>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4</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2026-07-04T00:52:00Z</dcterms:created>
  <dc:creator>远山的呼唤</dc:creator>
  <cp:lastModifiedBy>远山的呼唤</cp:lastModifiedBy>
  <dcterms:modified xsi:type="dcterms:W3CDTF">2026-07-04T01:28:31Z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06F85E7D1E014CC7A39C15A297EBF167_13</vt:lpwstr>
  </property>
  <property fmtid="{D5CDD505-2E9C-101B-9397-08002B2CF9AE}" pid="4" name="KSOTemplateDocerSaveRecord">
    <vt:lpwstr>eyJoZGlkIjoiNTliMjNlOWVjNTA4ZTUwYzNiNzMxNmVmOWRiNWEzYjgiLCJ1c2VySWQiOiI0NDY1NzU5OTAifQ==</vt:lpwstr>
  </property>
</Properties>
</file>