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84AF6" w14:textId="7E3ADD51" w:rsidR="00440E70" w:rsidRPr="00440E70" w:rsidRDefault="00440E70" w:rsidP="00440E70">
      <w:pPr>
        <w:rPr>
          <w:rFonts w:ascii="Times New Roman" w:hAnsi="Times New Roman" w:cs="Times New Roman"/>
          <w:sz w:val="24"/>
          <w:szCs w:val="24"/>
        </w:rPr>
      </w:pPr>
      <w:r w:rsidRPr="00440E70">
        <w:rPr>
          <w:rFonts w:ascii="Times New Roman" w:hAnsi="Times New Roman" w:cs="Times New Roman"/>
          <w:b/>
          <w:bCs/>
          <w:sz w:val="24"/>
          <w:szCs w:val="24"/>
        </w:rPr>
        <w:t>Supplementary T</w:t>
      </w:r>
      <w:r w:rsidRPr="00440E70">
        <w:rPr>
          <w:rFonts w:ascii="Times New Roman" w:hAnsi="Times New Roman" w:cs="Times New Roman"/>
          <w:b/>
          <w:bCs/>
          <w:sz w:val="24"/>
          <w:szCs w:val="24"/>
        </w:rPr>
        <w:t>able 1</w:t>
      </w:r>
      <w:r w:rsidRPr="00440E70">
        <w:rPr>
          <w:rFonts w:ascii="Times New Roman" w:hAnsi="Times New Roman" w:cs="Times New Roman"/>
          <w:sz w:val="24"/>
          <w:szCs w:val="24"/>
        </w:rPr>
        <w:t xml:space="preserve">. The variants of mucormycosis and the symptoms associated with the disease </w:t>
      </w:r>
      <w:r w:rsidRPr="00440E70">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{"citationItems":[{"id":"ITEM-1","itemData":{"DOI":"10.1128/CMR.13.2.236-301.2000","PMID":"10756000","abstract":"The Zygomycetes represent relatively uncommon isolates in the clinical laboratory, reflecting either environmental contaminants or, less commonly, a clinical disease called zygomycosis. There are two orders of Zygomycetes containing organisms that cause human disease, the Mucorales and the Entomophthorales. The majority of human illness is caused by the Mucorales. While disease is most commonly linked to Rhizopus spp., other organisms are also associated with human infection, including Mucor, Rhizomucor, Absidia, Apophysomyces, Saksenaea, Cunninghamella, Cokeromyces, and Syncephalastrum spp. Although Mortierella spp. do cause disease in animals, there is no longer sufficient evidence to suggest that they are true human pathogens. The spores from these molds are transmitted by inhalation, via a variety of percutaneous routes, or by ingestion of spores. Human zygomycosis caused by the Mucorales generally occurs in immunocompromised hosts as opportunistic infections. Host risk factors include diabetes mellitus, neutropenia, sustained immunosuppressive therapy, chronic prednisone use, iron chelation therapy, broad-spectrum antibiotic use, severe malnutrition, and primary breakdown in the integrity of the cutaneous barrier such as trauma, surgical wounds, needle sticks, or burns. Zygomycosis occurs only rarely in immunocompetent hosts. The disease manifestations reflect the mode of transmission, with rhinocerebral and pulmonary diseases being the most common manifestations. Cutaneous, gastrointestinal, and allergic diseases are also seen. The Mucorales are associated with angioinvasive disease, often leading to thrombosis, infarction of involved tissues, and tissue destruction mediated by a number of fungal proteases, lipases, and mycotoxins. If the diagnosis is not made early, dissemination often occurs. Therapy, if it is to be effective, must be started early and requires combinations of antifungal drugs, surgical intervention, and reversal of the underlying risk factors. The Entomophthorales are closely related to the Mucorales on the basis of sexual growth by production of zygospores and by the production of coenocytic hyphae. Despite these similarities, the Entomophthorales and Mucorales have dramatically different gross morphologies, asexual reproductive characteristics, and disease manifestations. In comparison to the floccose aerial mycelium of the Mucorales, the Entomophthorales produce a compact, glabrous mycelium. The asexually produced spores of …","author":[{"dropping-particle":"","family":"Ribes","given":"Julie A.","non-dropping-particle":"","parse-names":false,"suffix":""},{"dropping-particle":"","family":"Vanover-Sams","given":"Carolyn L.","non-dropping-particle":"","parse-names":false,"suffix":""},{"dropping-particle":"","family":"Baker","given":"Doris J.","non-dropping-particle":"","parse-names":false,"suffix":""}],"container-title":"Clinical Microbiology Reviews","id":"ITEM-1","issue":"2","issued":{"date-parts":[["2000","4"]]},"page":"236","publisher":"American Society for Microbiology (ASM)","title":"Zygomycetes in Human Disease","type":"article-journal","volume":"13"},"uris":["http://www.mendeley.com/documents/?uuid=a1a3ad79-4102-3a2f-97b4-39b9a60b6e89","http://www.mendeley.com/documents/?uuid=7e305ed7-09e6-4358-ab1d-5d5a55c8c30f"]},{"id":"ITEM-2","itemData":{"DOI":"10.1182/blood-2011-03-316430","ISSN":"00064971","PMID":"21622653","abstract":"Unlike invasive aspergillosis, the prognosis and outcome of hematologic malignancy patients who develop invasive mucormycosis have not significantly improved over the past decade as a majority of patients who develop the infection still die 12 weeks after diagnosis. However, early recognition and treatment of invasive mucormycosis syndromes, as well as individualized approaches to treatment and secondary prophylaxis, could improve the odds of survival, even in the most persistently immunosuppressed patient receiving chemotherapy and/or of stem cell transplantation. Herein, we describe the subtle clinical and radiographic clues that should alert the hematologist to the possibility of mucormycosis, and aggressive and timely treatment approaches that may limit the spread of infection before it becomes fatal. Hematology patients with this opportunistic infection require integrated care across several disciplines and frequently highly individualized and complex sequence of decision-making. We also offer perspectives for the use of 2 antifungals, amphotericin B products and posaconazole, with activity against Mucorales. The availability of posaconazole in an oral formulation that can be administered safely for prolonged periods makes it an attractive agent for long-term primary and secondary prophylaxis. However, serum drug concentration monitoring may be required to minimize breakthrough infection or relapsing mucormycosis associated with inadequate blood concentrations. © 2011 by The American Society of Hematology.","author":[{"dropping-particle":"","family":"Kontoyiannis","given":"Dimitrios P.","non-dropping-particle":"","parse-names":false,"suffix":""},{"dropping-particle":"","family":"Lewis","given":"Russell E.","non-dropping-particle":"","parse-names":false,"suffix":""}],"container-title":"Blood","id":"ITEM-2","issue":"5","issued":{"date-parts":[["2011"]]},"page":"1216-1224","title":"How I treat mucormycosis","type":"article-journal","volume":"118"},"uris":["http://www.mendeley.com/documents/?uuid=41325779-ea73-31b3-8d9c-fa86fec38544","http://www.mendeley.com/documents/?uuid=ed46e127-cf4f-4437-ac86-76bd2fe73df1"]},{"id":"ITEM-3","itemData":{"DOI":"10.1128/CMR.18.3.556-569.2005","PMID":"16020690","abstract":"Mucormycosis is a life-threatening fungal infection that occurs in immunocompromised patients. These infections are becoming increasingly common, yet survival remains very poor. A greater understanding of the pathogenesis of the disease may lead to future therapies. For example, it is now clear that iron metabolism plays a central role in regulating mucormycosis infections and that deferoxamine predisposes patients to mucormycosis by inappropriately supplying the fungus with iron. These findings raise the possibility that iron chelator therapy may be useful to treat the infection as long as the chelator does not inappropriately supply the fungus with iron. Recent data support the concept that high-dose liposomal amphotericin is the preferred monotherapy for mucormycosis. However, several novel therapeutic strategies are available. These options include combination therapy using lipid-based amphotericin with an echinocandin or with an azole (largely itraconazole or posaconazole) or with all three. The underlying principles of therapy for this disease remain rapid diagnosis, reversal of underlying predisposition, and urgent surgical debridement. Copyright © 2005, American Society for Microbiology. All Rights Reserved.","author":[{"dropping-particle":"","family":"Spellberg","given":"Brad","non-dropping-particle":"","parse-names":false,"suffix":""},{"dropping-particle":"","family":"Edwards","given":"John","non-dropping-particle":"","parse-names":false,"suffix":""},{"dropping-particle":"","family":"Jr.","given":"","non-dropping-particle":"","parse-names":false,"suffix":""},{"dropping-particle":"","family":"Ibrahim","given":"Ashraf","non-dropping-particle":"","parse-names":false,"suffix":""}],"container-title":"Clinical Microbiology Reviews","id":"ITEM-3","issue":"3","issued":{"date-parts":[["2005","7"]]},"page":"556","publisher":"American Society for Microbiology (ASM)","title":"Novel Perspectives on Mucormycosis: Pathophysiology, Presentation, and Management","type":"article-journal","volume":"18"},"uris":["http://www.mendeley.com/documents/?uuid=a8ef1ed3-8f35-3159-b8a5-191569df1016","http://www.mendeley.com/documents/?uuid=f2cd374b-444f-44e2-80a2-d88ec5a2a433"]},{"id":"ITEM-4","itemData":{"DOI":"10.6314/JIMT.202002_31(1).02","ISSN":"10167390","author":[{"dropping-particle":"","family":"Sheng","given":"Wang Huei","non-dropping-particle":"","parse-names":false,"suffix":""}],"container-title":"Journal of Internal Medicine of Taiwan","id":"ITEM-4","issue":"1","issued":{"date-parts":[["2020"]]},"page":"3-6","title":"Epidemiology and clinical manifestations of influenza","type":"article-journal","volume":"31"},"uris":["http://www.mendeley.com/documents/?uuid=5ffe5c4e-44f0-3567-886d-8e652add3e6d","http://www.mendeley.com/documents/?uuid=f5fc57a6-1911-4472-94f5-32443d10c534"]},{"id":"ITEM-5","itemData":{"id":"ITEM-5","issued":{"date-parts":[["0"]]},"title":"Symptoms of Mucormycosis | Mucormycosis | CDC","type":"webpage"},"uris":["http://www.mendeley.com/documents/?uuid=5de88213-9068-36d1-9a3b-bd68a5c504dc","http://www.mendeley.com/documents/?uuid=a4c93b1b-7f7c-47f3-b182-c60385a8113e"]}],"mendeley":{"formattedCitation":"[1–5]","plainTextFormattedCitation":"[1–5]","previouslyFormattedCitation":"[1–5]"},"properties":{"noteIndex":0},"schema":"https://github.com/citation-style-language/schema/raw/master/csl-citation.json"}</w:instrText>
      </w:r>
      <w:r w:rsidRPr="00440E70">
        <w:rPr>
          <w:rFonts w:ascii="Times New Roman" w:hAnsi="Times New Roman" w:cs="Times New Roman"/>
          <w:sz w:val="24"/>
          <w:szCs w:val="24"/>
        </w:rPr>
        <w:fldChar w:fldCharType="separate"/>
      </w:r>
      <w:r w:rsidRPr="00440E70">
        <w:rPr>
          <w:rFonts w:ascii="Times New Roman" w:hAnsi="Times New Roman" w:cs="Times New Roman"/>
          <w:noProof/>
          <w:sz w:val="24"/>
          <w:szCs w:val="24"/>
        </w:rPr>
        <w:t>[1–5]</w:t>
      </w:r>
      <w:r w:rsidRPr="00440E70">
        <w:rPr>
          <w:rFonts w:ascii="Times New Roman" w:hAnsi="Times New Roman" w:cs="Times New Roman"/>
          <w:sz w:val="24"/>
          <w:szCs w:val="24"/>
        </w:rPr>
        <w:fldChar w:fldCharType="end"/>
      </w:r>
      <w:r w:rsidRPr="00440E70">
        <w:rPr>
          <w:rFonts w:ascii="Times New Roman" w:hAnsi="Times New Roman" w:cs="Times New Roman"/>
          <w:sz w:val="24"/>
          <w:szCs w:val="24"/>
        </w:rPr>
        <w:t>.</w:t>
      </w:r>
    </w:p>
    <w:tbl>
      <w:tblPr>
        <w:tblStyle w:val="GridTable1Light"/>
        <w:tblW w:w="0" w:type="auto"/>
        <w:tblLook w:val="04A0" w:firstRow="1" w:lastRow="0" w:firstColumn="1" w:lastColumn="0" w:noHBand="0" w:noVBand="1"/>
      </w:tblPr>
      <w:tblGrid>
        <w:gridCol w:w="4508"/>
        <w:gridCol w:w="4508"/>
      </w:tblGrid>
      <w:tr w:rsidR="00440E70" w:rsidRPr="00440E70" w14:paraId="2D9313BA" w14:textId="77777777" w:rsidTr="007F4E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vAlign w:val="center"/>
          </w:tcPr>
          <w:p w14:paraId="76207594" w14:textId="77777777" w:rsidR="00440E70" w:rsidRPr="00440E70" w:rsidRDefault="00440E70" w:rsidP="007F4ED0">
            <w:pPr>
              <w:jc w:val="center"/>
              <w:rPr>
                <w:rFonts w:ascii="Times New Roman" w:hAnsi="Times New Roman" w:cs="Times New Roman"/>
              </w:rPr>
            </w:pPr>
            <w:bookmarkStart w:id="0" w:name="_Hlk82797249"/>
            <w:r w:rsidRPr="00440E70">
              <w:rPr>
                <w:rFonts w:ascii="Times New Roman" w:hAnsi="Times New Roman" w:cs="Times New Roman"/>
              </w:rPr>
              <w:t>Variant</w:t>
            </w:r>
          </w:p>
        </w:tc>
        <w:tc>
          <w:tcPr>
            <w:tcW w:w="4508" w:type="dxa"/>
            <w:vAlign w:val="center"/>
          </w:tcPr>
          <w:p w14:paraId="564B9B56" w14:textId="77777777" w:rsidR="00440E70" w:rsidRPr="00440E70" w:rsidRDefault="00440E70" w:rsidP="007F4ED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40E70">
              <w:rPr>
                <w:rFonts w:ascii="Times New Roman" w:hAnsi="Times New Roman" w:cs="Times New Roman"/>
              </w:rPr>
              <w:t>Symptoms</w:t>
            </w:r>
          </w:p>
        </w:tc>
      </w:tr>
      <w:tr w:rsidR="00440E70" w:rsidRPr="00440E70" w14:paraId="4E1A63A7" w14:textId="77777777" w:rsidTr="007F4ED0">
        <w:trPr>
          <w:trHeight w:val="2028"/>
        </w:trPr>
        <w:tc>
          <w:tcPr>
            <w:cnfStyle w:val="001000000000" w:firstRow="0" w:lastRow="0" w:firstColumn="1" w:lastColumn="0" w:oddVBand="0" w:evenVBand="0" w:oddHBand="0" w:evenHBand="0" w:firstRowFirstColumn="0" w:firstRowLastColumn="0" w:lastRowFirstColumn="0" w:lastRowLastColumn="0"/>
            <w:tcW w:w="4508" w:type="dxa"/>
          </w:tcPr>
          <w:p w14:paraId="7E68861B" w14:textId="77777777" w:rsidR="00440E70" w:rsidRPr="00440E70" w:rsidRDefault="00440E70" w:rsidP="007F4ED0">
            <w:pPr>
              <w:rPr>
                <w:rFonts w:ascii="Times New Roman" w:hAnsi="Times New Roman" w:cs="Times New Roman"/>
              </w:rPr>
            </w:pPr>
            <w:r w:rsidRPr="00440E70">
              <w:rPr>
                <w:rFonts w:ascii="Times New Roman" w:hAnsi="Times New Roman" w:cs="Times New Roman"/>
              </w:rPr>
              <w:t>Rhinocerebral</w:t>
            </w:r>
          </w:p>
        </w:tc>
        <w:tc>
          <w:tcPr>
            <w:tcW w:w="4508" w:type="dxa"/>
          </w:tcPr>
          <w:p w14:paraId="0AEDBB37" w14:textId="77777777" w:rsidR="00440E70" w:rsidRPr="00440E70" w:rsidRDefault="00440E70" w:rsidP="007F4ED0">
            <w:pPr>
              <w:numPr>
                <w:ilvl w:val="0"/>
                <w:numId w:val="1"/>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One-sided facial swelling</w:t>
            </w:r>
          </w:p>
          <w:p w14:paraId="5D33D4C4" w14:textId="77777777" w:rsidR="00440E70" w:rsidRPr="00440E70" w:rsidRDefault="00440E70" w:rsidP="007F4ED0">
            <w:pPr>
              <w:numPr>
                <w:ilvl w:val="0"/>
                <w:numId w:val="1"/>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Headache</w:t>
            </w:r>
          </w:p>
          <w:p w14:paraId="28764E5A" w14:textId="77777777" w:rsidR="00440E70" w:rsidRPr="00440E70" w:rsidRDefault="00440E70" w:rsidP="007F4ED0">
            <w:pPr>
              <w:numPr>
                <w:ilvl w:val="0"/>
                <w:numId w:val="1"/>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Nasal or sinus congestion</w:t>
            </w:r>
          </w:p>
          <w:p w14:paraId="5DA8A2CB" w14:textId="77777777" w:rsidR="00440E70" w:rsidRPr="00440E70" w:rsidRDefault="00440E70" w:rsidP="007F4ED0">
            <w:pPr>
              <w:numPr>
                <w:ilvl w:val="0"/>
                <w:numId w:val="1"/>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Black lesions on the nasal bridge or upper inside of the mouth that quickly become more severe</w:t>
            </w:r>
          </w:p>
          <w:p w14:paraId="297A2641" w14:textId="77777777" w:rsidR="00440E70" w:rsidRPr="00440E70" w:rsidRDefault="00440E70" w:rsidP="007F4ED0">
            <w:pPr>
              <w:numPr>
                <w:ilvl w:val="0"/>
                <w:numId w:val="1"/>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Fever</w:t>
            </w:r>
          </w:p>
        </w:tc>
      </w:tr>
      <w:tr w:rsidR="00440E70" w:rsidRPr="00440E70" w14:paraId="5A272CDE" w14:textId="77777777" w:rsidTr="007F4ED0">
        <w:tc>
          <w:tcPr>
            <w:cnfStyle w:val="001000000000" w:firstRow="0" w:lastRow="0" w:firstColumn="1" w:lastColumn="0" w:oddVBand="0" w:evenVBand="0" w:oddHBand="0" w:evenHBand="0" w:firstRowFirstColumn="0" w:firstRowLastColumn="0" w:lastRowFirstColumn="0" w:lastRowLastColumn="0"/>
            <w:tcW w:w="4508" w:type="dxa"/>
          </w:tcPr>
          <w:p w14:paraId="656DE7EA" w14:textId="77777777" w:rsidR="00440E70" w:rsidRPr="00440E70" w:rsidRDefault="00440E70" w:rsidP="007F4ED0">
            <w:pPr>
              <w:rPr>
                <w:rFonts w:ascii="Times New Roman" w:hAnsi="Times New Roman" w:cs="Times New Roman"/>
              </w:rPr>
            </w:pPr>
            <w:r w:rsidRPr="00440E70">
              <w:rPr>
                <w:rFonts w:ascii="Times New Roman" w:hAnsi="Times New Roman" w:cs="Times New Roman"/>
              </w:rPr>
              <w:t>Pulmonary</w:t>
            </w:r>
          </w:p>
        </w:tc>
        <w:tc>
          <w:tcPr>
            <w:tcW w:w="4508" w:type="dxa"/>
          </w:tcPr>
          <w:p w14:paraId="4466EB93" w14:textId="77777777" w:rsidR="00440E70" w:rsidRPr="00440E70" w:rsidRDefault="00440E70" w:rsidP="007F4ED0">
            <w:pPr>
              <w:numPr>
                <w:ilvl w:val="0"/>
                <w:numId w:val="2"/>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Fever</w:t>
            </w:r>
          </w:p>
          <w:p w14:paraId="3B685200" w14:textId="77777777" w:rsidR="00440E70" w:rsidRPr="00440E70" w:rsidRDefault="00440E70" w:rsidP="007F4ED0">
            <w:pPr>
              <w:numPr>
                <w:ilvl w:val="0"/>
                <w:numId w:val="2"/>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Cough</w:t>
            </w:r>
          </w:p>
          <w:p w14:paraId="2C1E9D8C" w14:textId="77777777" w:rsidR="00440E70" w:rsidRPr="00440E70" w:rsidRDefault="00440E70" w:rsidP="007F4ED0">
            <w:pPr>
              <w:numPr>
                <w:ilvl w:val="0"/>
                <w:numId w:val="2"/>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Chest pain</w:t>
            </w:r>
          </w:p>
          <w:p w14:paraId="2D8ECBA4" w14:textId="77777777" w:rsidR="00440E70" w:rsidRPr="00440E70" w:rsidRDefault="00440E70" w:rsidP="007F4ED0">
            <w:pPr>
              <w:numPr>
                <w:ilvl w:val="0"/>
                <w:numId w:val="2"/>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Shortness of breath</w:t>
            </w:r>
          </w:p>
        </w:tc>
      </w:tr>
      <w:tr w:rsidR="00440E70" w:rsidRPr="00440E70" w14:paraId="265E3981" w14:textId="77777777" w:rsidTr="007F4ED0">
        <w:tc>
          <w:tcPr>
            <w:cnfStyle w:val="001000000000" w:firstRow="0" w:lastRow="0" w:firstColumn="1" w:lastColumn="0" w:oddVBand="0" w:evenVBand="0" w:oddHBand="0" w:evenHBand="0" w:firstRowFirstColumn="0" w:firstRowLastColumn="0" w:lastRowFirstColumn="0" w:lastRowLastColumn="0"/>
            <w:tcW w:w="4508" w:type="dxa"/>
          </w:tcPr>
          <w:p w14:paraId="2BF115C5" w14:textId="77777777" w:rsidR="00440E70" w:rsidRPr="00440E70" w:rsidRDefault="00440E70" w:rsidP="007F4ED0">
            <w:pPr>
              <w:rPr>
                <w:rFonts w:ascii="Times New Roman" w:hAnsi="Times New Roman" w:cs="Times New Roman"/>
              </w:rPr>
            </w:pPr>
            <w:r w:rsidRPr="00440E70">
              <w:rPr>
                <w:rFonts w:ascii="Times New Roman" w:hAnsi="Times New Roman" w:cs="Times New Roman"/>
              </w:rPr>
              <w:t>Gastrointestinal</w:t>
            </w:r>
          </w:p>
        </w:tc>
        <w:tc>
          <w:tcPr>
            <w:tcW w:w="4508" w:type="dxa"/>
          </w:tcPr>
          <w:p w14:paraId="5ADCE73A" w14:textId="77777777" w:rsidR="00440E70" w:rsidRPr="00440E70" w:rsidRDefault="00440E70" w:rsidP="007F4ED0">
            <w:pPr>
              <w:numPr>
                <w:ilvl w:val="0"/>
                <w:numId w:val="3"/>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Abdominal pain</w:t>
            </w:r>
          </w:p>
          <w:p w14:paraId="679F92E8" w14:textId="77777777" w:rsidR="00440E70" w:rsidRPr="00440E70" w:rsidRDefault="00440E70" w:rsidP="007F4ED0">
            <w:pPr>
              <w:numPr>
                <w:ilvl w:val="0"/>
                <w:numId w:val="3"/>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Nausea and vomiting</w:t>
            </w:r>
          </w:p>
          <w:p w14:paraId="6FD3AB44" w14:textId="77777777" w:rsidR="00440E70" w:rsidRPr="00440E70" w:rsidRDefault="00440E70" w:rsidP="007F4ED0">
            <w:pPr>
              <w:numPr>
                <w:ilvl w:val="0"/>
                <w:numId w:val="3"/>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eastAsia="Times New Roman" w:hAnsi="Times New Roman" w:cs="Times New Roman"/>
                <w:lang w:eastAsia="en-IN"/>
              </w:rPr>
              <w:t>Gastrointestinal bleeding</w:t>
            </w:r>
          </w:p>
        </w:tc>
      </w:tr>
      <w:tr w:rsidR="00440E70" w:rsidRPr="00440E70" w14:paraId="4D9D09A1" w14:textId="77777777" w:rsidTr="007F4ED0">
        <w:tc>
          <w:tcPr>
            <w:cnfStyle w:val="001000000000" w:firstRow="0" w:lastRow="0" w:firstColumn="1" w:lastColumn="0" w:oddVBand="0" w:evenVBand="0" w:oddHBand="0" w:evenHBand="0" w:firstRowFirstColumn="0" w:firstRowLastColumn="0" w:lastRowFirstColumn="0" w:lastRowLastColumn="0"/>
            <w:tcW w:w="4508" w:type="dxa"/>
          </w:tcPr>
          <w:p w14:paraId="07D0CFA0" w14:textId="77777777" w:rsidR="00440E70" w:rsidRPr="00440E70" w:rsidRDefault="00440E70" w:rsidP="007F4ED0">
            <w:pPr>
              <w:rPr>
                <w:rFonts w:ascii="Times New Roman" w:hAnsi="Times New Roman" w:cs="Times New Roman"/>
              </w:rPr>
            </w:pPr>
            <w:r w:rsidRPr="00440E70">
              <w:rPr>
                <w:rFonts w:ascii="Times New Roman" w:hAnsi="Times New Roman" w:cs="Times New Roman"/>
              </w:rPr>
              <w:t>Cutaneous</w:t>
            </w:r>
          </w:p>
        </w:tc>
        <w:tc>
          <w:tcPr>
            <w:tcW w:w="4508" w:type="dxa"/>
          </w:tcPr>
          <w:p w14:paraId="70B9E4B8" w14:textId="77777777" w:rsidR="00440E70" w:rsidRPr="00440E70" w:rsidRDefault="00440E70" w:rsidP="007F4ED0">
            <w:pPr>
              <w:numPr>
                <w:ilvl w:val="0"/>
                <w:numId w:val="3"/>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hAnsi="Times New Roman" w:cs="Times New Roman"/>
                <w:shd w:val="clear" w:color="auto" w:fill="FFFFFF"/>
              </w:rPr>
              <w:t>Blisters or ulcers</w:t>
            </w:r>
          </w:p>
          <w:p w14:paraId="26885E82" w14:textId="77777777" w:rsidR="00440E70" w:rsidRPr="00440E70" w:rsidRDefault="00440E70" w:rsidP="007F4ED0">
            <w:pPr>
              <w:numPr>
                <w:ilvl w:val="0"/>
                <w:numId w:val="3"/>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hAnsi="Times New Roman" w:cs="Times New Roman"/>
                <w:shd w:val="clear" w:color="auto" w:fill="FFFFFF"/>
              </w:rPr>
              <w:t>Infected area may turn black</w:t>
            </w:r>
          </w:p>
          <w:p w14:paraId="589E57D9" w14:textId="77777777" w:rsidR="00440E70" w:rsidRPr="00440E70" w:rsidRDefault="00440E70" w:rsidP="007F4ED0">
            <w:pPr>
              <w:numPr>
                <w:ilvl w:val="0"/>
                <w:numId w:val="3"/>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n-IN"/>
              </w:rPr>
            </w:pPr>
            <w:r w:rsidRPr="00440E70">
              <w:rPr>
                <w:rFonts w:ascii="Times New Roman" w:hAnsi="Times New Roman" w:cs="Times New Roman"/>
                <w:shd w:val="clear" w:color="auto" w:fill="FFFFFF"/>
              </w:rPr>
              <w:t xml:space="preserve">Pain, warmth, excessive redness, or swelling </w:t>
            </w:r>
          </w:p>
        </w:tc>
      </w:tr>
      <w:bookmarkEnd w:id="0"/>
    </w:tbl>
    <w:p w14:paraId="643B119A" w14:textId="135BDC12" w:rsidR="00B85961" w:rsidRDefault="00B85961"/>
    <w:p w14:paraId="46165EE7" w14:textId="3F15DF0D" w:rsidR="00440E70" w:rsidRPr="00440E70" w:rsidRDefault="00440E70">
      <w:pPr>
        <w:rPr>
          <w:rFonts w:ascii="Times New Roman" w:hAnsi="Times New Roman" w:cs="Times New Roman"/>
          <w:b/>
          <w:bCs/>
          <w:sz w:val="24"/>
          <w:szCs w:val="24"/>
        </w:rPr>
      </w:pPr>
      <w:r w:rsidRPr="00440E70">
        <w:rPr>
          <w:rFonts w:ascii="Times New Roman" w:hAnsi="Times New Roman" w:cs="Times New Roman"/>
          <w:b/>
          <w:bCs/>
          <w:sz w:val="24"/>
          <w:szCs w:val="24"/>
        </w:rPr>
        <w:t>References:</w:t>
      </w:r>
    </w:p>
    <w:p w14:paraId="64EFAEE6" w14:textId="46391283" w:rsidR="00440E70" w:rsidRPr="00440E70" w:rsidRDefault="00440E70" w:rsidP="00440E70">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Pr="00440E70">
        <w:rPr>
          <w:rFonts w:ascii="Times New Roman" w:hAnsi="Times New Roman" w:cs="Times New Roman"/>
          <w:noProof/>
          <w:sz w:val="24"/>
          <w:szCs w:val="24"/>
        </w:rPr>
        <w:t>[1]</w:t>
      </w:r>
      <w:r w:rsidRPr="00440E70">
        <w:rPr>
          <w:rFonts w:ascii="Times New Roman" w:hAnsi="Times New Roman" w:cs="Times New Roman"/>
          <w:noProof/>
          <w:sz w:val="24"/>
          <w:szCs w:val="24"/>
        </w:rPr>
        <w:tab/>
        <w:t>J.A. Ribes, C.L. Vanover-Sams, D.J. Baker, Zygomycetes in Human Disease, Clin. Microbiol. Rev. 13 (2000) 236. https://doi.org/10.1128/CMR.13.2.236-301.2000.</w:t>
      </w:r>
    </w:p>
    <w:p w14:paraId="5A159FD2" w14:textId="77777777" w:rsidR="00440E70" w:rsidRPr="00440E70" w:rsidRDefault="00440E70" w:rsidP="00440E70">
      <w:pPr>
        <w:widowControl w:val="0"/>
        <w:autoSpaceDE w:val="0"/>
        <w:autoSpaceDN w:val="0"/>
        <w:adjustRightInd w:val="0"/>
        <w:spacing w:line="240" w:lineRule="auto"/>
        <w:ind w:left="640" w:hanging="640"/>
        <w:rPr>
          <w:rFonts w:ascii="Times New Roman" w:hAnsi="Times New Roman" w:cs="Times New Roman"/>
          <w:noProof/>
          <w:sz w:val="24"/>
          <w:szCs w:val="24"/>
        </w:rPr>
      </w:pPr>
      <w:r w:rsidRPr="00440E70">
        <w:rPr>
          <w:rFonts w:ascii="Times New Roman" w:hAnsi="Times New Roman" w:cs="Times New Roman"/>
          <w:noProof/>
          <w:sz w:val="24"/>
          <w:szCs w:val="24"/>
        </w:rPr>
        <w:t>[2]</w:t>
      </w:r>
      <w:r w:rsidRPr="00440E70">
        <w:rPr>
          <w:rFonts w:ascii="Times New Roman" w:hAnsi="Times New Roman" w:cs="Times New Roman"/>
          <w:noProof/>
          <w:sz w:val="24"/>
          <w:szCs w:val="24"/>
        </w:rPr>
        <w:tab/>
        <w:t>D.P. Kontoyiannis, R.E. Lewis, How I treat mucormycosis, Blood. 118 (2011) 1216–1224. https://doi.org/10.1182/blood-2011-03-316430.</w:t>
      </w:r>
    </w:p>
    <w:p w14:paraId="0AA11535" w14:textId="77777777" w:rsidR="00440E70" w:rsidRPr="00440E70" w:rsidRDefault="00440E70" w:rsidP="00440E70">
      <w:pPr>
        <w:widowControl w:val="0"/>
        <w:autoSpaceDE w:val="0"/>
        <w:autoSpaceDN w:val="0"/>
        <w:adjustRightInd w:val="0"/>
        <w:spacing w:line="240" w:lineRule="auto"/>
        <w:ind w:left="640" w:hanging="640"/>
        <w:rPr>
          <w:rFonts w:ascii="Times New Roman" w:hAnsi="Times New Roman" w:cs="Times New Roman"/>
          <w:noProof/>
          <w:sz w:val="24"/>
          <w:szCs w:val="24"/>
        </w:rPr>
      </w:pPr>
      <w:r w:rsidRPr="00440E70">
        <w:rPr>
          <w:rFonts w:ascii="Times New Roman" w:hAnsi="Times New Roman" w:cs="Times New Roman"/>
          <w:noProof/>
          <w:sz w:val="24"/>
          <w:szCs w:val="24"/>
        </w:rPr>
        <w:t>[3]</w:t>
      </w:r>
      <w:r w:rsidRPr="00440E70">
        <w:rPr>
          <w:rFonts w:ascii="Times New Roman" w:hAnsi="Times New Roman" w:cs="Times New Roman"/>
          <w:noProof/>
          <w:sz w:val="24"/>
          <w:szCs w:val="24"/>
        </w:rPr>
        <w:tab/>
        <w:t>B. Spellberg, J. Edwards, Jr., A. Ibrahim, Novel Perspectives on Mucormycosis: Pathophysiology, Presentation, and Management, Clin. Microbiol. Rev. 18 (2005) 556. https://doi.org/10.1128/CMR.18.3.556-569.2005.</w:t>
      </w:r>
    </w:p>
    <w:p w14:paraId="60B74487" w14:textId="77777777" w:rsidR="00440E70" w:rsidRPr="00440E70" w:rsidRDefault="00440E70" w:rsidP="00440E70">
      <w:pPr>
        <w:widowControl w:val="0"/>
        <w:autoSpaceDE w:val="0"/>
        <w:autoSpaceDN w:val="0"/>
        <w:adjustRightInd w:val="0"/>
        <w:spacing w:line="240" w:lineRule="auto"/>
        <w:ind w:left="640" w:hanging="640"/>
        <w:rPr>
          <w:rFonts w:ascii="Times New Roman" w:hAnsi="Times New Roman" w:cs="Times New Roman"/>
          <w:noProof/>
          <w:sz w:val="24"/>
          <w:szCs w:val="24"/>
        </w:rPr>
      </w:pPr>
      <w:r w:rsidRPr="00440E70">
        <w:rPr>
          <w:rFonts w:ascii="Times New Roman" w:hAnsi="Times New Roman" w:cs="Times New Roman"/>
          <w:noProof/>
          <w:sz w:val="24"/>
          <w:szCs w:val="24"/>
        </w:rPr>
        <w:t>[4]</w:t>
      </w:r>
      <w:r w:rsidRPr="00440E70">
        <w:rPr>
          <w:rFonts w:ascii="Times New Roman" w:hAnsi="Times New Roman" w:cs="Times New Roman"/>
          <w:noProof/>
          <w:sz w:val="24"/>
          <w:szCs w:val="24"/>
        </w:rPr>
        <w:tab/>
        <w:t>W.H. Sheng, Epidemiology and clinical manifestations of influenza, J. Intern. Med. Taiwan. 31 (2020) 3–6. https://doi.org/10.6314/JIMT.202002_31(1).02.</w:t>
      </w:r>
    </w:p>
    <w:p w14:paraId="71CCEAAC" w14:textId="77777777" w:rsidR="00440E70" w:rsidRPr="00440E70" w:rsidRDefault="00440E70" w:rsidP="00440E70">
      <w:pPr>
        <w:widowControl w:val="0"/>
        <w:autoSpaceDE w:val="0"/>
        <w:autoSpaceDN w:val="0"/>
        <w:adjustRightInd w:val="0"/>
        <w:spacing w:line="240" w:lineRule="auto"/>
        <w:ind w:left="640" w:hanging="640"/>
        <w:rPr>
          <w:rFonts w:ascii="Times New Roman" w:hAnsi="Times New Roman" w:cs="Times New Roman"/>
          <w:noProof/>
          <w:sz w:val="24"/>
        </w:rPr>
      </w:pPr>
      <w:r w:rsidRPr="00440E70">
        <w:rPr>
          <w:rFonts w:ascii="Times New Roman" w:hAnsi="Times New Roman" w:cs="Times New Roman"/>
          <w:noProof/>
          <w:sz w:val="24"/>
          <w:szCs w:val="24"/>
        </w:rPr>
        <w:t>[5]</w:t>
      </w:r>
      <w:r w:rsidRPr="00440E70">
        <w:rPr>
          <w:rFonts w:ascii="Times New Roman" w:hAnsi="Times New Roman" w:cs="Times New Roman"/>
          <w:noProof/>
          <w:sz w:val="24"/>
          <w:szCs w:val="24"/>
        </w:rPr>
        <w:tab/>
        <w:t>Symptoms of Mucormycosis | Mucormycosis | CDC, (n.d.).</w:t>
      </w:r>
    </w:p>
    <w:p w14:paraId="451ADDB9" w14:textId="05D7E356" w:rsidR="00440E70" w:rsidRPr="00440E70" w:rsidRDefault="00440E70">
      <w:pPr>
        <w:rPr>
          <w:rFonts w:ascii="Times New Roman" w:hAnsi="Times New Roman" w:cs="Times New Roman"/>
          <w:sz w:val="24"/>
          <w:szCs w:val="24"/>
        </w:rPr>
      </w:pPr>
      <w:r>
        <w:rPr>
          <w:rFonts w:ascii="Times New Roman" w:hAnsi="Times New Roman" w:cs="Times New Roman"/>
          <w:sz w:val="24"/>
          <w:szCs w:val="24"/>
        </w:rPr>
        <w:fldChar w:fldCharType="end"/>
      </w:r>
    </w:p>
    <w:sectPr w:rsidR="00440E70" w:rsidRPr="00440E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CC470E"/>
    <w:multiLevelType w:val="multilevel"/>
    <w:tmpl w:val="707E2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A61661"/>
    <w:multiLevelType w:val="multilevel"/>
    <w:tmpl w:val="9502D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1E296B"/>
    <w:multiLevelType w:val="multilevel"/>
    <w:tmpl w:val="22CAF3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Q2MDExszQxNrY0NDNS0lEKTi0uzszPAykwrAUAVjLohiwAAAA="/>
  </w:docVars>
  <w:rsids>
    <w:rsidRoot w:val="001E4961"/>
    <w:rsid w:val="001E4961"/>
    <w:rsid w:val="00440E70"/>
    <w:rsid w:val="00B8596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0B8AD"/>
  <w15:chartTrackingRefBased/>
  <w15:docId w15:val="{35DA2C86-D177-43AF-9C72-531CA027F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E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
    <w:name w:val="Grid Table 1 Light"/>
    <w:basedOn w:val="TableNormal"/>
    <w:uiPriority w:val="46"/>
    <w:rsid w:val="00440E7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1566</Words>
  <Characters>8930</Characters>
  <Application>Microsoft Office Word</Application>
  <DocSecurity>0</DocSecurity>
  <Lines>74</Lines>
  <Paragraphs>20</Paragraphs>
  <ScaleCrop>false</ScaleCrop>
  <Company/>
  <LinksUpToDate>false</LinksUpToDate>
  <CharactersWithSpaces>10476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prem nath</dc:creator>
  <cp:keywords/>
  <dc:description/>
  <cp:lastModifiedBy>prem nath</cp:lastModifiedBy>
  <cp:revision>2</cp:revision>
  <dcterms:created xsi:type="dcterms:W3CDTF">2021-10-21T15:41:00Z</dcterms:created>
  <dcterms:modified xsi:type="dcterms:W3CDTF">2021-10-21T15:43:00Z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179d8fc7-c147-3a9d-a410-1fd68ac44ec5</vt:lpwstr>
  </property>
  <property fmtid="{D5CDD505-2E9C-101B-9397-08002B2CF9AE}" pid="4" name="Mendeley Citation Style_1">
    <vt:lpwstr>http://www.zotero.org/styles/future-journal-of-pharmaceutical-sciences</vt:lpwstr>
  </property>
</Properties>
</file>